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FC" w:rsidRPr="00B65A34" w:rsidRDefault="003735FC" w:rsidP="003B0510">
      <w:pPr>
        <w:rPr>
          <w:rFonts w:ascii="Verdana" w:hAnsi="Verdana"/>
          <w:bCs/>
          <w:color w:val="000080"/>
          <w:sz w:val="18"/>
          <w:szCs w:val="18"/>
        </w:rPr>
      </w:pPr>
    </w:p>
    <w:p w:rsidR="00251F86" w:rsidRPr="00B65A34" w:rsidRDefault="00251F86" w:rsidP="003B0510">
      <w:pPr>
        <w:rPr>
          <w:rFonts w:ascii="Verdana" w:hAnsi="Verdana"/>
          <w:bCs/>
          <w:color w:val="000080"/>
          <w:sz w:val="18"/>
          <w:szCs w:val="18"/>
        </w:rPr>
      </w:pPr>
    </w:p>
    <w:p w:rsidR="00304F79" w:rsidRPr="00B65A34" w:rsidRDefault="00042FF2" w:rsidP="003B0510">
      <w:pPr>
        <w:rPr>
          <w:rFonts w:ascii="Verdana" w:hAnsi="Verdana"/>
          <w:b/>
          <w:color w:val="000080"/>
          <w:sz w:val="18"/>
          <w:szCs w:val="18"/>
        </w:rPr>
      </w:pPr>
      <w:r w:rsidRPr="00B65A34">
        <w:rPr>
          <w:rFonts w:ascii="Verdana" w:hAnsi="Verdana"/>
          <w:b/>
          <w:bCs/>
          <w:color w:val="000080"/>
          <w:sz w:val="18"/>
          <w:szCs w:val="18"/>
        </w:rPr>
        <w:t>Kliiniline küsimus</w:t>
      </w:r>
      <w:r w:rsidR="008E6ADE" w:rsidRPr="00B65A34">
        <w:rPr>
          <w:rFonts w:ascii="Verdana" w:hAnsi="Verdana"/>
          <w:b/>
          <w:bCs/>
          <w:color w:val="000080"/>
          <w:sz w:val="18"/>
          <w:szCs w:val="18"/>
        </w:rPr>
        <w:t xml:space="preserve"> </w:t>
      </w:r>
      <w:r w:rsidRPr="00B65A34">
        <w:rPr>
          <w:rFonts w:ascii="Verdana" w:hAnsi="Verdana"/>
          <w:b/>
          <w:bCs/>
          <w:color w:val="000080"/>
          <w:sz w:val="18"/>
          <w:szCs w:val="18"/>
        </w:rPr>
        <w:t>nr</w:t>
      </w:r>
      <w:r w:rsidR="00AB5AC6" w:rsidRPr="00B65A34">
        <w:rPr>
          <w:rFonts w:ascii="Verdana" w:hAnsi="Verdana"/>
          <w:b/>
          <w:bCs/>
          <w:color w:val="000080"/>
          <w:sz w:val="18"/>
          <w:szCs w:val="18"/>
        </w:rPr>
        <w:t xml:space="preserve"> 1</w:t>
      </w:r>
      <w:r w:rsidRPr="00B65A34">
        <w:rPr>
          <w:rFonts w:ascii="Verdana" w:hAnsi="Verdana"/>
          <w:b/>
          <w:bCs/>
          <w:color w:val="000080"/>
          <w:sz w:val="18"/>
          <w:szCs w:val="18"/>
        </w:rPr>
        <w:t xml:space="preserve"> </w:t>
      </w:r>
    </w:p>
    <w:p w:rsidR="008E71CB" w:rsidRPr="00BE03F0" w:rsidRDefault="008E71CB" w:rsidP="008E71CB">
      <w:pPr>
        <w:spacing w:line="276" w:lineRule="auto"/>
        <w:rPr>
          <w:rFonts w:ascii="Verdana" w:hAnsi="Verdana"/>
          <w:color w:val="000080"/>
          <w:sz w:val="18"/>
          <w:szCs w:val="18"/>
        </w:rPr>
      </w:pPr>
      <w:r w:rsidRPr="00BE03F0">
        <w:rPr>
          <w:rFonts w:ascii="Verdana" w:hAnsi="Verdana"/>
          <w:color w:val="000080"/>
          <w:sz w:val="18"/>
          <w:szCs w:val="18"/>
        </w:rPr>
        <w:t>Does providing/ not providing information about the nature and course of the forthcoming operation/ surgical procedure affect postoperative pain?</w:t>
      </w:r>
    </w:p>
    <w:p w:rsidR="008E71CB" w:rsidRPr="008E71CB" w:rsidRDefault="008E71CB" w:rsidP="008E71CB">
      <w:pPr>
        <w:spacing w:line="276" w:lineRule="auto"/>
        <w:rPr>
          <w:rFonts w:ascii="Verdana" w:hAnsi="Verdana"/>
          <w:i/>
          <w:color w:val="000080"/>
          <w:sz w:val="18"/>
          <w:szCs w:val="18"/>
        </w:rPr>
      </w:pPr>
    </w:p>
    <w:p w:rsidR="008E71CB" w:rsidRPr="002F2859" w:rsidRDefault="008E71CB" w:rsidP="008E71CB">
      <w:pPr>
        <w:rPr>
          <w:rFonts w:ascii="Verdana" w:hAnsi="Verdana"/>
          <w:bCs/>
          <w:color w:val="000080"/>
          <w:sz w:val="18"/>
          <w:szCs w:val="18"/>
          <w:lang w:val="en-US"/>
        </w:rPr>
      </w:pPr>
      <w:r w:rsidRPr="00045098">
        <w:rPr>
          <w:rFonts w:ascii="Verdana" w:hAnsi="Verdana"/>
          <w:b/>
          <w:i/>
          <w:color w:val="000080"/>
          <w:sz w:val="18"/>
          <w:szCs w:val="18"/>
        </w:rPr>
        <w:t>Critical outcomes:</w:t>
      </w:r>
      <w:r w:rsidRPr="008E71CB">
        <w:rPr>
          <w:rFonts w:ascii="Verdana" w:hAnsi="Verdana"/>
          <w:i/>
          <w:color w:val="000080"/>
          <w:sz w:val="18"/>
          <w:szCs w:val="18"/>
        </w:rPr>
        <w:t xml:space="preserve"> pain intensity, pain relief, anxiety</w:t>
      </w:r>
      <w:r w:rsidRPr="008E71CB">
        <w:rPr>
          <w:rFonts w:ascii="Verdana" w:hAnsi="Verdana"/>
          <w:bCs/>
          <w:color w:val="000080"/>
          <w:sz w:val="18"/>
          <w:szCs w:val="18"/>
          <w:lang w:val="en-US"/>
        </w:rPr>
        <w:t xml:space="preserve"> </w:t>
      </w:r>
      <w:r>
        <w:rPr>
          <w:rFonts w:ascii="Verdana" w:hAnsi="Verdana"/>
          <w:bCs/>
          <w:color w:val="000080"/>
          <w:sz w:val="18"/>
          <w:szCs w:val="18"/>
          <w:lang w:val="en-US"/>
        </w:rPr>
        <w:t xml:space="preserve">rescue </w:t>
      </w:r>
      <w:proofErr w:type="spellStart"/>
      <w:r>
        <w:rPr>
          <w:rFonts w:ascii="Verdana" w:hAnsi="Verdana"/>
          <w:bCs/>
          <w:color w:val="000080"/>
          <w:sz w:val="18"/>
          <w:szCs w:val="18"/>
          <w:lang w:val="en-US"/>
        </w:rPr>
        <w:t>mediaction</w:t>
      </w:r>
      <w:proofErr w:type="spellEnd"/>
      <w:r>
        <w:rPr>
          <w:rFonts w:ascii="Verdana" w:hAnsi="Verdana"/>
          <w:bCs/>
          <w:color w:val="000080"/>
          <w:sz w:val="18"/>
          <w:szCs w:val="18"/>
          <w:lang w:val="en-US"/>
        </w:rPr>
        <w:t xml:space="preserve"> (</w:t>
      </w:r>
      <w:proofErr w:type="spellStart"/>
      <w:r w:rsidRPr="002F2859">
        <w:rPr>
          <w:rFonts w:ascii="Verdana" w:hAnsi="Verdana"/>
          <w:bCs/>
          <w:color w:val="000080"/>
          <w:sz w:val="18"/>
          <w:szCs w:val="18"/>
          <w:lang w:val="en-US"/>
        </w:rPr>
        <w:t>incl</w:t>
      </w:r>
      <w:proofErr w:type="spellEnd"/>
      <w:r w:rsidRPr="002F2859">
        <w:rPr>
          <w:rFonts w:ascii="Verdana" w:hAnsi="Verdana"/>
          <w:bCs/>
          <w:color w:val="000080"/>
          <w:sz w:val="18"/>
          <w:szCs w:val="18"/>
          <w:lang w:val="en-US"/>
        </w:rPr>
        <w:t xml:space="preserve"> opioid </w:t>
      </w:r>
      <w:r>
        <w:rPr>
          <w:rFonts w:ascii="Verdana" w:hAnsi="Verdana"/>
          <w:bCs/>
          <w:color w:val="000080"/>
          <w:sz w:val="18"/>
          <w:szCs w:val="18"/>
          <w:lang w:val="en-US"/>
        </w:rPr>
        <w:t xml:space="preserve"> </w:t>
      </w:r>
      <w:r w:rsidRPr="002F2859">
        <w:rPr>
          <w:rFonts w:ascii="Verdana" w:hAnsi="Verdana"/>
          <w:bCs/>
          <w:color w:val="000080"/>
          <w:sz w:val="18"/>
          <w:szCs w:val="18"/>
          <w:lang w:val="en-US"/>
        </w:rPr>
        <w:t>consumption), patient ( caregiver) satisfaction with pain treatment.</w:t>
      </w:r>
    </w:p>
    <w:p w:rsidR="00304F79" w:rsidRPr="00B65A34" w:rsidRDefault="00304F79" w:rsidP="00586785">
      <w:pPr>
        <w:jc w:val="both"/>
        <w:rPr>
          <w:rFonts w:ascii="Verdana" w:hAnsi="Verdana"/>
          <w:color w:val="000080"/>
          <w:sz w:val="18"/>
          <w:szCs w:val="18"/>
          <w:u w:val="single"/>
        </w:rPr>
      </w:pPr>
    </w:p>
    <w:p w:rsidR="003B0510" w:rsidRPr="00B65A34" w:rsidRDefault="00042FF2" w:rsidP="002D065A">
      <w:pPr>
        <w:jc w:val="both"/>
        <w:rPr>
          <w:rFonts w:ascii="Verdana" w:hAnsi="Verdana" w:cs="Arial"/>
          <w:b/>
          <w:color w:val="000080"/>
          <w:sz w:val="18"/>
          <w:szCs w:val="18"/>
        </w:rPr>
      </w:pPr>
      <w:r w:rsidRPr="008E71CB">
        <w:rPr>
          <w:rFonts w:ascii="Verdana" w:hAnsi="Verdana"/>
          <w:color w:val="FF0000"/>
          <w:sz w:val="18"/>
          <w:szCs w:val="18"/>
          <w:u w:val="single"/>
        </w:rPr>
        <w:br/>
      </w:r>
      <w:r w:rsidRPr="00B65A34">
        <w:rPr>
          <w:rFonts w:ascii="Verdana" w:hAnsi="Verdana" w:cs="Arial"/>
          <w:b/>
          <w:color w:val="000080"/>
          <w:sz w:val="18"/>
          <w:szCs w:val="18"/>
        </w:rPr>
        <w:t>Süstemaatilised ülevaated</w:t>
      </w:r>
    </w:p>
    <w:p w:rsidR="00042FF2" w:rsidRPr="008623F2" w:rsidRDefault="00042FF2"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i/>
          <w:color w:val="000080"/>
          <w:sz w:val="18"/>
          <w:szCs w:val="18"/>
          <w:lang w:eastAsia="en-US"/>
        </w:rPr>
      </w:pPr>
      <w:r w:rsidRPr="008623F2">
        <w:rPr>
          <w:rFonts w:ascii="Verdana" w:hAnsi="Verdana" w:cs="ArialMT"/>
          <w:b/>
          <w:i/>
          <w:color w:val="000080"/>
          <w:sz w:val="18"/>
          <w:szCs w:val="18"/>
          <w:lang w:eastAsia="en-US"/>
        </w:rPr>
        <w:t>Kokkuvõte süstemaatilistest ülevaadetest</w:t>
      </w:r>
    </w:p>
    <w:p w:rsidR="00DF6F19" w:rsidRDefault="00DF6F19"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rsidR="00A937F0" w:rsidRDefault="001F5FB9"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8F284D">
        <w:rPr>
          <w:rFonts w:ascii="Verdana" w:hAnsi="Verdana" w:cs="ArialMT"/>
          <w:b/>
          <w:i/>
          <w:color w:val="000080"/>
          <w:sz w:val="18"/>
          <w:szCs w:val="18"/>
          <w:lang w:eastAsia="en-US"/>
        </w:rPr>
        <w:t>Johansson et al (2004)</w:t>
      </w:r>
      <w:r>
        <w:rPr>
          <w:rFonts w:ascii="Verdana" w:hAnsi="Verdana" w:cs="ArialMT"/>
          <w:i/>
          <w:color w:val="000080"/>
          <w:sz w:val="18"/>
          <w:szCs w:val="18"/>
          <w:lang w:eastAsia="en-US"/>
        </w:rPr>
        <w:t xml:space="preserve"> identified 11 articles involving 1044 participans. Most studies included one experimental group and one control group. The educational interventions varied widely, bu</w:t>
      </w:r>
      <w:r w:rsidR="004B1E44">
        <w:rPr>
          <w:rFonts w:ascii="Verdana" w:hAnsi="Verdana" w:cs="ArialMT"/>
          <w:i/>
          <w:color w:val="000080"/>
          <w:sz w:val="18"/>
          <w:szCs w:val="18"/>
          <w:lang w:eastAsia="en-US"/>
        </w:rPr>
        <w:t>t the most common intervention b</w:t>
      </w:r>
      <w:r>
        <w:rPr>
          <w:rFonts w:ascii="Verdana" w:hAnsi="Verdana" w:cs="ArialMT"/>
          <w:i/>
          <w:color w:val="000080"/>
          <w:sz w:val="18"/>
          <w:szCs w:val="18"/>
          <w:lang w:eastAsia="en-US"/>
        </w:rPr>
        <w:t>ased on written materials alone, or written material combination with ohter teaching methods. The most common outcome measure related to pain, knowledge, anxiety, exercises and len</w:t>
      </w:r>
      <w:r w:rsidR="004B1E44">
        <w:rPr>
          <w:rFonts w:ascii="Verdana" w:hAnsi="Verdana" w:cs="ArialMT"/>
          <w:i/>
          <w:color w:val="000080"/>
          <w:sz w:val="18"/>
          <w:szCs w:val="18"/>
          <w:lang w:eastAsia="en-US"/>
        </w:rPr>
        <w:t>ght to stay. Almost all reported</w:t>
      </w:r>
      <w:r>
        <w:rPr>
          <w:rFonts w:ascii="Verdana" w:hAnsi="Verdana" w:cs="ArialMT"/>
          <w:i/>
          <w:color w:val="000080"/>
          <w:sz w:val="18"/>
          <w:szCs w:val="18"/>
          <w:lang w:eastAsia="en-US"/>
        </w:rPr>
        <w:t xml:space="preserve"> one or more statistically significant effects. Based on the findings of the meta-analysis, preoperative education appears to have some impacts on patient´s anxiety and knowledge levels. </w:t>
      </w:r>
      <w:r w:rsidR="00A937F0">
        <w:rPr>
          <w:rFonts w:ascii="Verdana" w:hAnsi="Verdana" w:cs="ArialMT"/>
          <w:i/>
          <w:color w:val="000080"/>
          <w:sz w:val="18"/>
          <w:szCs w:val="18"/>
          <w:lang w:eastAsia="en-US"/>
        </w:rPr>
        <w:t>Four of the studies were truly RCTs, including randomization to experimental and control groups as well as pr</w:t>
      </w:r>
      <w:r w:rsidR="004B1E44">
        <w:rPr>
          <w:rFonts w:ascii="Verdana" w:hAnsi="Verdana" w:cs="ArialMT"/>
          <w:i/>
          <w:color w:val="000080"/>
          <w:sz w:val="18"/>
          <w:szCs w:val="18"/>
          <w:lang w:eastAsia="en-US"/>
        </w:rPr>
        <w:t>e- and post tests before and  af</w:t>
      </w:r>
      <w:r w:rsidR="00A937F0">
        <w:rPr>
          <w:rFonts w:ascii="Verdana" w:hAnsi="Verdana" w:cs="ArialMT"/>
          <w:i/>
          <w:color w:val="000080"/>
          <w:sz w:val="18"/>
          <w:szCs w:val="18"/>
          <w:lang w:eastAsia="en-US"/>
        </w:rPr>
        <w:t xml:space="preserve">ter surgery. </w:t>
      </w:r>
    </w:p>
    <w:p w:rsidR="002E450E" w:rsidRDefault="003B00DD"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 xml:space="preserve">Daltroy et al (1998). </w:t>
      </w:r>
      <w:r w:rsidR="004B1E44">
        <w:rPr>
          <w:rFonts w:ascii="Verdana" w:hAnsi="Verdana" w:cs="ArialMT"/>
          <w:i/>
          <w:color w:val="000080"/>
          <w:sz w:val="18"/>
          <w:szCs w:val="18"/>
          <w:lang w:eastAsia="en-US"/>
        </w:rPr>
        <w:t>Population and samp</w:t>
      </w:r>
      <w:r w:rsidR="003C773B">
        <w:rPr>
          <w:rFonts w:ascii="Verdana" w:hAnsi="Verdana" w:cs="ArialMT"/>
          <w:i/>
          <w:color w:val="000080"/>
          <w:sz w:val="18"/>
          <w:szCs w:val="18"/>
          <w:lang w:eastAsia="en-US"/>
        </w:rPr>
        <w:t>le size</w:t>
      </w:r>
      <w:r w:rsidR="0048496B">
        <w:rPr>
          <w:rFonts w:ascii="Verdana" w:hAnsi="Verdana" w:cs="ArialMT"/>
          <w:i/>
          <w:color w:val="000080"/>
          <w:sz w:val="18"/>
          <w:szCs w:val="18"/>
          <w:lang w:eastAsia="en-US"/>
        </w:rPr>
        <w:t xml:space="preserve">=216. </w:t>
      </w:r>
      <w:r w:rsidR="00A937F0">
        <w:rPr>
          <w:rFonts w:ascii="Verdana" w:hAnsi="Verdana" w:cs="ArialMT"/>
          <w:i/>
          <w:color w:val="000080"/>
          <w:sz w:val="18"/>
          <w:szCs w:val="18"/>
          <w:lang w:eastAsia="en-US"/>
        </w:rPr>
        <w:t>Teaching methods: experimental group (E</w:t>
      </w:r>
      <w:r w:rsidR="004B1E44">
        <w:rPr>
          <w:rFonts w:ascii="Verdana" w:hAnsi="Verdana" w:cs="ArialMT"/>
          <w:i/>
          <w:color w:val="000080"/>
          <w:sz w:val="18"/>
          <w:szCs w:val="18"/>
          <w:lang w:eastAsia="en-US"/>
        </w:rPr>
        <w:t xml:space="preserve"> </w:t>
      </w:r>
      <w:r w:rsidR="00A937F0">
        <w:rPr>
          <w:rFonts w:ascii="Verdana" w:hAnsi="Verdana" w:cs="ArialMT"/>
          <w:i/>
          <w:color w:val="000080"/>
          <w:sz w:val="18"/>
          <w:szCs w:val="18"/>
          <w:lang w:eastAsia="en-US"/>
        </w:rPr>
        <w:t>)and control group, E1 n=52: slide-tape information about hospidal events concerning surgery and postoperative care and relaxation training, E2 n=58:  slide-tape information about hospidal events concerning surgery</w:t>
      </w:r>
      <w:r w:rsidR="00A937F0" w:rsidRPr="00A937F0">
        <w:rPr>
          <w:rFonts w:ascii="Verdana" w:hAnsi="Verdana" w:cs="ArialMT"/>
          <w:i/>
          <w:color w:val="000080"/>
          <w:sz w:val="18"/>
          <w:szCs w:val="18"/>
          <w:lang w:eastAsia="en-US"/>
        </w:rPr>
        <w:t xml:space="preserve"> </w:t>
      </w:r>
      <w:r w:rsidR="00A937F0">
        <w:rPr>
          <w:rFonts w:ascii="Verdana" w:hAnsi="Verdana" w:cs="ArialMT"/>
          <w:i/>
          <w:color w:val="000080"/>
          <w:sz w:val="18"/>
          <w:szCs w:val="18"/>
          <w:lang w:eastAsia="en-US"/>
        </w:rPr>
        <w:t>and postoperative care.</w:t>
      </w:r>
      <w:r w:rsidR="008F284D">
        <w:rPr>
          <w:rFonts w:ascii="Verdana" w:hAnsi="Verdana" w:cs="ArialMT"/>
          <w:i/>
          <w:color w:val="000080"/>
          <w:sz w:val="18"/>
          <w:szCs w:val="18"/>
          <w:lang w:eastAsia="en-US"/>
        </w:rPr>
        <w:t xml:space="preserve"> </w:t>
      </w:r>
      <w:r w:rsidR="00A937F0">
        <w:rPr>
          <w:rFonts w:ascii="Verdana" w:hAnsi="Verdana" w:cs="ArialMT"/>
          <w:i/>
          <w:color w:val="000080"/>
          <w:sz w:val="18"/>
          <w:szCs w:val="18"/>
          <w:lang w:eastAsia="en-US"/>
        </w:rPr>
        <w:t>E3 n=58: relaxation trainin</w:t>
      </w:r>
      <w:r w:rsidR="004B1E44">
        <w:rPr>
          <w:rFonts w:ascii="Verdana" w:hAnsi="Verdana" w:cs="ArialMT"/>
          <w:i/>
          <w:color w:val="000080"/>
          <w:sz w:val="18"/>
          <w:szCs w:val="18"/>
          <w:lang w:eastAsia="en-US"/>
        </w:rPr>
        <w:t>g, C n=54: neither, no fut</w:t>
      </w:r>
      <w:r w:rsidR="00A937F0">
        <w:rPr>
          <w:rFonts w:ascii="Verdana" w:hAnsi="Verdana" w:cs="ArialMT"/>
          <w:i/>
          <w:color w:val="000080"/>
          <w:sz w:val="18"/>
          <w:szCs w:val="18"/>
          <w:lang w:eastAsia="en-US"/>
        </w:rPr>
        <w:t xml:space="preserve">ure details. </w:t>
      </w:r>
      <w:r w:rsidR="0048496B">
        <w:rPr>
          <w:rFonts w:ascii="Verdana" w:hAnsi="Verdana" w:cs="ArialMT"/>
          <w:i/>
          <w:color w:val="000080"/>
          <w:sz w:val="18"/>
          <w:szCs w:val="18"/>
          <w:lang w:eastAsia="en-US"/>
        </w:rPr>
        <w:t>Results: Anxiety: (</w:t>
      </w:r>
      <w:r w:rsidR="0037546E">
        <w:rPr>
          <w:rFonts w:ascii="Verdana" w:hAnsi="Verdana" w:cs="ArialMT"/>
          <w:i/>
          <w:color w:val="000080"/>
          <w:sz w:val="18"/>
          <w:szCs w:val="18"/>
          <w:lang w:eastAsia="en-US"/>
        </w:rPr>
        <w:t>less E1, E2 patients most basel</w:t>
      </w:r>
      <w:r w:rsidR="0048496B">
        <w:rPr>
          <w:rFonts w:ascii="Verdana" w:hAnsi="Verdana" w:cs="ArialMT"/>
          <w:i/>
          <w:color w:val="000080"/>
          <w:sz w:val="18"/>
          <w:szCs w:val="18"/>
          <w:lang w:eastAsia="en-US"/>
        </w:rPr>
        <w:t xml:space="preserve">ine anxiety), </w:t>
      </w:r>
      <w:r w:rsidR="0037546E">
        <w:rPr>
          <w:rFonts w:ascii="Verdana" w:hAnsi="Verdana" w:cs="ArialMT"/>
          <w:i/>
          <w:color w:val="000080"/>
          <w:sz w:val="18"/>
          <w:szCs w:val="18"/>
          <w:lang w:eastAsia="en-US"/>
        </w:rPr>
        <w:t>mental</w:t>
      </w:r>
      <w:r w:rsidR="0087313F">
        <w:rPr>
          <w:rFonts w:ascii="Verdana" w:hAnsi="Verdana" w:cs="ArialMT"/>
          <w:i/>
          <w:color w:val="000080"/>
          <w:sz w:val="18"/>
          <w:szCs w:val="18"/>
          <w:lang w:eastAsia="en-US"/>
        </w:rPr>
        <w:t xml:space="preserve"> status (less cognitive errors in</w:t>
      </w:r>
      <w:r w:rsidR="0037546E">
        <w:rPr>
          <w:rFonts w:ascii="Verdana" w:hAnsi="Verdana" w:cs="ArialMT"/>
          <w:i/>
          <w:color w:val="000080"/>
          <w:sz w:val="18"/>
          <w:szCs w:val="18"/>
          <w:lang w:eastAsia="en-US"/>
        </w:rPr>
        <w:t xml:space="preserve"> E1, E2 for patients most baseline anxiety). Pain medication use</w:t>
      </w:r>
      <w:r w:rsidR="000D11F7">
        <w:rPr>
          <w:rFonts w:ascii="Verdana" w:hAnsi="Verdana" w:cs="ArialMT"/>
          <w:i/>
          <w:color w:val="000080"/>
          <w:sz w:val="18"/>
          <w:szCs w:val="18"/>
          <w:lang w:eastAsia="en-US"/>
        </w:rPr>
        <w:t xml:space="preserve"> </w:t>
      </w:r>
      <w:r w:rsidR="0037546E">
        <w:rPr>
          <w:rFonts w:ascii="Verdana" w:hAnsi="Verdana" w:cs="ArialMT"/>
          <w:i/>
          <w:color w:val="000080"/>
          <w:sz w:val="18"/>
          <w:szCs w:val="18"/>
          <w:lang w:eastAsia="en-US"/>
        </w:rPr>
        <w:t>(less E1, E2 for paients most basel</w:t>
      </w:r>
      <w:r>
        <w:rPr>
          <w:rFonts w:ascii="Verdana" w:hAnsi="Verdana" w:cs="ArialMT"/>
          <w:i/>
          <w:color w:val="000080"/>
          <w:sz w:val="18"/>
          <w:szCs w:val="18"/>
          <w:lang w:eastAsia="en-US"/>
        </w:rPr>
        <w:t>ine denial).</w:t>
      </w:r>
    </w:p>
    <w:p w:rsidR="0037546E" w:rsidRDefault="0037546E"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Lilja et al (1998) Population: total hip replacemet patients n= 50 and bre</w:t>
      </w:r>
      <w:r w:rsidR="004B1E44">
        <w:rPr>
          <w:rFonts w:ascii="Verdana" w:hAnsi="Verdana" w:cs="ArialMT"/>
          <w:i/>
          <w:color w:val="000080"/>
          <w:sz w:val="18"/>
          <w:szCs w:val="18"/>
          <w:lang w:eastAsia="en-US"/>
        </w:rPr>
        <w:t>a</w:t>
      </w:r>
      <w:r>
        <w:rPr>
          <w:rFonts w:ascii="Verdana" w:hAnsi="Verdana" w:cs="ArialMT"/>
          <w:i/>
          <w:color w:val="000080"/>
          <w:sz w:val="18"/>
          <w:szCs w:val="18"/>
          <w:lang w:eastAsia="en-US"/>
        </w:rPr>
        <w:t>st ca</w:t>
      </w:r>
      <w:r w:rsidR="004B1E44">
        <w:rPr>
          <w:rFonts w:ascii="Verdana" w:hAnsi="Verdana" w:cs="ArialMT"/>
          <w:i/>
          <w:color w:val="000080"/>
          <w:sz w:val="18"/>
          <w:szCs w:val="18"/>
          <w:lang w:eastAsia="en-US"/>
        </w:rPr>
        <w:t xml:space="preserve">ncer patients n=4. </w:t>
      </w:r>
      <w:r w:rsidR="000D11F7">
        <w:rPr>
          <w:rFonts w:ascii="Verdana" w:hAnsi="Verdana" w:cs="ArialMT"/>
          <w:i/>
          <w:color w:val="000080"/>
          <w:sz w:val="18"/>
          <w:szCs w:val="18"/>
          <w:lang w:eastAsia="en-US"/>
        </w:rPr>
        <w:t xml:space="preserve">Teaching methods: Experimental group </w:t>
      </w:r>
      <w:r>
        <w:rPr>
          <w:rFonts w:ascii="Verdana" w:hAnsi="Verdana" w:cs="ArialMT"/>
          <w:i/>
          <w:color w:val="000080"/>
          <w:sz w:val="18"/>
          <w:szCs w:val="18"/>
          <w:lang w:eastAsia="en-US"/>
        </w:rPr>
        <w:t>E TH</w:t>
      </w:r>
      <w:r w:rsidR="000D11F7">
        <w:rPr>
          <w:rFonts w:ascii="Verdana" w:hAnsi="Verdana" w:cs="ArialMT"/>
          <w:i/>
          <w:color w:val="000080"/>
          <w:sz w:val="18"/>
          <w:szCs w:val="18"/>
          <w:lang w:eastAsia="en-US"/>
        </w:rPr>
        <w:t>R (n= 22) and E ca</w:t>
      </w:r>
      <w:r w:rsidR="004B1E44">
        <w:rPr>
          <w:rFonts w:ascii="Verdana" w:hAnsi="Verdana" w:cs="ArialMT"/>
          <w:i/>
          <w:color w:val="000080"/>
          <w:sz w:val="18"/>
          <w:szCs w:val="18"/>
          <w:lang w:eastAsia="en-US"/>
        </w:rPr>
        <w:t xml:space="preserve"> (n=22) anaesthetic nurses and ward nurses </w:t>
      </w:r>
      <w:r w:rsidR="000D11F7">
        <w:rPr>
          <w:rFonts w:ascii="Verdana" w:hAnsi="Verdana" w:cs="ArialMT"/>
          <w:i/>
          <w:color w:val="000080"/>
          <w:sz w:val="18"/>
          <w:szCs w:val="18"/>
          <w:lang w:eastAsia="en-US"/>
        </w:rPr>
        <w:t>teaching about pre-, intra and postoperative care.</w:t>
      </w:r>
      <w:r w:rsidR="000D11F7" w:rsidRPr="000D11F7">
        <w:rPr>
          <w:rFonts w:ascii="Verdana" w:hAnsi="Verdana" w:cs="ArialMT"/>
          <w:i/>
          <w:color w:val="000080"/>
          <w:sz w:val="18"/>
          <w:szCs w:val="18"/>
          <w:lang w:eastAsia="en-US"/>
        </w:rPr>
        <w:t xml:space="preserve"> </w:t>
      </w:r>
      <w:r w:rsidR="000D11F7">
        <w:rPr>
          <w:rFonts w:ascii="Verdana" w:hAnsi="Verdana" w:cs="ArialMT"/>
          <w:i/>
          <w:color w:val="000080"/>
          <w:sz w:val="18"/>
          <w:szCs w:val="18"/>
          <w:lang w:eastAsia="en-US"/>
        </w:rPr>
        <w:t>Control group C THR (n=28) and C ca (n=22) only ward nurses routine pre- and postope</w:t>
      </w:r>
      <w:r w:rsidR="004B1E44">
        <w:rPr>
          <w:rFonts w:ascii="Verdana" w:hAnsi="Verdana" w:cs="ArialMT"/>
          <w:i/>
          <w:color w:val="000080"/>
          <w:sz w:val="18"/>
          <w:szCs w:val="18"/>
          <w:lang w:eastAsia="en-US"/>
        </w:rPr>
        <w:t>rative care teaching. Results: a</w:t>
      </w:r>
      <w:r w:rsidR="000D11F7">
        <w:rPr>
          <w:rFonts w:ascii="Verdana" w:hAnsi="Verdana" w:cs="ArialMT"/>
          <w:i/>
          <w:color w:val="000080"/>
          <w:sz w:val="18"/>
          <w:szCs w:val="18"/>
          <w:lang w:eastAsia="en-US"/>
        </w:rPr>
        <w:t>nxiety and pain (E THR vs THR C) no</w:t>
      </w:r>
      <w:r w:rsidR="004B1E44">
        <w:rPr>
          <w:rFonts w:ascii="Verdana" w:hAnsi="Verdana" w:cs="ArialMT"/>
          <w:i/>
          <w:color w:val="000080"/>
          <w:sz w:val="18"/>
          <w:szCs w:val="18"/>
          <w:lang w:eastAsia="en-US"/>
        </w:rPr>
        <w:t xml:space="preserve"> </w:t>
      </w:r>
      <w:r w:rsidR="000D11F7">
        <w:rPr>
          <w:rFonts w:ascii="Verdana" w:hAnsi="Verdana" w:cs="ArialMT"/>
          <w:i/>
          <w:color w:val="000080"/>
          <w:sz w:val="18"/>
          <w:szCs w:val="18"/>
          <w:lang w:eastAsia="en-US"/>
        </w:rPr>
        <w:t xml:space="preserve">statistically significant effects. </w:t>
      </w:r>
    </w:p>
    <w:p w:rsidR="00E73B2C" w:rsidRDefault="00B70532"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Butler et al (1996), Sample size n=80. Teaching methods: experimental group E</w:t>
      </w:r>
      <w:r w:rsidR="00E73B2C">
        <w:rPr>
          <w:rFonts w:ascii="Verdana" w:hAnsi="Verdana" w:cs="ArialMT"/>
          <w:i/>
          <w:color w:val="000080"/>
          <w:sz w:val="18"/>
          <w:szCs w:val="18"/>
          <w:lang w:eastAsia="en-US"/>
        </w:rPr>
        <w:t xml:space="preserve"> </w:t>
      </w:r>
      <w:r>
        <w:rPr>
          <w:rFonts w:ascii="Verdana" w:hAnsi="Verdana" w:cs="ArialMT"/>
          <w:i/>
          <w:color w:val="000080"/>
          <w:sz w:val="18"/>
          <w:szCs w:val="18"/>
          <w:lang w:eastAsia="en-US"/>
        </w:rPr>
        <w:t>(n=32). Booklet about biophysical functional, experimential and social information. Control group C (n=48)</w:t>
      </w:r>
      <w:r w:rsidR="004B1E44">
        <w:rPr>
          <w:rFonts w:ascii="Verdana" w:hAnsi="Verdana" w:cs="ArialMT"/>
          <w:i/>
          <w:color w:val="000080"/>
          <w:sz w:val="18"/>
          <w:szCs w:val="18"/>
          <w:lang w:eastAsia="en-US"/>
        </w:rPr>
        <w:t>,</w:t>
      </w:r>
      <w:r>
        <w:rPr>
          <w:rFonts w:ascii="Verdana" w:hAnsi="Verdana" w:cs="ArialMT"/>
          <w:i/>
          <w:color w:val="000080"/>
          <w:sz w:val="18"/>
          <w:szCs w:val="18"/>
          <w:lang w:eastAsia="en-US"/>
        </w:rPr>
        <w:t xml:space="preserve"> no booklet, usul care, no futher details. Results: Anxiety:</w:t>
      </w:r>
      <w:r w:rsidR="00E73B2C">
        <w:rPr>
          <w:rFonts w:ascii="Verdana" w:hAnsi="Verdana" w:cs="ArialMT"/>
          <w:i/>
          <w:color w:val="000080"/>
          <w:sz w:val="18"/>
          <w:szCs w:val="18"/>
          <w:lang w:eastAsia="en-US"/>
        </w:rPr>
        <w:t xml:space="preserve"> statistically sinificant effect -</w:t>
      </w:r>
      <w:r>
        <w:rPr>
          <w:rFonts w:ascii="Verdana" w:hAnsi="Verdana" w:cs="ArialMT"/>
          <w:i/>
          <w:color w:val="000080"/>
          <w:sz w:val="18"/>
          <w:szCs w:val="18"/>
          <w:lang w:eastAsia="en-US"/>
        </w:rPr>
        <w:t xml:space="preserve"> </w:t>
      </w:r>
      <w:bookmarkStart w:id="0" w:name="_GoBack"/>
      <w:bookmarkEnd w:id="0"/>
      <w:r>
        <w:rPr>
          <w:rFonts w:ascii="Verdana" w:hAnsi="Verdana" w:cs="ArialMT"/>
          <w:i/>
          <w:color w:val="000080"/>
          <w:sz w:val="18"/>
          <w:szCs w:val="18"/>
          <w:lang w:eastAsia="en-US"/>
        </w:rPr>
        <w:t>less anxiety</w:t>
      </w:r>
      <w:r w:rsidR="00E73B2C">
        <w:rPr>
          <w:rFonts w:ascii="Verdana" w:hAnsi="Verdana" w:cs="ArialMT"/>
          <w:i/>
          <w:color w:val="000080"/>
          <w:sz w:val="18"/>
          <w:szCs w:val="18"/>
          <w:lang w:eastAsia="en-US"/>
        </w:rPr>
        <w:t>.</w:t>
      </w:r>
    </w:p>
    <w:p w:rsidR="009F4C33" w:rsidRPr="00B65A34" w:rsidRDefault="009F4C33" w:rsidP="009F4C3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rsidR="00D76573" w:rsidRDefault="009F4C33"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8F284D">
        <w:rPr>
          <w:rFonts w:ascii="Verdana" w:hAnsi="Verdana" w:cs="ArialMT"/>
          <w:b/>
          <w:i/>
          <w:color w:val="000080"/>
          <w:sz w:val="18"/>
          <w:szCs w:val="18"/>
          <w:lang w:eastAsia="en-US"/>
        </w:rPr>
        <w:t>Mc</w:t>
      </w:r>
      <w:r w:rsidR="007E0AE5">
        <w:rPr>
          <w:rFonts w:ascii="Verdana" w:hAnsi="Verdana" w:cs="ArialMT"/>
          <w:b/>
          <w:i/>
          <w:color w:val="000080"/>
          <w:sz w:val="18"/>
          <w:szCs w:val="18"/>
          <w:lang w:eastAsia="en-US"/>
        </w:rPr>
        <w:t>Donald</w:t>
      </w:r>
      <w:r w:rsidRPr="008F284D">
        <w:rPr>
          <w:rFonts w:ascii="Verdana" w:hAnsi="Verdana" w:cs="ArialMT"/>
          <w:b/>
          <w:i/>
          <w:color w:val="000080"/>
          <w:sz w:val="18"/>
          <w:szCs w:val="18"/>
          <w:lang w:eastAsia="en-US"/>
        </w:rPr>
        <w:t xml:space="preserve"> (2008)</w:t>
      </w:r>
      <w:r w:rsidR="004B1E44">
        <w:rPr>
          <w:rFonts w:ascii="Verdana" w:hAnsi="Verdana" w:cs="ArialMT"/>
          <w:i/>
          <w:color w:val="000080"/>
          <w:sz w:val="18"/>
          <w:szCs w:val="18"/>
          <w:lang w:eastAsia="en-US"/>
        </w:rPr>
        <w:t xml:space="preserve"> research</w:t>
      </w:r>
      <w:r>
        <w:rPr>
          <w:rFonts w:ascii="Verdana" w:hAnsi="Verdana" w:cs="ArialMT"/>
          <w:i/>
          <w:color w:val="000080"/>
          <w:sz w:val="18"/>
          <w:szCs w:val="18"/>
          <w:lang w:eastAsia="en-US"/>
        </w:rPr>
        <w:t xml:space="preserve"> objective was to determine whether preoperative education improves postoperative outcomes (anxiety, pain, mobility, lenght of stay and the incidence of deep veid thrombosis) in patients undergoing hip knee or knee replacement surgery. </w:t>
      </w:r>
      <w:r w:rsidR="0086635A">
        <w:rPr>
          <w:rFonts w:ascii="Verdana" w:hAnsi="Verdana" w:cs="ArialMT"/>
          <w:i/>
          <w:color w:val="000080"/>
          <w:sz w:val="18"/>
          <w:szCs w:val="18"/>
          <w:lang w:eastAsia="en-US"/>
        </w:rPr>
        <w:t xml:space="preserve">Nine studies involving 782 participants. Results: Three </w:t>
      </w:r>
      <w:r w:rsidR="000C2A11">
        <w:rPr>
          <w:rFonts w:ascii="Verdana" w:hAnsi="Verdana" w:cs="ArialMT"/>
          <w:i/>
          <w:color w:val="000080"/>
          <w:sz w:val="18"/>
          <w:szCs w:val="18"/>
          <w:lang w:eastAsia="en-US"/>
        </w:rPr>
        <w:t>studies involvi</w:t>
      </w:r>
      <w:r w:rsidR="004B1E44">
        <w:rPr>
          <w:rFonts w:ascii="Verdana" w:hAnsi="Verdana" w:cs="ArialMT"/>
          <w:i/>
          <w:color w:val="000080"/>
          <w:sz w:val="18"/>
          <w:szCs w:val="18"/>
          <w:lang w:eastAsia="en-US"/>
        </w:rPr>
        <w:t>n</w:t>
      </w:r>
      <w:r w:rsidR="000C2A11">
        <w:rPr>
          <w:rFonts w:ascii="Verdana" w:hAnsi="Verdana" w:cs="ArialMT"/>
          <w:i/>
          <w:color w:val="000080"/>
          <w:sz w:val="18"/>
          <w:szCs w:val="18"/>
          <w:lang w:eastAsia="en-US"/>
        </w:rPr>
        <w:t>g 301 patients that presented data for preoperative anxiety found</w:t>
      </w:r>
      <w:r w:rsidR="00DA5480">
        <w:rPr>
          <w:rFonts w:ascii="Verdana" w:hAnsi="Verdana" w:cs="ArialMT"/>
          <w:i/>
          <w:color w:val="000080"/>
          <w:sz w:val="18"/>
          <w:szCs w:val="18"/>
          <w:lang w:eastAsia="en-US"/>
        </w:rPr>
        <w:t xml:space="preserve"> </w:t>
      </w:r>
      <w:r w:rsidR="000C2A11">
        <w:rPr>
          <w:rFonts w:ascii="Verdana" w:hAnsi="Verdana" w:cs="ArialMT"/>
          <w:i/>
          <w:color w:val="000080"/>
          <w:sz w:val="18"/>
          <w:szCs w:val="18"/>
          <w:lang w:eastAsia="en-US"/>
        </w:rPr>
        <w:t>preoperative education to be bene</w:t>
      </w:r>
      <w:r w:rsidR="004B1E44">
        <w:rPr>
          <w:rFonts w:ascii="Verdana" w:hAnsi="Verdana" w:cs="ArialMT"/>
          <w:i/>
          <w:color w:val="000080"/>
          <w:sz w:val="18"/>
          <w:szCs w:val="18"/>
          <w:lang w:eastAsia="en-US"/>
        </w:rPr>
        <w:t xml:space="preserve">ficial in reducing anxiety. The </w:t>
      </w:r>
      <w:r w:rsidR="00DA5480">
        <w:rPr>
          <w:rFonts w:ascii="Verdana" w:hAnsi="Verdana" w:cs="ArialMT"/>
          <w:i/>
          <w:color w:val="000080"/>
          <w:sz w:val="18"/>
          <w:szCs w:val="18"/>
          <w:lang w:eastAsia="en-US"/>
        </w:rPr>
        <w:t>WMD for hip and knees combined was -5,64 (95% Cl -</w:t>
      </w:r>
      <w:r w:rsidR="0086635A">
        <w:rPr>
          <w:rFonts w:ascii="Verdana" w:hAnsi="Verdana" w:cs="ArialMT"/>
          <w:i/>
          <w:color w:val="000080"/>
          <w:sz w:val="18"/>
          <w:szCs w:val="18"/>
          <w:lang w:eastAsia="en-US"/>
        </w:rPr>
        <w:t>7,45 to -3,82)</w:t>
      </w:r>
      <w:r w:rsidR="000C2A11">
        <w:rPr>
          <w:rFonts w:ascii="Verdana" w:hAnsi="Verdana" w:cs="ArialMT"/>
          <w:i/>
          <w:color w:val="000080"/>
          <w:sz w:val="18"/>
          <w:szCs w:val="18"/>
          <w:lang w:eastAsia="en-US"/>
        </w:rPr>
        <w:t xml:space="preserve"> as me</w:t>
      </w:r>
      <w:r w:rsidR="00DA5480">
        <w:rPr>
          <w:rFonts w:ascii="Verdana" w:hAnsi="Verdana" w:cs="ArialMT"/>
          <w:i/>
          <w:color w:val="000080"/>
          <w:sz w:val="18"/>
          <w:szCs w:val="18"/>
          <w:lang w:eastAsia="en-US"/>
        </w:rPr>
        <w:t>asured on the</w:t>
      </w:r>
      <w:r w:rsidR="0086635A">
        <w:rPr>
          <w:rFonts w:ascii="Verdana" w:hAnsi="Verdana" w:cs="ArialMT"/>
          <w:i/>
          <w:color w:val="000080"/>
          <w:sz w:val="18"/>
          <w:szCs w:val="18"/>
          <w:lang w:eastAsia="en-US"/>
        </w:rPr>
        <w:t xml:space="preserve"> scale of 0 to 100. No significant effect on postoperative anxiety was detected either on th</w:t>
      </w:r>
      <w:r w:rsidR="00DA5480">
        <w:rPr>
          <w:rFonts w:ascii="Verdana" w:hAnsi="Verdana" w:cs="ArialMT"/>
          <w:i/>
          <w:color w:val="000080"/>
          <w:sz w:val="18"/>
          <w:szCs w:val="18"/>
          <w:lang w:eastAsia="en-US"/>
        </w:rPr>
        <w:t xml:space="preserve">e day following surgery, or at </w:t>
      </w:r>
      <w:r w:rsidR="0086635A">
        <w:rPr>
          <w:rFonts w:ascii="Verdana" w:hAnsi="Verdana" w:cs="ArialMT"/>
          <w:i/>
          <w:color w:val="000080"/>
          <w:sz w:val="18"/>
          <w:szCs w:val="18"/>
          <w:lang w:eastAsia="en-US"/>
        </w:rPr>
        <w:t xml:space="preserve">discharge. None of the five studies reporting postoperative pain detected any difference between the experimental and control groups. </w:t>
      </w:r>
      <w:r w:rsidR="00DA5480">
        <w:rPr>
          <w:rFonts w:ascii="Verdana" w:hAnsi="Verdana" w:cs="ArialMT"/>
          <w:i/>
          <w:color w:val="000080"/>
          <w:sz w:val="18"/>
          <w:szCs w:val="18"/>
          <w:lang w:eastAsia="en-US"/>
        </w:rPr>
        <w:t>Studies also looked at postoperative anxiety at different time periods. Neither showed any</w:t>
      </w:r>
      <w:r w:rsidR="00DA5480" w:rsidRPr="00DA5480">
        <w:rPr>
          <w:rFonts w:ascii="Verdana" w:hAnsi="Verdana" w:cs="ArialMT"/>
          <w:i/>
          <w:color w:val="000080"/>
          <w:sz w:val="18"/>
          <w:szCs w:val="18"/>
          <w:lang w:eastAsia="en-US"/>
        </w:rPr>
        <w:t xml:space="preserve"> </w:t>
      </w:r>
      <w:r w:rsidR="00DA5480">
        <w:rPr>
          <w:rFonts w:ascii="Verdana" w:hAnsi="Verdana" w:cs="ArialMT"/>
          <w:i/>
          <w:color w:val="000080"/>
          <w:sz w:val="18"/>
          <w:szCs w:val="18"/>
          <w:lang w:eastAsia="en-US"/>
        </w:rPr>
        <w:t xml:space="preserve">significant difference benefit of postoperative education.  </w:t>
      </w:r>
    </w:p>
    <w:p w:rsidR="00D76573" w:rsidRDefault="00D76573" w:rsidP="00D7657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For example Clode-Baker (1997) Intervention group n=41 mailed information about the hospidal stay and postoperative recovery consisting of a 20 minute video, booklet and set</w:t>
      </w:r>
      <w:r w:rsidR="00D779F8">
        <w:rPr>
          <w:rFonts w:ascii="Verdana" w:hAnsi="Verdana" w:cs="ArialMT"/>
          <w:i/>
          <w:color w:val="000080"/>
          <w:sz w:val="18"/>
          <w:szCs w:val="18"/>
          <w:lang w:eastAsia="en-US"/>
        </w:rPr>
        <w:t xml:space="preserve"> of life-size plastic model bon</w:t>
      </w:r>
      <w:r>
        <w:rPr>
          <w:rFonts w:ascii="Verdana" w:hAnsi="Verdana" w:cs="ArialMT"/>
          <w:i/>
          <w:color w:val="000080"/>
          <w:sz w:val="18"/>
          <w:szCs w:val="18"/>
          <w:lang w:eastAsia="en-US"/>
        </w:rPr>
        <w:t>es approximately 4 weeks before surgery. There were two groups, preadmission versus no preadmission information. Outcome: preoperative anxiety</w:t>
      </w:r>
      <w:r w:rsidR="004B1E44">
        <w:rPr>
          <w:rFonts w:ascii="Verdana" w:hAnsi="Verdana" w:cs="ArialMT"/>
          <w:i/>
          <w:color w:val="000080"/>
          <w:sz w:val="18"/>
          <w:szCs w:val="18"/>
          <w:lang w:eastAsia="en-US"/>
        </w:rPr>
        <w:t xml:space="preserve"> </w:t>
      </w:r>
      <w:r>
        <w:rPr>
          <w:rFonts w:ascii="Verdana" w:hAnsi="Verdana" w:cs="ArialMT"/>
          <w:i/>
          <w:color w:val="000080"/>
          <w:sz w:val="18"/>
          <w:szCs w:val="18"/>
          <w:lang w:eastAsia="en-US"/>
        </w:rPr>
        <w:t>(Hamilton anxiety and Depression Scale 0 to 21). Results: Intervention group: median 6(range 1 to</w:t>
      </w:r>
      <w:r w:rsidR="004B1E44">
        <w:rPr>
          <w:rFonts w:ascii="Verdana" w:hAnsi="Verdana" w:cs="ArialMT"/>
          <w:i/>
          <w:color w:val="000080"/>
          <w:sz w:val="18"/>
          <w:szCs w:val="18"/>
          <w:lang w:eastAsia="en-US"/>
        </w:rPr>
        <w:t xml:space="preserve"> </w:t>
      </w:r>
      <w:r>
        <w:rPr>
          <w:rFonts w:ascii="Verdana" w:hAnsi="Verdana" w:cs="ArialMT"/>
          <w:i/>
          <w:color w:val="000080"/>
          <w:sz w:val="18"/>
          <w:szCs w:val="18"/>
          <w:lang w:eastAsia="en-US"/>
        </w:rPr>
        <w:t xml:space="preserve">17). </w:t>
      </w:r>
      <w:r w:rsidR="004B1E44">
        <w:rPr>
          <w:rFonts w:ascii="Verdana" w:hAnsi="Verdana" w:cs="ArialMT"/>
          <w:i/>
          <w:color w:val="000080"/>
          <w:sz w:val="18"/>
          <w:szCs w:val="18"/>
          <w:lang w:eastAsia="en-US"/>
        </w:rPr>
        <w:t xml:space="preserve">Control group median 8 (range 2 to </w:t>
      </w:r>
      <w:r>
        <w:rPr>
          <w:rFonts w:ascii="Verdana" w:hAnsi="Verdana" w:cs="ArialMT"/>
          <w:i/>
          <w:color w:val="000080"/>
          <w:sz w:val="18"/>
          <w:szCs w:val="18"/>
          <w:lang w:eastAsia="en-US"/>
        </w:rPr>
        <w:t xml:space="preserve">21). No significant difference between two groups. </w:t>
      </w:r>
    </w:p>
    <w:p w:rsidR="00D76573" w:rsidRDefault="00D76573" w:rsidP="00D7657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Outcome:postoperative anxiety</w:t>
      </w:r>
      <w:r w:rsidR="004B1E44">
        <w:rPr>
          <w:rFonts w:ascii="Verdana" w:hAnsi="Verdana" w:cs="ArialMT"/>
          <w:i/>
          <w:color w:val="000080"/>
          <w:sz w:val="18"/>
          <w:szCs w:val="18"/>
          <w:lang w:eastAsia="en-US"/>
        </w:rPr>
        <w:t xml:space="preserve"> </w:t>
      </w:r>
      <w:r>
        <w:rPr>
          <w:rFonts w:ascii="Verdana" w:hAnsi="Verdana" w:cs="ArialMT"/>
          <w:i/>
          <w:color w:val="000080"/>
          <w:sz w:val="18"/>
          <w:szCs w:val="18"/>
          <w:lang w:eastAsia="en-US"/>
        </w:rPr>
        <w:t>(Hamilton anxiety and Depression Scale 0 to 21). Results: Intervention group: median 5 (range 1 to</w:t>
      </w:r>
      <w:r w:rsidR="004B1E44">
        <w:rPr>
          <w:rFonts w:ascii="Verdana" w:hAnsi="Verdana" w:cs="ArialMT"/>
          <w:i/>
          <w:color w:val="000080"/>
          <w:sz w:val="18"/>
          <w:szCs w:val="18"/>
          <w:lang w:eastAsia="en-US"/>
        </w:rPr>
        <w:t xml:space="preserve"> </w:t>
      </w:r>
      <w:r>
        <w:rPr>
          <w:rFonts w:ascii="Verdana" w:hAnsi="Verdana" w:cs="ArialMT"/>
          <w:i/>
          <w:color w:val="000080"/>
          <w:sz w:val="18"/>
          <w:szCs w:val="18"/>
          <w:lang w:eastAsia="en-US"/>
        </w:rPr>
        <w:t xml:space="preserve">15). </w:t>
      </w:r>
      <w:r w:rsidR="004B1E44">
        <w:rPr>
          <w:rFonts w:ascii="Verdana" w:hAnsi="Verdana" w:cs="ArialMT"/>
          <w:i/>
          <w:color w:val="000080"/>
          <w:sz w:val="18"/>
          <w:szCs w:val="18"/>
          <w:lang w:eastAsia="en-US"/>
        </w:rPr>
        <w:t xml:space="preserve">Control group median 5 (range 1 to </w:t>
      </w:r>
      <w:r>
        <w:rPr>
          <w:rFonts w:ascii="Verdana" w:hAnsi="Verdana" w:cs="ArialMT"/>
          <w:i/>
          <w:color w:val="000080"/>
          <w:sz w:val="18"/>
          <w:szCs w:val="18"/>
          <w:lang w:eastAsia="en-US"/>
        </w:rPr>
        <w:t>15). No significant difference between two groups</w:t>
      </w:r>
      <w:r w:rsidR="00D779F8">
        <w:rPr>
          <w:rFonts w:ascii="Verdana" w:hAnsi="Verdana" w:cs="ArialMT"/>
          <w:i/>
          <w:color w:val="000080"/>
          <w:sz w:val="18"/>
          <w:szCs w:val="18"/>
          <w:lang w:eastAsia="en-US"/>
        </w:rPr>
        <w:t>.</w:t>
      </w:r>
    </w:p>
    <w:p w:rsidR="00906031" w:rsidRDefault="00DA5480"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Five studies reporting postoperative pain, none of the studies reportingpostoperative pain detected any difference between the groups. The only study for which data could be extracted for this outcome, the WMD was -2,43 (95% Cl -14,41 to 9,55) as measured on a visual analogue scale.</w:t>
      </w:r>
    </w:p>
    <w:p w:rsidR="00D76573" w:rsidRDefault="00906031"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 xml:space="preserve">Data on patient satisfication were presented in two studies, using e five point rating scale where on corresponded to „very dissatisfied“ and five to „very satisfied“. No significant </w:t>
      </w:r>
      <w:r w:rsidR="00BB7DBE">
        <w:rPr>
          <w:rFonts w:ascii="Verdana" w:hAnsi="Verdana" w:cs="ArialMT"/>
          <w:i/>
          <w:color w:val="000080"/>
          <w:sz w:val="18"/>
          <w:szCs w:val="18"/>
          <w:lang w:eastAsia="en-US"/>
        </w:rPr>
        <w:t>differences between the two groups. (WMD 0,19; 95% Cl-0,02</w:t>
      </w:r>
      <w:r w:rsidR="00D779F8">
        <w:rPr>
          <w:rFonts w:ascii="Verdana" w:hAnsi="Verdana" w:cs="ArialMT"/>
          <w:i/>
          <w:color w:val="000080"/>
          <w:sz w:val="18"/>
          <w:szCs w:val="18"/>
          <w:lang w:eastAsia="en-US"/>
        </w:rPr>
        <w:t xml:space="preserve"> </w:t>
      </w:r>
      <w:r w:rsidR="00BB7DBE">
        <w:rPr>
          <w:rFonts w:ascii="Verdana" w:hAnsi="Verdana" w:cs="ArialMT"/>
          <w:i/>
          <w:color w:val="000080"/>
          <w:sz w:val="18"/>
          <w:szCs w:val="18"/>
          <w:lang w:eastAsia="en-US"/>
        </w:rPr>
        <w:t>to 0,39)</w:t>
      </w:r>
    </w:p>
    <w:p w:rsidR="00D76573" w:rsidRDefault="00D76573" w:rsidP="00D7657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rsidR="007E0AE5" w:rsidRPr="00B65A34" w:rsidRDefault="007E0AE5" w:rsidP="007E0AE5">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8623F2">
        <w:rPr>
          <w:rFonts w:ascii="Verdana" w:hAnsi="Verdana" w:cs="ArialMT"/>
          <w:b/>
          <w:i/>
          <w:color w:val="000080"/>
          <w:sz w:val="18"/>
          <w:szCs w:val="18"/>
          <w:lang w:eastAsia="en-US"/>
        </w:rPr>
        <w:t xml:space="preserve">Louw et al (2013) </w:t>
      </w:r>
      <w:r>
        <w:rPr>
          <w:rFonts w:ascii="Verdana" w:hAnsi="Verdana" w:cs="ArialMT"/>
          <w:i/>
          <w:color w:val="000080"/>
          <w:sz w:val="18"/>
          <w:szCs w:val="18"/>
          <w:lang w:eastAsia="en-US"/>
        </w:rPr>
        <w:t>systematic review is based on 13 studies, two studies included pain education. Two studies reported positive effect on postoperative pain. McDonald et al (2001) study saple consist 31 patient (18 in control group and 13 communication group). Teaching methods: Power-point slide show to each Basic pain management and pain communication skills. Main results: experimental group reporter less paini n all intervals postoperatively compared to the control group. And another study Gammon et al (1996) found that experimental group used less i/m analgesia. Preoperative education has little effect on postoperative pain in patients undergoing orthopedic patients.</w:t>
      </w:r>
    </w:p>
    <w:p w:rsidR="007E0AE5" w:rsidRDefault="007E0AE5" w:rsidP="00D7657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b/>
          <w:i/>
          <w:color w:val="000080"/>
          <w:sz w:val="18"/>
          <w:szCs w:val="18"/>
          <w:lang w:eastAsia="en-US"/>
        </w:rPr>
      </w:pPr>
    </w:p>
    <w:p w:rsidR="00EC5306" w:rsidRDefault="00EC5306" w:rsidP="00D76573">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8F284D">
        <w:rPr>
          <w:rFonts w:ascii="Verdana" w:hAnsi="Verdana" w:cs="ArialMT"/>
          <w:b/>
          <w:i/>
          <w:color w:val="000080"/>
          <w:sz w:val="18"/>
          <w:szCs w:val="18"/>
          <w:lang w:eastAsia="en-US"/>
        </w:rPr>
        <w:t xml:space="preserve">Gurusamy et al. </w:t>
      </w:r>
      <w:r w:rsidR="00D911D4" w:rsidRPr="008F284D">
        <w:rPr>
          <w:rFonts w:ascii="Verdana" w:hAnsi="Verdana" w:cs="ArialMT"/>
          <w:b/>
          <w:i/>
          <w:color w:val="000080"/>
          <w:sz w:val="18"/>
          <w:szCs w:val="18"/>
          <w:lang w:eastAsia="en-US"/>
        </w:rPr>
        <w:t>(</w:t>
      </w:r>
      <w:r w:rsidRPr="008F284D">
        <w:rPr>
          <w:rFonts w:ascii="Verdana" w:hAnsi="Verdana" w:cs="ArialMT"/>
          <w:b/>
          <w:i/>
          <w:color w:val="000080"/>
          <w:sz w:val="18"/>
          <w:szCs w:val="18"/>
          <w:lang w:eastAsia="en-US"/>
        </w:rPr>
        <w:t>2014</w:t>
      </w:r>
      <w:r w:rsidR="00D911D4" w:rsidRPr="008F284D">
        <w:rPr>
          <w:rFonts w:ascii="Verdana" w:hAnsi="Verdana" w:cs="ArialMT"/>
          <w:b/>
          <w:i/>
          <w:color w:val="000080"/>
          <w:sz w:val="18"/>
          <w:szCs w:val="18"/>
          <w:lang w:eastAsia="en-US"/>
        </w:rPr>
        <w:t>)</w:t>
      </w:r>
      <w:r>
        <w:rPr>
          <w:rFonts w:ascii="Verdana" w:hAnsi="Verdana" w:cs="ArialMT"/>
          <w:i/>
          <w:color w:val="000080"/>
          <w:sz w:val="18"/>
          <w:szCs w:val="18"/>
          <w:lang w:eastAsia="en-US"/>
        </w:rPr>
        <w:t xml:space="preserve"> A total of 431 participans undergoing elective laparoscopy cholecystectomy were randomized. To formal patient education (215 participans)</w:t>
      </w:r>
      <w:r w:rsidR="00584113">
        <w:rPr>
          <w:rFonts w:ascii="Verdana" w:hAnsi="Verdana" w:cs="ArialMT"/>
          <w:i/>
          <w:color w:val="000080"/>
          <w:sz w:val="18"/>
          <w:szCs w:val="18"/>
          <w:lang w:eastAsia="en-US"/>
        </w:rPr>
        <w:t xml:space="preserve"> </w:t>
      </w:r>
      <w:r>
        <w:rPr>
          <w:rFonts w:ascii="Verdana" w:hAnsi="Verdana" w:cs="ArialMT"/>
          <w:i/>
          <w:color w:val="000080"/>
          <w:sz w:val="18"/>
          <w:szCs w:val="18"/>
          <w:lang w:eastAsia="en-US"/>
        </w:rPr>
        <w:t>versus standard care (216 participans) in four trials. Patient education methods: verbal education, multimeedia DVD programme, computer</w:t>
      </w:r>
      <w:r w:rsidR="00A140B9">
        <w:rPr>
          <w:rFonts w:ascii="Verdana" w:hAnsi="Verdana" w:cs="ArialMT"/>
          <w:i/>
          <w:color w:val="000080"/>
          <w:sz w:val="18"/>
          <w:szCs w:val="18"/>
          <w:lang w:eastAsia="en-US"/>
        </w:rPr>
        <w:t>-</w:t>
      </w:r>
      <w:r>
        <w:rPr>
          <w:rFonts w:ascii="Verdana" w:hAnsi="Verdana" w:cs="ArialMT"/>
          <w:i/>
          <w:color w:val="000080"/>
          <w:sz w:val="18"/>
          <w:szCs w:val="18"/>
          <w:lang w:eastAsia="en-US"/>
        </w:rPr>
        <w:t xml:space="preserve">based </w:t>
      </w:r>
      <w:r w:rsidR="00A140B9">
        <w:rPr>
          <w:rFonts w:ascii="Verdana" w:hAnsi="Verdana" w:cs="ArialMT"/>
          <w:i/>
          <w:color w:val="000080"/>
          <w:sz w:val="18"/>
          <w:szCs w:val="18"/>
          <w:lang w:eastAsia="en-US"/>
        </w:rPr>
        <w:t xml:space="preserve">multimeedia programme, and Power-Point presentation in the four trials. </w:t>
      </w:r>
    </w:p>
    <w:p w:rsidR="00D911D4" w:rsidRDefault="00A140B9"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There were insuffient details to calculate the mean difference and 95%Cl for the difference in pain scores at 9to 24 hours. (</w:t>
      </w:r>
      <w:r w:rsidR="00584113">
        <w:rPr>
          <w:rFonts w:ascii="Verdana" w:hAnsi="Verdana" w:cs="ArialMT"/>
          <w:i/>
          <w:color w:val="000080"/>
          <w:sz w:val="18"/>
          <w:szCs w:val="18"/>
          <w:lang w:eastAsia="en-US"/>
        </w:rPr>
        <w:t>1 trial; 93 pati</w:t>
      </w:r>
      <w:r>
        <w:rPr>
          <w:rFonts w:ascii="Verdana" w:hAnsi="Verdana" w:cs="ArialMT"/>
          <w:i/>
          <w:color w:val="000080"/>
          <w:sz w:val="18"/>
          <w:szCs w:val="18"/>
          <w:lang w:eastAsia="en-US"/>
        </w:rPr>
        <w:t>ents); and studies did not identify clear evidence of an effect on patient knowledge (3 trials, 338 patients, SMD 0,19; 95% Cl-0,02to0,41; very low quality evidence.) Patient satisfication (2 trials, 305 patients, SMD 0,48; 95% Cl-0,42to 1,37; very low quality evidence), patient anxiety (</w:t>
      </w:r>
      <w:r w:rsidR="00584113">
        <w:rPr>
          <w:rFonts w:ascii="Verdana" w:hAnsi="Verdana" w:cs="ArialMT"/>
          <w:i/>
          <w:color w:val="000080"/>
          <w:sz w:val="18"/>
          <w:szCs w:val="18"/>
          <w:lang w:eastAsia="en-US"/>
        </w:rPr>
        <w:t xml:space="preserve">1 </w:t>
      </w:r>
      <w:r>
        <w:rPr>
          <w:rFonts w:ascii="Verdana" w:hAnsi="Verdana" w:cs="ArialMT"/>
          <w:i/>
          <w:color w:val="000080"/>
          <w:sz w:val="18"/>
          <w:szCs w:val="18"/>
          <w:lang w:eastAsia="en-US"/>
        </w:rPr>
        <w:t xml:space="preserve">trials, </w:t>
      </w:r>
      <w:r w:rsidR="00584113">
        <w:rPr>
          <w:rFonts w:ascii="Verdana" w:hAnsi="Verdana" w:cs="ArialMT"/>
          <w:i/>
          <w:color w:val="000080"/>
          <w:sz w:val="18"/>
          <w:szCs w:val="18"/>
          <w:lang w:eastAsia="en-US"/>
        </w:rPr>
        <w:t>76</w:t>
      </w:r>
      <w:r>
        <w:rPr>
          <w:rFonts w:ascii="Verdana" w:hAnsi="Verdana" w:cs="ArialMT"/>
          <w:i/>
          <w:color w:val="000080"/>
          <w:sz w:val="18"/>
          <w:szCs w:val="18"/>
          <w:lang w:eastAsia="en-US"/>
        </w:rPr>
        <w:t xml:space="preserve"> patients, SMD </w:t>
      </w:r>
      <w:r w:rsidR="00584113">
        <w:rPr>
          <w:rFonts w:ascii="Verdana" w:hAnsi="Verdana" w:cs="ArialMT"/>
          <w:i/>
          <w:color w:val="000080"/>
          <w:sz w:val="18"/>
          <w:szCs w:val="18"/>
          <w:lang w:eastAsia="en-US"/>
        </w:rPr>
        <w:t>-0,37; 95% Cl-0,82 to 0,09; very low quality evidence</w:t>
      </w:r>
      <w:r>
        <w:rPr>
          <w:rFonts w:ascii="Verdana" w:hAnsi="Verdana" w:cs="ArialMT"/>
          <w:i/>
          <w:color w:val="000080"/>
          <w:sz w:val="18"/>
          <w:szCs w:val="18"/>
          <w:lang w:eastAsia="en-US"/>
        </w:rPr>
        <w:t>)</w:t>
      </w:r>
      <w:r w:rsidR="00584113">
        <w:rPr>
          <w:rFonts w:ascii="Verdana" w:hAnsi="Verdana" w:cs="ArialMT"/>
          <w:i/>
          <w:color w:val="000080"/>
          <w:sz w:val="18"/>
          <w:szCs w:val="18"/>
          <w:lang w:eastAsia="en-US"/>
        </w:rPr>
        <w:t>between the two groups.</w:t>
      </w:r>
    </w:p>
    <w:p w:rsidR="00A84D0F" w:rsidRPr="005567F7" w:rsidRDefault="00D911D4" w:rsidP="005567F7">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Verdana" w:hAnsi="Verdana" w:cs="ArialMT"/>
          <w:i/>
          <w:color w:val="000080"/>
          <w:sz w:val="18"/>
          <w:szCs w:val="18"/>
          <w:lang w:eastAsia="en-US"/>
        </w:rPr>
        <w:t>Futher well-designed randomised clinical trials of  low risk of bias are necessary.</w:t>
      </w:r>
    </w:p>
    <w:p w:rsidR="00E73B2C" w:rsidRDefault="00217657"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Pr>
          <w:rFonts w:ascii="Helvetica-Condensed-Bold" w:hAnsi="Helvetica-Condensed-Bold" w:cs="Helvetica-Condensed-Bold"/>
          <w:b/>
          <w:bCs/>
          <w:color w:val="FFFFFF"/>
          <w:sz w:val="16"/>
          <w:szCs w:val="16"/>
        </w:rPr>
        <w:t>discharge and following treatment</w:t>
      </w:r>
    </w:p>
    <w:p w:rsidR="005567F7" w:rsidRPr="00EC5306" w:rsidRDefault="005567F7" w:rsidP="005F2F59">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FF0000"/>
          <w:sz w:val="18"/>
          <w:szCs w:val="18"/>
          <w:lang w:eastAsia="en-US"/>
        </w:rPr>
      </w:pPr>
    </w:p>
    <w:p w:rsidR="00B50780" w:rsidRPr="00B65A34" w:rsidRDefault="0044513D"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r w:rsidRPr="00B65A34">
        <w:rPr>
          <w:rFonts w:ascii="Verdana" w:hAnsi="Verdana" w:cs="ArialMT"/>
          <w:i/>
          <w:noProof/>
          <w:color w:val="000080"/>
          <w:sz w:val="18"/>
          <w:szCs w:val="18"/>
          <w:lang w:eastAsia="ja-JP"/>
        </w:rPr>
        <w:drawing>
          <wp:inline distT="0" distB="0" distL="0" distR="0">
            <wp:extent cx="5753100" cy="56578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657850"/>
                    </a:xfrm>
                    <a:prstGeom prst="rect">
                      <a:avLst/>
                    </a:prstGeom>
                    <a:noFill/>
                    <a:ln>
                      <a:noFill/>
                    </a:ln>
                  </pic:spPr>
                </pic:pic>
              </a:graphicData>
            </a:graphic>
          </wp:inline>
        </w:drawing>
      </w:r>
    </w:p>
    <w:p w:rsidR="000E2194" w:rsidRPr="00B65A34" w:rsidRDefault="000E2194" w:rsidP="00042FF2">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i/>
          <w:color w:val="000080"/>
          <w:sz w:val="18"/>
          <w:szCs w:val="18"/>
          <w:lang w:eastAsia="en-US"/>
        </w:rPr>
      </w:pPr>
    </w:p>
    <w:p w:rsidR="00D52195" w:rsidRPr="00AF17F6" w:rsidRDefault="0044513D" w:rsidP="00B65A34">
      <w:pPr>
        <w:pBdr>
          <w:top w:val="single" w:sz="4" w:space="1" w:color="000080"/>
          <w:left w:val="single" w:sz="4" w:space="4" w:color="000080"/>
          <w:bottom w:val="single" w:sz="4" w:space="1" w:color="000080"/>
          <w:right w:val="single" w:sz="4" w:space="4" w:color="000080"/>
        </w:pBdr>
        <w:shd w:val="clear" w:color="auto" w:fill="FFFFFF"/>
        <w:ind w:right="240"/>
        <w:jc w:val="both"/>
        <w:rPr>
          <w:rFonts w:ascii="Verdana" w:hAnsi="Verdana" w:cs="ArialMT"/>
          <w:color w:val="000080"/>
          <w:sz w:val="18"/>
          <w:szCs w:val="18"/>
          <w:lang w:eastAsia="en-US"/>
        </w:rPr>
      </w:pPr>
      <w:r w:rsidRPr="00D835C2">
        <w:rPr>
          <w:noProof/>
          <w:lang w:eastAsia="ja-JP"/>
        </w:rPr>
        <w:drawing>
          <wp:inline distT="0" distB="0" distL="0" distR="0">
            <wp:extent cx="5972175" cy="4876800"/>
            <wp:effectExtent l="0" t="0" r="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4876800"/>
                    </a:xfrm>
                    <a:prstGeom prst="rect">
                      <a:avLst/>
                    </a:prstGeom>
                    <a:noFill/>
                    <a:ln>
                      <a:noFill/>
                    </a:ln>
                  </pic:spPr>
                </pic:pic>
              </a:graphicData>
            </a:graphic>
          </wp:inline>
        </w:drawing>
      </w:r>
    </w:p>
    <w:p w:rsidR="00A91414" w:rsidRPr="00B65A34" w:rsidRDefault="00A91414" w:rsidP="003B0510">
      <w:pPr>
        <w:autoSpaceDE w:val="0"/>
        <w:autoSpaceDN w:val="0"/>
        <w:adjustRightInd w:val="0"/>
        <w:jc w:val="both"/>
        <w:rPr>
          <w:rFonts w:ascii="Verdana" w:hAnsi="Verdana" w:cs="ArialMT"/>
          <w:b/>
          <w:color w:val="000080"/>
          <w:sz w:val="18"/>
          <w:szCs w:val="18"/>
          <w:lang w:eastAsia="en-US"/>
        </w:rPr>
      </w:pPr>
    </w:p>
    <w:p w:rsidR="00D52195" w:rsidRDefault="00D52195" w:rsidP="003B0510">
      <w:pPr>
        <w:autoSpaceDE w:val="0"/>
        <w:autoSpaceDN w:val="0"/>
        <w:adjustRightInd w:val="0"/>
        <w:jc w:val="both"/>
        <w:rPr>
          <w:rFonts w:ascii="Verdana" w:hAnsi="Verdana" w:cs="ArialMT"/>
          <w:b/>
          <w:color w:val="000080"/>
          <w:sz w:val="18"/>
          <w:szCs w:val="18"/>
          <w:lang w:eastAsia="en-US"/>
        </w:rPr>
      </w:pPr>
    </w:p>
    <w:p w:rsidR="00076D55" w:rsidRDefault="00076D55" w:rsidP="003B0510">
      <w:pPr>
        <w:autoSpaceDE w:val="0"/>
        <w:autoSpaceDN w:val="0"/>
        <w:adjustRightInd w:val="0"/>
        <w:jc w:val="both"/>
        <w:rPr>
          <w:rFonts w:ascii="Verdana" w:hAnsi="Verdana" w:cs="ArialMT"/>
          <w:b/>
          <w:color w:val="000080"/>
          <w:sz w:val="18"/>
          <w:szCs w:val="18"/>
          <w:lang w:eastAsia="en-US"/>
        </w:rPr>
      </w:pPr>
    </w:p>
    <w:p w:rsidR="00076D55" w:rsidRDefault="00076D55" w:rsidP="003B0510">
      <w:pPr>
        <w:autoSpaceDE w:val="0"/>
        <w:autoSpaceDN w:val="0"/>
        <w:adjustRightInd w:val="0"/>
        <w:jc w:val="both"/>
        <w:rPr>
          <w:rFonts w:ascii="Verdana" w:hAnsi="Verdana" w:cs="ArialMT"/>
          <w:b/>
          <w:color w:val="000080"/>
          <w:sz w:val="18"/>
          <w:szCs w:val="18"/>
          <w:lang w:eastAsia="en-US"/>
        </w:rPr>
      </w:pPr>
    </w:p>
    <w:p w:rsidR="00076D55" w:rsidRDefault="00076D55"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AF17F6" w:rsidRDefault="00AF17F6" w:rsidP="003B0510">
      <w:pPr>
        <w:autoSpaceDE w:val="0"/>
        <w:autoSpaceDN w:val="0"/>
        <w:adjustRightInd w:val="0"/>
        <w:jc w:val="both"/>
        <w:rPr>
          <w:rFonts w:ascii="Verdana" w:hAnsi="Verdana" w:cs="ArialMT"/>
          <w:b/>
          <w:color w:val="000080"/>
          <w:sz w:val="18"/>
          <w:szCs w:val="18"/>
          <w:lang w:eastAsia="en-US"/>
        </w:rPr>
      </w:pPr>
    </w:p>
    <w:p w:rsidR="005567F7" w:rsidRDefault="005567F7" w:rsidP="003B0510">
      <w:pPr>
        <w:autoSpaceDE w:val="0"/>
        <w:autoSpaceDN w:val="0"/>
        <w:adjustRightInd w:val="0"/>
        <w:jc w:val="both"/>
        <w:rPr>
          <w:rFonts w:ascii="Verdana" w:hAnsi="Verdana" w:cs="ArialMT"/>
          <w:b/>
          <w:color w:val="000080"/>
          <w:sz w:val="18"/>
          <w:szCs w:val="18"/>
          <w:lang w:eastAsia="en-US"/>
        </w:rPr>
      </w:pPr>
    </w:p>
    <w:p w:rsidR="003B0510" w:rsidRPr="00B65A34" w:rsidRDefault="00042FF2" w:rsidP="003B0510">
      <w:pPr>
        <w:autoSpaceDE w:val="0"/>
        <w:autoSpaceDN w:val="0"/>
        <w:adjustRightInd w:val="0"/>
        <w:jc w:val="both"/>
        <w:rPr>
          <w:rFonts w:ascii="Verdana" w:hAnsi="Verdana" w:cs="ArialMT"/>
          <w:b/>
          <w:color w:val="000080"/>
          <w:sz w:val="18"/>
          <w:szCs w:val="18"/>
          <w:lang w:eastAsia="en-US"/>
        </w:rPr>
      </w:pPr>
      <w:r w:rsidRPr="00B65A34">
        <w:rPr>
          <w:rFonts w:ascii="Verdana" w:hAnsi="Verdana" w:cs="ArialMT"/>
          <w:b/>
          <w:color w:val="000080"/>
          <w:sz w:val="18"/>
          <w:szCs w:val="18"/>
          <w:lang w:eastAsia="en-US"/>
        </w:rPr>
        <w:t>Viited</w:t>
      </w:r>
    </w:p>
    <w:p w:rsidR="003B0510" w:rsidRPr="00B65A34" w:rsidRDefault="003B0510" w:rsidP="003B0510">
      <w:pPr>
        <w:autoSpaceDE w:val="0"/>
        <w:autoSpaceDN w:val="0"/>
        <w:adjustRightInd w:val="0"/>
        <w:jc w:val="both"/>
        <w:rPr>
          <w:rFonts w:ascii="Verdana" w:hAnsi="Verdana" w:cs="ArialMT"/>
          <w:color w:val="000080"/>
          <w:sz w:val="18"/>
          <w:szCs w:val="18"/>
          <w:lang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92"/>
        <w:gridCol w:w="3096"/>
      </w:tblGrid>
      <w:tr w:rsidR="00CE5B40" w:rsidRPr="00B65A34">
        <w:tc>
          <w:tcPr>
            <w:tcW w:w="6192" w:type="dxa"/>
            <w:shd w:val="clear" w:color="auto" w:fill="auto"/>
          </w:tcPr>
          <w:p w:rsidR="00CE5B40" w:rsidRPr="00B65A34" w:rsidRDefault="00042FF2" w:rsidP="00042FF2">
            <w:pPr>
              <w:spacing w:before="75" w:after="225"/>
              <w:rPr>
                <w:rFonts w:ascii="Verdana" w:hAnsi="Verdana" w:cs="Arial"/>
                <w:b/>
                <w:color w:val="000080"/>
                <w:sz w:val="18"/>
                <w:szCs w:val="18"/>
              </w:rPr>
            </w:pPr>
            <w:r w:rsidRPr="00B65A34">
              <w:rPr>
                <w:rFonts w:ascii="Verdana" w:hAnsi="Verdana" w:cs="Arial"/>
                <w:b/>
                <w:color w:val="000080"/>
                <w:sz w:val="18"/>
                <w:szCs w:val="18"/>
              </w:rPr>
              <w:t>Kokkuvõtte</w:t>
            </w:r>
            <w:r w:rsidR="006C23C3" w:rsidRPr="00B65A34">
              <w:rPr>
                <w:rFonts w:ascii="Verdana" w:hAnsi="Verdana" w:cs="Arial"/>
                <w:b/>
                <w:color w:val="000080"/>
                <w:sz w:val="18"/>
                <w:szCs w:val="18"/>
              </w:rPr>
              <w:t xml:space="preserve"> (</w:t>
            </w:r>
            <w:r w:rsidRPr="00B65A34">
              <w:rPr>
                <w:rFonts w:ascii="Verdana" w:hAnsi="Verdana" w:cs="Arial"/>
                <w:b/>
                <w:color w:val="000080"/>
                <w:sz w:val="18"/>
                <w:szCs w:val="18"/>
              </w:rPr>
              <w:t>abstract või kokkuvõtlikum info</w:t>
            </w:r>
            <w:r w:rsidR="006C23C3" w:rsidRPr="00B65A34">
              <w:rPr>
                <w:rFonts w:ascii="Verdana" w:hAnsi="Verdana" w:cs="Arial"/>
                <w:b/>
                <w:color w:val="000080"/>
                <w:sz w:val="18"/>
                <w:szCs w:val="18"/>
              </w:rPr>
              <w:t>)</w:t>
            </w:r>
          </w:p>
        </w:tc>
        <w:tc>
          <w:tcPr>
            <w:tcW w:w="3096" w:type="dxa"/>
            <w:shd w:val="clear" w:color="auto" w:fill="auto"/>
          </w:tcPr>
          <w:p w:rsidR="00CE5B40" w:rsidRPr="00B65A34" w:rsidRDefault="00042FF2" w:rsidP="00926558">
            <w:pPr>
              <w:spacing w:before="75" w:after="225"/>
              <w:rPr>
                <w:rFonts w:ascii="Verdana" w:hAnsi="Verdana" w:cs="Arial"/>
                <w:b/>
                <w:color w:val="000080"/>
                <w:sz w:val="18"/>
                <w:szCs w:val="18"/>
              </w:rPr>
            </w:pPr>
            <w:r w:rsidRPr="00B65A34">
              <w:rPr>
                <w:rFonts w:ascii="Verdana" w:hAnsi="Verdana" w:cs="Arial"/>
                <w:b/>
                <w:bCs/>
                <w:color w:val="000080"/>
                <w:sz w:val="18"/>
                <w:szCs w:val="18"/>
              </w:rPr>
              <w:t>Viide kirjandusallikale</w:t>
            </w:r>
          </w:p>
        </w:tc>
      </w:tr>
      <w:tr w:rsidR="00AC2F0F" w:rsidRPr="00B65A34">
        <w:tc>
          <w:tcPr>
            <w:tcW w:w="6192" w:type="dxa"/>
            <w:shd w:val="clear" w:color="auto" w:fill="auto"/>
          </w:tcPr>
          <w:p w:rsidR="008914DB" w:rsidRPr="00B65A34" w:rsidRDefault="008914DB" w:rsidP="008914DB">
            <w:pPr>
              <w:autoSpaceDE w:val="0"/>
              <w:autoSpaceDN w:val="0"/>
              <w:adjustRightInd w:val="0"/>
              <w:rPr>
                <w:rFonts w:ascii="Verdana" w:hAnsi="Verdana" w:cs="Arial"/>
                <w:sz w:val="18"/>
                <w:szCs w:val="18"/>
              </w:rPr>
            </w:pPr>
            <w:r w:rsidRPr="00B65A34">
              <w:rPr>
                <w:rFonts w:ascii="Verdana" w:hAnsi="Verdana" w:cs="Arial"/>
                <w:sz w:val="18"/>
                <w:szCs w:val="18"/>
              </w:rPr>
              <w:t xml:space="preserve">PURPOSE: </w:t>
            </w:r>
          </w:p>
          <w:p w:rsidR="008914DB" w:rsidRPr="00B65A34" w:rsidRDefault="008914DB" w:rsidP="008914DB">
            <w:pPr>
              <w:autoSpaceDE w:val="0"/>
              <w:autoSpaceDN w:val="0"/>
              <w:adjustRightInd w:val="0"/>
              <w:rPr>
                <w:rFonts w:ascii="Verdana" w:hAnsi="Verdana" w:cs="Arial"/>
                <w:sz w:val="18"/>
                <w:szCs w:val="18"/>
              </w:rPr>
            </w:pPr>
            <w:r w:rsidRPr="00B65A34">
              <w:rPr>
                <w:rFonts w:ascii="Verdana" w:hAnsi="Verdana" w:cs="AGaramond-Regular"/>
                <w:sz w:val="18"/>
                <w:szCs w:val="18"/>
              </w:rPr>
              <w:t>To determine whether preoperative education improves postoperative outcomes (anxiety, pain,mobility, length of stay and the incidence of deep vein thrombosis) in patients undergoing hip or knee replacement surgery.</w:t>
            </w:r>
            <w:r w:rsidRPr="00B65A34">
              <w:rPr>
                <w:rFonts w:ascii="Verdana" w:hAnsi="Verdana" w:cs="Arial"/>
                <w:sz w:val="18"/>
                <w:szCs w:val="18"/>
              </w:rPr>
              <w:t xml:space="preserve"> </w:t>
            </w:r>
          </w:p>
          <w:p w:rsidR="008914DB" w:rsidRPr="00B65A34" w:rsidRDefault="008914DB" w:rsidP="008914DB">
            <w:pPr>
              <w:autoSpaceDE w:val="0"/>
              <w:autoSpaceDN w:val="0"/>
              <w:adjustRightInd w:val="0"/>
              <w:rPr>
                <w:rFonts w:ascii="Verdana" w:hAnsi="Verdana" w:cs="AGaramond-Regular"/>
                <w:sz w:val="18"/>
                <w:szCs w:val="18"/>
              </w:rPr>
            </w:pPr>
          </w:p>
          <w:p w:rsidR="008914DB" w:rsidRPr="00B65A34" w:rsidRDefault="008914DB" w:rsidP="008914DB">
            <w:pPr>
              <w:autoSpaceDE w:val="0"/>
              <w:autoSpaceDN w:val="0"/>
              <w:adjustRightInd w:val="0"/>
              <w:rPr>
                <w:rFonts w:ascii="Verdana" w:hAnsi="Verdana" w:cs="AGaramond-Regular"/>
                <w:sz w:val="18"/>
                <w:szCs w:val="18"/>
              </w:rPr>
            </w:pPr>
            <w:r w:rsidRPr="00B65A34">
              <w:rPr>
                <w:rFonts w:ascii="Verdana" w:hAnsi="Verdana" w:cs="Arial"/>
                <w:sz w:val="18"/>
                <w:szCs w:val="18"/>
              </w:rPr>
              <w:t xml:space="preserve">DATA SOURCES: </w:t>
            </w:r>
            <w:r w:rsidRPr="00B65A34">
              <w:rPr>
                <w:rFonts w:ascii="Verdana" w:hAnsi="Verdana" w:cs="AGaramond-Regular"/>
                <w:sz w:val="18"/>
                <w:szCs w:val="18"/>
              </w:rPr>
              <w:t>MEDLINE (1966 to April 2003), EMBASE (1980 to June 2002), CINAHL, PsycINFO and PEDro until May 2003. We handsearched the Australian Journal of Physiotherapy (1954 to 2001) and reviewed the reference lists</w:t>
            </w:r>
            <w:r w:rsidRPr="00B65A34">
              <w:rPr>
                <w:rFonts w:ascii="AGaramond-Regular" w:hAnsi="AGaramond-Regular" w:cs="AGaramond-Regular"/>
                <w:sz w:val="18"/>
                <w:szCs w:val="18"/>
              </w:rPr>
              <w:t>.</w:t>
            </w:r>
            <w:r w:rsidRPr="00B65A34">
              <w:rPr>
                <w:rFonts w:ascii="Verdana" w:hAnsi="Verdana" w:cs="Arial"/>
                <w:sz w:val="18"/>
                <w:szCs w:val="18"/>
              </w:rPr>
              <w:t xml:space="preserve"> </w:t>
            </w:r>
          </w:p>
          <w:p w:rsidR="008914DB" w:rsidRPr="00B65A34" w:rsidRDefault="008914DB" w:rsidP="008914DB">
            <w:pPr>
              <w:autoSpaceDE w:val="0"/>
              <w:autoSpaceDN w:val="0"/>
              <w:adjustRightInd w:val="0"/>
              <w:rPr>
                <w:rFonts w:ascii="Verdana" w:hAnsi="Verdana" w:cs="Arial"/>
                <w:sz w:val="18"/>
                <w:szCs w:val="18"/>
              </w:rPr>
            </w:pPr>
          </w:p>
          <w:p w:rsidR="008914DB" w:rsidRPr="00B65A34" w:rsidRDefault="008914DB" w:rsidP="008914DB">
            <w:pPr>
              <w:autoSpaceDE w:val="0"/>
              <w:autoSpaceDN w:val="0"/>
              <w:adjustRightInd w:val="0"/>
              <w:rPr>
                <w:rFonts w:ascii="Verdana" w:hAnsi="Verdana" w:cs="Arial"/>
                <w:sz w:val="18"/>
                <w:szCs w:val="18"/>
              </w:rPr>
            </w:pPr>
            <w:r w:rsidRPr="00B65A34">
              <w:rPr>
                <w:rFonts w:ascii="Verdana" w:hAnsi="Verdana" w:cs="Arial"/>
                <w:sz w:val="18"/>
                <w:szCs w:val="18"/>
              </w:rPr>
              <w:t xml:space="preserve">STUDY SELECTION: </w:t>
            </w:r>
            <w:r w:rsidRPr="00B65A34">
              <w:rPr>
                <w:rFonts w:ascii="AGaramond-Regular" w:hAnsi="AGaramond-Regular" w:cs="AGaramond-Regular"/>
                <w:sz w:val="18"/>
                <w:szCs w:val="18"/>
              </w:rPr>
              <w:t xml:space="preserve"> </w:t>
            </w:r>
            <w:r w:rsidRPr="00B65A34">
              <w:rPr>
                <w:rFonts w:ascii="Verdana" w:hAnsi="Verdana" w:cs="AGaramond-Regular"/>
                <w:sz w:val="18"/>
                <w:szCs w:val="18"/>
              </w:rPr>
              <w:t>Randomised trials of preoperative education (verbal, written or audiovisual) delivered by a health professional within six weeks of surgery to patients undergoing hip or knee replacement.</w:t>
            </w:r>
            <w:r w:rsidRPr="00B65A34">
              <w:rPr>
                <w:rFonts w:ascii="Verdana" w:hAnsi="Verdana" w:cs="Arial"/>
                <w:sz w:val="18"/>
                <w:szCs w:val="18"/>
              </w:rPr>
              <w:t xml:space="preserve"> </w:t>
            </w:r>
          </w:p>
          <w:p w:rsidR="008914DB" w:rsidRPr="00B65A34" w:rsidRDefault="008914DB" w:rsidP="008914DB">
            <w:pPr>
              <w:autoSpaceDE w:val="0"/>
              <w:autoSpaceDN w:val="0"/>
              <w:adjustRightInd w:val="0"/>
              <w:rPr>
                <w:rFonts w:ascii="AGaramond-Regular" w:hAnsi="AGaramond-Regular" w:cs="AGaramond-Regular"/>
                <w:sz w:val="18"/>
                <w:szCs w:val="18"/>
              </w:rPr>
            </w:pPr>
          </w:p>
          <w:p w:rsidR="008914DB" w:rsidRPr="00B65A34" w:rsidRDefault="008914DB" w:rsidP="008914DB">
            <w:pPr>
              <w:autoSpaceDE w:val="0"/>
              <w:autoSpaceDN w:val="0"/>
              <w:adjustRightInd w:val="0"/>
              <w:rPr>
                <w:rFonts w:ascii="Verdana" w:hAnsi="Verdana" w:cs="AGaramond-Regular"/>
                <w:sz w:val="18"/>
                <w:szCs w:val="18"/>
              </w:rPr>
            </w:pPr>
            <w:r w:rsidRPr="00B65A34">
              <w:rPr>
                <w:rFonts w:ascii="Verdana" w:hAnsi="Verdana" w:cs="AGaramond-Regular"/>
                <w:sz w:val="18"/>
                <w:szCs w:val="18"/>
              </w:rPr>
              <w:t xml:space="preserve">DATA COLLECTION AND ANALYSIS: </w:t>
            </w:r>
            <w:r w:rsidRPr="00B65A34">
              <w:rPr>
                <w:rFonts w:ascii="Verdana" w:hAnsi="Verdana"/>
                <w:sz w:val="18"/>
                <w:szCs w:val="18"/>
              </w:rPr>
              <w:t>Two reviewers independently assessed study quality and extracted data. Continuous outcomes were combined using weighted mean difference (WMD) and 95% confidence intervals (CI).</w:t>
            </w:r>
          </w:p>
          <w:p w:rsidR="00662797" w:rsidRPr="00B65A34" w:rsidRDefault="00662797" w:rsidP="008914DB">
            <w:pPr>
              <w:pStyle w:val="Normaallaadveeb"/>
              <w:rPr>
                <w:rFonts w:ascii="Verdana" w:hAnsi="Verdana"/>
                <w:sz w:val="18"/>
                <w:szCs w:val="18"/>
              </w:rPr>
            </w:pPr>
            <w:r w:rsidRPr="00B65A34">
              <w:rPr>
                <w:rFonts w:ascii="Verdana" w:hAnsi="Verdana"/>
                <w:sz w:val="18"/>
                <w:szCs w:val="18"/>
              </w:rPr>
              <w:t xml:space="preserve">MAIN RESULTS: Nine studies involving 782 participants met the inclusion criteria. Four studies involving 365 participants assessed length of hospital stay (days) but detected no significant difference between preoperative education and usual care (WMD </w:t>
            </w:r>
            <w:r w:rsidRPr="00B65A34">
              <w:rPr>
                <w:rFonts w:ascii="MS Gothic" w:eastAsia="MS Gothic" w:hAnsi="MS Gothic" w:cs="MS Gothic"/>
                <w:sz w:val="18"/>
                <w:szCs w:val="18"/>
              </w:rPr>
              <w:t>‐</w:t>
            </w:r>
            <w:r w:rsidRPr="00B65A34">
              <w:rPr>
                <w:rFonts w:ascii="Verdana" w:hAnsi="Verdana"/>
                <w:sz w:val="18"/>
                <w:szCs w:val="18"/>
              </w:rPr>
              <w:t xml:space="preserve">0.97; 95% CI </w:t>
            </w:r>
            <w:r w:rsidRPr="00B65A34">
              <w:rPr>
                <w:rFonts w:ascii="MS Gothic" w:eastAsia="MS Gothic" w:hAnsi="MS Gothic" w:cs="MS Gothic"/>
                <w:sz w:val="18"/>
                <w:szCs w:val="18"/>
              </w:rPr>
              <w:t>‐</w:t>
            </w:r>
            <w:r w:rsidRPr="00B65A34">
              <w:rPr>
                <w:rFonts w:ascii="Verdana" w:hAnsi="Verdana"/>
                <w:sz w:val="18"/>
                <w:szCs w:val="18"/>
              </w:rPr>
              <w:t xml:space="preserve">2.67 to 0.73). However, one study of 133 participants with more complex needs, indicated that individually tailored programmes of education and support were beneficial in reducing length of stay. The four studies reporting length of stay did not find any significant effect of preoperative education on days to standing and days to climb stairs. Three trials found preoperative education was beneficial in reducing preoperative anxiety (WMD </w:t>
            </w:r>
            <w:r w:rsidRPr="00B65A34">
              <w:rPr>
                <w:rFonts w:ascii="MS Gothic" w:eastAsia="MS Gothic" w:hAnsi="MS Gothic" w:cs="MS Gothic"/>
                <w:sz w:val="18"/>
                <w:szCs w:val="18"/>
              </w:rPr>
              <w:t>‐</w:t>
            </w:r>
            <w:r w:rsidRPr="00B65A34">
              <w:rPr>
                <w:rFonts w:ascii="Verdana" w:hAnsi="Verdana"/>
                <w:sz w:val="18"/>
                <w:szCs w:val="18"/>
              </w:rPr>
              <w:t xml:space="preserve">5.64; </w:t>
            </w:r>
            <w:r w:rsidRPr="00B65A34">
              <w:rPr>
                <w:rFonts w:ascii="MS Gothic" w:eastAsia="MS Gothic" w:hAnsi="MS Gothic" w:cs="MS Gothic"/>
                <w:sz w:val="18"/>
                <w:szCs w:val="18"/>
              </w:rPr>
              <w:t>‐</w:t>
            </w:r>
            <w:r w:rsidRPr="00B65A34">
              <w:rPr>
                <w:rFonts w:ascii="Verdana" w:hAnsi="Verdana"/>
                <w:sz w:val="18"/>
                <w:szCs w:val="18"/>
              </w:rPr>
              <w:t xml:space="preserve">7.45 to </w:t>
            </w:r>
            <w:r w:rsidRPr="00B65A34">
              <w:rPr>
                <w:rFonts w:ascii="MS Gothic" w:eastAsia="MS Gothic" w:hAnsi="MS Gothic" w:cs="MS Gothic"/>
                <w:sz w:val="18"/>
                <w:szCs w:val="18"/>
              </w:rPr>
              <w:t>‐</w:t>
            </w:r>
            <w:r w:rsidRPr="00B65A34">
              <w:rPr>
                <w:rFonts w:ascii="Verdana" w:hAnsi="Verdana"/>
                <w:sz w:val="18"/>
                <w:szCs w:val="18"/>
              </w:rPr>
              <w:t>3.82) on a scale of 0 to 100. No significant effect on postoperative anxiety was detected either on the day following surgery , or at discharge. None of the five studies reporting postoperative pain detected any difference between the groups.</w:t>
            </w:r>
          </w:p>
          <w:p w:rsidR="00C709B0" w:rsidRPr="00B65A34" w:rsidRDefault="00662797" w:rsidP="00AB5AC6">
            <w:pPr>
              <w:pStyle w:val="Normaallaadveeb"/>
              <w:shd w:val="clear" w:color="auto" w:fill="FFFFFF"/>
              <w:spacing w:before="0" w:beforeAutospacing="0" w:after="0" w:afterAutospacing="0"/>
              <w:rPr>
                <w:rFonts w:ascii="Verdana" w:hAnsi="Verdana"/>
                <w:sz w:val="18"/>
                <w:szCs w:val="18"/>
              </w:rPr>
            </w:pPr>
            <w:r w:rsidRPr="00B65A34">
              <w:rPr>
                <w:rFonts w:ascii="Verdana" w:hAnsi="Verdana"/>
                <w:sz w:val="18"/>
                <w:szCs w:val="18"/>
              </w:rPr>
              <w:t>AUTHORS` CONCLUSIONS: There is little evidence to support the use of pre</w:t>
            </w:r>
            <w:r w:rsidRPr="00B65A34">
              <w:rPr>
                <w:rFonts w:ascii="MS Gothic" w:eastAsia="MS Gothic" w:hAnsi="MS Gothic" w:cs="MS Gothic"/>
                <w:sz w:val="18"/>
                <w:szCs w:val="18"/>
              </w:rPr>
              <w:t>‐</w:t>
            </w:r>
            <w:r w:rsidRPr="00B65A34">
              <w:rPr>
                <w:rFonts w:ascii="Verdana" w:hAnsi="Verdana"/>
                <w:sz w:val="18"/>
                <w:szCs w:val="18"/>
              </w:rPr>
              <w:t>operative education over and above standard care to improve postoperative outcomes in patients undergoing hip or knee replacement surgery, especially with respect to pain, functioning and length of hospital stay. There is evidence that preoperative education has a modest beneficial effect on preoperative anxiety. There may also be beneficial effects when preoperative education is tailored according to anxiety, or targeted at those most in need of support (e.g. those who are particularly disabled, or have limited social support structures).</w:t>
            </w:r>
          </w:p>
        </w:tc>
        <w:tc>
          <w:tcPr>
            <w:tcW w:w="3096" w:type="dxa"/>
            <w:shd w:val="clear" w:color="auto" w:fill="auto"/>
          </w:tcPr>
          <w:p w:rsidR="00AB5AC6" w:rsidRPr="00B65A34" w:rsidRDefault="00AB5AC6" w:rsidP="00AB5AC6">
            <w:pPr>
              <w:autoSpaceDE w:val="0"/>
              <w:autoSpaceDN w:val="0"/>
              <w:adjustRightInd w:val="0"/>
              <w:rPr>
                <w:rFonts w:ascii="Verdana" w:hAnsi="Verdana" w:cs="ArialMT"/>
                <w:color w:val="000080"/>
                <w:sz w:val="18"/>
                <w:szCs w:val="18"/>
              </w:rPr>
            </w:pPr>
            <w:r w:rsidRPr="00B65A34">
              <w:rPr>
                <w:rFonts w:ascii="Verdana" w:hAnsi="Verdana" w:cs="ArialMT"/>
                <w:color w:val="000080"/>
                <w:sz w:val="18"/>
                <w:szCs w:val="18"/>
              </w:rPr>
              <w:t xml:space="preserve">McDonald, S.,Hetrick, SE,.Green,S. </w:t>
            </w:r>
          </w:p>
          <w:p w:rsidR="003777AB" w:rsidRDefault="00AB5AC6" w:rsidP="00AB5AC6">
            <w:pPr>
              <w:autoSpaceDE w:val="0"/>
              <w:autoSpaceDN w:val="0"/>
              <w:adjustRightInd w:val="0"/>
              <w:rPr>
                <w:rFonts w:ascii="Verdana" w:hAnsi="Verdana" w:cs="ArialMT"/>
                <w:color w:val="000080"/>
                <w:sz w:val="18"/>
                <w:szCs w:val="18"/>
              </w:rPr>
            </w:pPr>
            <w:r w:rsidRPr="00B65A34">
              <w:rPr>
                <w:rFonts w:ascii="Verdana" w:hAnsi="Verdana" w:cs="ArialMT"/>
                <w:color w:val="000080"/>
                <w:sz w:val="18"/>
                <w:szCs w:val="18"/>
              </w:rPr>
              <w:t>Pre-operative education for hip or knee replacement (Review)</w:t>
            </w:r>
          </w:p>
          <w:p w:rsidR="003777AB" w:rsidRPr="00B65A34" w:rsidRDefault="003777AB" w:rsidP="00AB5AC6">
            <w:pPr>
              <w:autoSpaceDE w:val="0"/>
              <w:autoSpaceDN w:val="0"/>
              <w:adjustRightInd w:val="0"/>
              <w:rPr>
                <w:rFonts w:ascii="Verdana" w:hAnsi="Verdana" w:cs="ArialMT"/>
                <w:color w:val="000080"/>
                <w:sz w:val="18"/>
                <w:szCs w:val="18"/>
              </w:rPr>
            </w:pPr>
            <w:r>
              <w:rPr>
                <w:rFonts w:ascii="Verdana" w:hAnsi="Verdana" w:cs="ArialMT"/>
                <w:color w:val="000080"/>
                <w:sz w:val="18"/>
                <w:szCs w:val="18"/>
              </w:rPr>
              <w:t>Cochrane Database of systematic Reviews 2008</w:t>
            </w:r>
          </w:p>
          <w:p w:rsidR="00AC2F0F" w:rsidRPr="00B65A34" w:rsidRDefault="00AC2F0F" w:rsidP="00AB5AC6">
            <w:pPr>
              <w:autoSpaceDE w:val="0"/>
              <w:autoSpaceDN w:val="0"/>
              <w:adjustRightInd w:val="0"/>
              <w:rPr>
                <w:rFonts w:ascii="Verdana" w:hAnsi="Verdana" w:cs="SabonLTStd-Roman"/>
                <w:color w:val="000080"/>
                <w:sz w:val="18"/>
                <w:szCs w:val="18"/>
              </w:rPr>
            </w:pPr>
          </w:p>
        </w:tc>
      </w:tr>
      <w:tr w:rsidR="000500F3" w:rsidRPr="00B65A34">
        <w:tc>
          <w:tcPr>
            <w:tcW w:w="6192" w:type="dxa"/>
            <w:shd w:val="clear" w:color="auto" w:fill="auto"/>
          </w:tcPr>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Generally, before being operated on, patients will be given informal information by the healthcare providers involved in the care of the patients (doctors, nurses, ward clerks, or healthcare assistants). This information can also be provided formally in different formats including written information, formal lectures, or audio-visual recorded information.</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OBJECTIVES</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To compare the benefits and harms of formal preoperative patient education for patients undergoing laparoscopic cholecystectomy.</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SEARCH METHODS:</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Cochrane Central Register of Controlled Trials (CENTRAL) (Issue 2, 2013), MEDLINE, EMBASE, and Science Citation Index Expanded to March 2013.</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 xml:space="preserve">Selection criteria: </w:t>
            </w:r>
            <w:proofErr w:type="spellStart"/>
            <w:r w:rsidRPr="00A62508">
              <w:rPr>
                <w:rFonts w:ascii="Verdana" w:hAnsi="Verdana"/>
                <w:bCs/>
                <w:color w:val="000080"/>
                <w:sz w:val="18"/>
                <w:szCs w:val="18"/>
                <w:lang w:val="en-US"/>
              </w:rPr>
              <w:t>Randomised</w:t>
            </w:r>
            <w:proofErr w:type="spellEnd"/>
            <w:r w:rsidRPr="00A62508">
              <w:rPr>
                <w:rFonts w:ascii="Verdana" w:hAnsi="Verdana"/>
                <w:bCs/>
                <w:color w:val="000080"/>
                <w:sz w:val="18"/>
                <w:szCs w:val="18"/>
                <w:lang w:val="en-US"/>
              </w:rPr>
              <w:t xml:space="preserve"> clinical trials irrespective of language and publication status.</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DATA COLLECTION AND ANALYSIS:</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 xml:space="preserve">Two review authors independently extracted the data. We planned to calculate the risk ratio with 95% confidence intervals (CI) for dichotomous outcomes, and mean difference (MD) or </w:t>
            </w:r>
            <w:proofErr w:type="spellStart"/>
            <w:r w:rsidRPr="00A62508">
              <w:rPr>
                <w:rFonts w:ascii="Verdana" w:hAnsi="Verdana"/>
                <w:bCs/>
                <w:color w:val="000080"/>
                <w:sz w:val="18"/>
                <w:szCs w:val="18"/>
                <w:lang w:val="en-US"/>
              </w:rPr>
              <w:t>standardised</w:t>
            </w:r>
            <w:proofErr w:type="spellEnd"/>
            <w:r w:rsidRPr="00A62508">
              <w:rPr>
                <w:rFonts w:ascii="Verdana" w:hAnsi="Verdana"/>
                <w:bCs/>
                <w:color w:val="000080"/>
                <w:sz w:val="18"/>
                <w:szCs w:val="18"/>
                <w:lang w:val="en-US"/>
              </w:rPr>
              <w:t xml:space="preserve"> mean difference (SMD) with 95% CI for continuous outcomes based on intention-to-treat analyses when data were available.</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MAIN RESULTS</w:t>
            </w:r>
            <w:r>
              <w:rPr>
                <w:rFonts w:ascii="Verdana" w:hAnsi="Verdana"/>
                <w:bCs/>
                <w:color w:val="000080"/>
                <w:sz w:val="18"/>
                <w:szCs w:val="18"/>
                <w:lang w:val="en-US"/>
              </w:rPr>
              <w:t>:</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 xml:space="preserve">A total of 431 participants undergoing elective laparoscopic cholecystectomy were </w:t>
            </w:r>
            <w:proofErr w:type="spellStart"/>
            <w:r w:rsidRPr="00A62508">
              <w:rPr>
                <w:rFonts w:ascii="Verdana" w:hAnsi="Verdana"/>
                <w:bCs/>
                <w:color w:val="000080"/>
                <w:sz w:val="18"/>
                <w:szCs w:val="18"/>
                <w:lang w:val="en-US"/>
              </w:rPr>
              <w:t>randomised</w:t>
            </w:r>
            <w:proofErr w:type="spellEnd"/>
            <w:r w:rsidRPr="00A62508">
              <w:rPr>
                <w:rFonts w:ascii="Verdana" w:hAnsi="Verdana"/>
                <w:bCs/>
                <w:color w:val="000080"/>
                <w:sz w:val="18"/>
                <w:szCs w:val="18"/>
                <w:lang w:val="en-US"/>
              </w:rPr>
              <w:t xml:space="preserve"> to formal patient education (215 participants) versus standard care (216 participants) in four trials. The patient education included verbal education, multimedia DVD </w:t>
            </w:r>
            <w:proofErr w:type="spellStart"/>
            <w:r w:rsidRPr="00A62508">
              <w:rPr>
                <w:rFonts w:ascii="Verdana" w:hAnsi="Verdana"/>
                <w:bCs/>
                <w:color w:val="000080"/>
                <w:sz w:val="18"/>
                <w:szCs w:val="18"/>
                <w:lang w:val="en-US"/>
              </w:rPr>
              <w:t>programme</w:t>
            </w:r>
            <w:proofErr w:type="spellEnd"/>
            <w:r w:rsidRPr="00A62508">
              <w:rPr>
                <w:rFonts w:ascii="Verdana" w:hAnsi="Verdana"/>
                <w:bCs/>
                <w:color w:val="000080"/>
                <w:sz w:val="18"/>
                <w:szCs w:val="18"/>
                <w:lang w:val="en-US"/>
              </w:rPr>
              <w:t xml:space="preserve">, computer-based multimedia </w:t>
            </w:r>
            <w:proofErr w:type="spellStart"/>
            <w:r w:rsidRPr="00A62508">
              <w:rPr>
                <w:rFonts w:ascii="Verdana" w:hAnsi="Verdana"/>
                <w:bCs/>
                <w:color w:val="000080"/>
                <w:sz w:val="18"/>
                <w:szCs w:val="18"/>
                <w:lang w:val="en-US"/>
              </w:rPr>
              <w:t>programme</w:t>
            </w:r>
            <w:proofErr w:type="spellEnd"/>
            <w:r w:rsidRPr="00A62508">
              <w:rPr>
                <w:rFonts w:ascii="Verdana" w:hAnsi="Verdana"/>
                <w:bCs/>
                <w:color w:val="000080"/>
                <w:sz w:val="18"/>
                <w:szCs w:val="18"/>
                <w:lang w:val="en-US"/>
              </w:rPr>
              <w:t>, and PowerPoint presentation in the four trials. All the trials were of high risk of bias. One trial including 212 patients reported mortality. There was no mortality in either group in this trial. None of the trials reported surgery-related morbidity, quality of life, proportion of patients discharged as day-procedure laparoscopic cholecystectomy, the length of hospital stay, return to work, or the number of unplanned visits to the doctor. There were insufficient details to calculate the mean difference and 95% CI for the difference in pain scores at 9 to 24 hours (1 trial; 93 patients); and we did not identify clear evidence of an effect on patient knowledge (3 trials; 338 participants; SMD 0.19; 95% CI -0.02 to 0.41; very low quality evidence), patient satisfaction (2 trials; 305 patients; SMD 0.48; 95% CI -0.42 to 1.37; very low quality evidence), or patient anxiety (1 trial; 76 participants; SMD -0.37; 95% CI -0.82 to 0.09; very low quality evidence) between the two groups.</w:t>
            </w:r>
          </w:p>
          <w:p w:rsidR="003777AB" w:rsidRPr="00A62508"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AUTHORS' CONCLUSIONS</w:t>
            </w:r>
            <w:r>
              <w:rPr>
                <w:rFonts w:ascii="Verdana" w:hAnsi="Verdana"/>
                <w:bCs/>
                <w:color w:val="000080"/>
                <w:sz w:val="18"/>
                <w:szCs w:val="18"/>
                <w:lang w:val="en-US"/>
              </w:rPr>
              <w:t>:</w:t>
            </w:r>
          </w:p>
          <w:p w:rsidR="000500F3" w:rsidRPr="003777AB" w:rsidRDefault="003777AB" w:rsidP="003777AB">
            <w:pPr>
              <w:rPr>
                <w:rFonts w:ascii="Verdana" w:hAnsi="Verdana"/>
                <w:bCs/>
                <w:color w:val="000080"/>
                <w:sz w:val="18"/>
                <w:szCs w:val="18"/>
                <w:lang w:val="en-US"/>
              </w:rPr>
            </w:pPr>
            <w:r w:rsidRPr="00A62508">
              <w:rPr>
                <w:rFonts w:ascii="Verdana" w:hAnsi="Verdana"/>
                <w:bCs/>
                <w:color w:val="000080"/>
                <w:sz w:val="18"/>
                <w:szCs w:val="18"/>
                <w:lang w:val="en-US"/>
              </w:rPr>
              <w:t xml:space="preserve">Due to the very low quality of the current evidence, the effects of formal patient education provided in addition to the standard information provided by doctors to patients compared with standard care remain uncertain. Further well-designed </w:t>
            </w:r>
            <w:proofErr w:type="spellStart"/>
            <w:r w:rsidRPr="00A62508">
              <w:rPr>
                <w:rFonts w:ascii="Verdana" w:hAnsi="Verdana"/>
                <w:bCs/>
                <w:color w:val="000080"/>
                <w:sz w:val="18"/>
                <w:szCs w:val="18"/>
                <w:lang w:val="en-US"/>
              </w:rPr>
              <w:t>randomised</w:t>
            </w:r>
            <w:proofErr w:type="spellEnd"/>
            <w:r w:rsidRPr="00A62508">
              <w:rPr>
                <w:rFonts w:ascii="Verdana" w:hAnsi="Verdana"/>
                <w:bCs/>
                <w:color w:val="000080"/>
                <w:sz w:val="18"/>
                <w:szCs w:val="18"/>
                <w:lang w:val="en-US"/>
              </w:rPr>
              <w:t xml:space="preserve"> clinical trials of low risk of bias are necessary.</w:t>
            </w:r>
          </w:p>
        </w:tc>
        <w:tc>
          <w:tcPr>
            <w:tcW w:w="3096" w:type="dxa"/>
            <w:shd w:val="clear" w:color="auto" w:fill="auto"/>
          </w:tcPr>
          <w:p w:rsidR="00465E8B" w:rsidRPr="00A62508" w:rsidRDefault="00465E8B" w:rsidP="00465E8B">
            <w:pPr>
              <w:rPr>
                <w:rFonts w:ascii="Verdana" w:hAnsi="Verdana"/>
                <w:bCs/>
                <w:color w:val="000080"/>
                <w:sz w:val="18"/>
                <w:szCs w:val="18"/>
                <w:lang w:val="en-US"/>
              </w:rPr>
            </w:pPr>
            <w:proofErr w:type="spellStart"/>
            <w:r w:rsidRPr="00A62508">
              <w:rPr>
                <w:rFonts w:ascii="Verdana" w:hAnsi="Verdana"/>
                <w:bCs/>
                <w:color w:val="000080"/>
                <w:sz w:val="18"/>
                <w:szCs w:val="18"/>
                <w:lang w:val="en-US"/>
              </w:rPr>
              <w:t>Gurusamy</w:t>
            </w:r>
            <w:proofErr w:type="spellEnd"/>
            <w:r w:rsidRPr="00A62508">
              <w:rPr>
                <w:rFonts w:ascii="Verdana" w:hAnsi="Verdana"/>
                <w:bCs/>
                <w:color w:val="000080"/>
                <w:sz w:val="18"/>
                <w:szCs w:val="18"/>
                <w:lang w:val="en-US"/>
              </w:rPr>
              <w:t xml:space="preserve"> S.K; Vaughan J; Davidson B</w:t>
            </w:r>
          </w:p>
          <w:p w:rsidR="00465E8B" w:rsidRPr="00A62508" w:rsidRDefault="00465E8B" w:rsidP="00465E8B">
            <w:pPr>
              <w:rPr>
                <w:rFonts w:ascii="Verdana" w:hAnsi="Verdana"/>
                <w:bCs/>
                <w:color w:val="000080"/>
                <w:sz w:val="18"/>
                <w:szCs w:val="18"/>
                <w:lang w:val="en-US"/>
              </w:rPr>
            </w:pPr>
            <w:r w:rsidRPr="00A62508">
              <w:rPr>
                <w:rFonts w:ascii="Verdana" w:hAnsi="Verdana"/>
                <w:bCs/>
                <w:color w:val="000080"/>
                <w:sz w:val="18"/>
                <w:szCs w:val="18"/>
                <w:lang w:val="en-US"/>
              </w:rPr>
              <w:t>Formal education of patients about to undergo laparoscopic cholecystectomy</w:t>
            </w:r>
          </w:p>
          <w:p w:rsidR="00465E8B" w:rsidRPr="00A62508" w:rsidRDefault="00465E8B" w:rsidP="00465E8B">
            <w:pPr>
              <w:rPr>
                <w:rFonts w:ascii="Verdana" w:hAnsi="Verdana"/>
                <w:bCs/>
                <w:color w:val="000080"/>
                <w:sz w:val="18"/>
                <w:szCs w:val="18"/>
                <w:lang w:val="en-US"/>
              </w:rPr>
            </w:pPr>
            <w:r w:rsidRPr="00A62508">
              <w:rPr>
                <w:rFonts w:ascii="Verdana" w:hAnsi="Verdana"/>
                <w:bCs/>
                <w:color w:val="000080"/>
                <w:sz w:val="18"/>
                <w:szCs w:val="18"/>
                <w:lang w:val="en-US"/>
              </w:rPr>
              <w:t>Cochrane Database of Systematic Reviews</w:t>
            </w:r>
          </w:p>
          <w:p w:rsidR="00465E8B" w:rsidRPr="00B65A34" w:rsidRDefault="00465E8B" w:rsidP="00465E8B">
            <w:pPr>
              <w:ind w:right="30"/>
              <w:rPr>
                <w:rFonts w:ascii="Verdana" w:hAnsi="Verdana" w:cs="Arial"/>
                <w:color w:val="000080"/>
                <w:sz w:val="18"/>
                <w:szCs w:val="18"/>
              </w:rPr>
            </w:pPr>
            <w:proofErr w:type="spellStart"/>
            <w:r>
              <w:rPr>
                <w:rFonts w:ascii="Verdana" w:hAnsi="Verdana"/>
                <w:bCs/>
                <w:color w:val="000080"/>
                <w:sz w:val="18"/>
                <w:szCs w:val="18"/>
                <w:lang w:val="en-US"/>
              </w:rPr>
              <w:t>Vol</w:t>
            </w:r>
            <w:proofErr w:type="spellEnd"/>
            <w:r>
              <w:rPr>
                <w:rFonts w:ascii="Verdana" w:hAnsi="Verdana"/>
                <w:bCs/>
                <w:color w:val="000080"/>
                <w:sz w:val="18"/>
                <w:szCs w:val="18"/>
                <w:lang w:val="en-US"/>
              </w:rPr>
              <w:t xml:space="preserve"> </w:t>
            </w:r>
            <w:r w:rsidRPr="00A62508">
              <w:rPr>
                <w:rFonts w:ascii="Verdana" w:hAnsi="Verdana"/>
                <w:bCs/>
                <w:color w:val="000080"/>
                <w:sz w:val="18"/>
                <w:szCs w:val="18"/>
                <w:lang w:val="en-US"/>
              </w:rPr>
              <w:t>29; 2014</w:t>
            </w:r>
          </w:p>
        </w:tc>
      </w:tr>
      <w:tr w:rsidR="00465E8B" w:rsidRPr="00B65A34">
        <w:tc>
          <w:tcPr>
            <w:tcW w:w="6192" w:type="dxa"/>
            <w:shd w:val="clear" w:color="auto" w:fill="auto"/>
          </w:tcPr>
          <w:p w:rsidR="00465E8B" w:rsidRDefault="00465E8B" w:rsidP="001F270C">
            <w:pPr>
              <w:rPr>
                <w:rFonts w:ascii="Verdana" w:hAnsi="Verdana"/>
                <w:bCs/>
                <w:color w:val="000080"/>
                <w:sz w:val="18"/>
                <w:szCs w:val="18"/>
                <w:lang w:val="en-US"/>
              </w:rPr>
            </w:pPr>
            <w:r>
              <w:rPr>
                <w:rFonts w:ascii="Verdana" w:hAnsi="Verdana"/>
                <w:bCs/>
                <w:color w:val="000080"/>
                <w:sz w:val="18"/>
                <w:szCs w:val="18"/>
                <w:lang w:val="en-US"/>
              </w:rPr>
              <w:t>AIMS:</w:t>
            </w:r>
          </w:p>
          <w:p w:rsidR="00465E8B" w:rsidRDefault="00465E8B" w:rsidP="001F270C">
            <w:pPr>
              <w:rPr>
                <w:rFonts w:ascii="Verdana" w:hAnsi="Verdana"/>
                <w:bCs/>
                <w:color w:val="000080"/>
                <w:sz w:val="18"/>
                <w:szCs w:val="18"/>
                <w:lang w:val="en-US"/>
              </w:rPr>
            </w:pPr>
            <w:r w:rsidRPr="002F2859">
              <w:rPr>
                <w:rFonts w:ascii="Verdana" w:hAnsi="Verdana"/>
                <w:bCs/>
                <w:color w:val="000080"/>
                <w:sz w:val="18"/>
                <w:szCs w:val="18"/>
                <w:lang w:val="en-US"/>
              </w:rPr>
              <w:t xml:space="preserve"> This paper presents a systematic review whose aim was to describe the scope and methods of the current literature on preoperative patient education and to identify the effects of this education. Background. Preoperative patient education is a common and important inter- </w:t>
            </w:r>
            <w:proofErr w:type="spellStart"/>
            <w:r w:rsidRPr="002F2859">
              <w:rPr>
                <w:rFonts w:ascii="Verdana" w:hAnsi="Verdana"/>
                <w:bCs/>
                <w:color w:val="000080"/>
                <w:sz w:val="18"/>
                <w:szCs w:val="18"/>
                <w:lang w:val="en-US"/>
              </w:rPr>
              <w:t>vention</w:t>
            </w:r>
            <w:proofErr w:type="spellEnd"/>
            <w:r w:rsidRPr="002F2859">
              <w:rPr>
                <w:rFonts w:ascii="Verdana" w:hAnsi="Verdana"/>
                <w:bCs/>
                <w:color w:val="000080"/>
                <w:sz w:val="18"/>
                <w:szCs w:val="18"/>
                <w:lang w:val="en-US"/>
              </w:rPr>
              <w:t xml:space="preserve"> in surgical nursing, yet there is very limited systematic evidence on its precise role. METHODS</w:t>
            </w:r>
            <w:r>
              <w:rPr>
                <w:rFonts w:ascii="Verdana" w:hAnsi="Verdana"/>
                <w:bCs/>
                <w:color w:val="000080"/>
                <w:sz w:val="18"/>
                <w:szCs w:val="18"/>
                <w:lang w:val="en-US"/>
              </w:rPr>
              <w:t>:</w:t>
            </w:r>
          </w:p>
          <w:p w:rsidR="00465E8B" w:rsidRDefault="00465E8B" w:rsidP="001F270C">
            <w:pPr>
              <w:rPr>
                <w:rFonts w:ascii="Verdana" w:hAnsi="Verdana"/>
                <w:bCs/>
                <w:color w:val="000080"/>
                <w:sz w:val="18"/>
                <w:szCs w:val="18"/>
                <w:lang w:val="en-US"/>
              </w:rPr>
            </w:pPr>
            <w:r w:rsidRPr="002F2859">
              <w:rPr>
                <w:rFonts w:ascii="Verdana" w:hAnsi="Verdana"/>
                <w:bCs/>
                <w:color w:val="000080"/>
                <w:sz w:val="18"/>
                <w:szCs w:val="18"/>
                <w:lang w:val="en-US"/>
              </w:rPr>
              <w:t xml:space="preserve">The Medline, CINAHL, Eric, </w:t>
            </w:r>
            <w:proofErr w:type="spellStart"/>
            <w:r w:rsidRPr="002F2859">
              <w:rPr>
                <w:rFonts w:ascii="Verdana" w:hAnsi="Verdana"/>
                <w:bCs/>
                <w:color w:val="000080"/>
                <w:sz w:val="18"/>
                <w:szCs w:val="18"/>
                <w:lang w:val="en-US"/>
              </w:rPr>
              <w:t>Psycinfo</w:t>
            </w:r>
            <w:proofErr w:type="spellEnd"/>
            <w:r w:rsidRPr="002F2859">
              <w:rPr>
                <w:rFonts w:ascii="Verdana" w:hAnsi="Verdana"/>
                <w:bCs/>
                <w:color w:val="000080"/>
                <w:sz w:val="18"/>
                <w:szCs w:val="18"/>
                <w:lang w:val="en-US"/>
              </w:rPr>
              <w:t xml:space="preserve"> and Social Sciences Index databases and the Cochrane Library were searched, covering the period from the beginning of each database to April 2003. Studies were included if they concerned adult </w:t>
            </w:r>
            <w:proofErr w:type="spellStart"/>
            <w:r w:rsidRPr="002F2859">
              <w:rPr>
                <w:rFonts w:ascii="Verdana" w:hAnsi="Verdana"/>
                <w:bCs/>
                <w:color w:val="000080"/>
                <w:sz w:val="18"/>
                <w:szCs w:val="18"/>
                <w:lang w:val="en-US"/>
              </w:rPr>
              <w:t>orthopaedic</w:t>
            </w:r>
            <w:proofErr w:type="spellEnd"/>
            <w:r w:rsidRPr="002F2859">
              <w:rPr>
                <w:rFonts w:ascii="Verdana" w:hAnsi="Verdana"/>
                <w:bCs/>
                <w:color w:val="000080"/>
                <w:sz w:val="18"/>
                <w:szCs w:val="18"/>
                <w:lang w:val="en-US"/>
              </w:rPr>
              <w:t xml:space="preserve"> patients, preoperative nursing patient education and were based on randomized controlled or clinical trials. Meta-analysis was carried out where appropriate. </w:t>
            </w:r>
          </w:p>
          <w:p w:rsidR="00465E8B" w:rsidRDefault="00465E8B" w:rsidP="001F270C">
            <w:pPr>
              <w:rPr>
                <w:rFonts w:ascii="Verdana" w:hAnsi="Verdana"/>
                <w:bCs/>
                <w:color w:val="000080"/>
                <w:sz w:val="18"/>
                <w:szCs w:val="18"/>
                <w:lang w:val="en-US"/>
              </w:rPr>
            </w:pPr>
            <w:r>
              <w:rPr>
                <w:rFonts w:ascii="Verdana" w:hAnsi="Verdana"/>
                <w:bCs/>
                <w:color w:val="000080"/>
                <w:sz w:val="18"/>
                <w:szCs w:val="18"/>
                <w:lang w:val="en-US"/>
              </w:rPr>
              <w:t>RESULTS:</w:t>
            </w:r>
          </w:p>
          <w:p w:rsidR="00465E8B" w:rsidRDefault="00465E8B" w:rsidP="001F270C">
            <w:pPr>
              <w:rPr>
                <w:rFonts w:ascii="Verdana" w:hAnsi="Verdana"/>
                <w:bCs/>
                <w:color w:val="000080"/>
                <w:sz w:val="18"/>
                <w:szCs w:val="18"/>
                <w:lang w:val="en-US"/>
              </w:rPr>
            </w:pPr>
            <w:r w:rsidRPr="002F2859">
              <w:rPr>
                <w:rFonts w:ascii="Verdana" w:hAnsi="Verdana"/>
                <w:bCs/>
                <w:color w:val="000080"/>
                <w:sz w:val="18"/>
                <w:szCs w:val="18"/>
                <w:lang w:val="en-US"/>
              </w:rPr>
              <w:t xml:space="preserve">We identified 11 articles involving 1044 participants. Most studies </w:t>
            </w:r>
            <w:proofErr w:type="spellStart"/>
            <w:r w:rsidRPr="002F2859">
              <w:rPr>
                <w:rFonts w:ascii="Verdana" w:hAnsi="Verdana"/>
                <w:bCs/>
                <w:color w:val="000080"/>
                <w:sz w:val="18"/>
                <w:szCs w:val="18"/>
                <w:lang w:val="en-US"/>
              </w:rPr>
              <w:t>inclu</w:t>
            </w:r>
            <w:proofErr w:type="spellEnd"/>
            <w:r w:rsidRPr="002F2859">
              <w:rPr>
                <w:rFonts w:ascii="Verdana" w:hAnsi="Verdana"/>
                <w:bCs/>
                <w:color w:val="000080"/>
                <w:sz w:val="18"/>
                <w:szCs w:val="18"/>
                <w:lang w:val="en-US"/>
              </w:rPr>
              <w:t xml:space="preserve">- </w:t>
            </w:r>
            <w:proofErr w:type="spellStart"/>
            <w:r w:rsidRPr="002F2859">
              <w:rPr>
                <w:rFonts w:ascii="Verdana" w:hAnsi="Verdana"/>
                <w:bCs/>
                <w:color w:val="000080"/>
                <w:sz w:val="18"/>
                <w:szCs w:val="18"/>
                <w:lang w:val="en-US"/>
              </w:rPr>
              <w:t>ded</w:t>
            </w:r>
            <w:proofErr w:type="spellEnd"/>
            <w:r w:rsidRPr="002F2859">
              <w:rPr>
                <w:rFonts w:ascii="Verdana" w:hAnsi="Verdana"/>
                <w:bCs/>
                <w:color w:val="000080"/>
                <w:sz w:val="18"/>
                <w:szCs w:val="18"/>
                <w:lang w:val="en-US"/>
              </w:rPr>
              <w:t xml:space="preserve"> one experimental and one control group; only two had more than one </w:t>
            </w:r>
            <w:proofErr w:type="spellStart"/>
            <w:r w:rsidRPr="002F2859">
              <w:rPr>
                <w:rFonts w:ascii="Verdana" w:hAnsi="Verdana"/>
                <w:bCs/>
                <w:color w:val="000080"/>
                <w:sz w:val="18"/>
                <w:szCs w:val="18"/>
                <w:lang w:val="en-US"/>
              </w:rPr>
              <w:t>experi</w:t>
            </w:r>
            <w:proofErr w:type="spellEnd"/>
            <w:r w:rsidRPr="002F2859">
              <w:rPr>
                <w:rFonts w:ascii="Verdana" w:hAnsi="Verdana"/>
                <w:bCs/>
                <w:color w:val="000080"/>
                <w:sz w:val="18"/>
                <w:szCs w:val="18"/>
                <w:lang w:val="en-US"/>
              </w:rPr>
              <w:t xml:space="preserve">- mental and control group. The educational interventions varied widely, but the majority were based on written materials alone, or written materials in combination with other teaching methods. The most common outcome measures related to pain, knowledge, anxiety, exercises and length of stay, and the least common to self- efficacy and empowerment. The methodological quality of the studies varied. Almost all reported one or more statistically significant effects. Based on the findings of the meta-analysis, preoperative education appears to have some impacts on patients’ anxiety and knowledge levels. </w:t>
            </w:r>
          </w:p>
          <w:p w:rsidR="00465E8B" w:rsidRDefault="00465E8B" w:rsidP="001F270C">
            <w:pPr>
              <w:rPr>
                <w:rFonts w:ascii="Verdana" w:hAnsi="Verdana"/>
                <w:bCs/>
                <w:color w:val="000080"/>
                <w:sz w:val="18"/>
                <w:szCs w:val="18"/>
                <w:lang w:val="en-US"/>
              </w:rPr>
            </w:pPr>
          </w:p>
          <w:p w:rsidR="00465E8B" w:rsidRDefault="00465E8B" w:rsidP="001F270C">
            <w:pPr>
              <w:rPr>
                <w:rFonts w:ascii="Verdana" w:hAnsi="Verdana"/>
                <w:bCs/>
                <w:color w:val="000080"/>
                <w:sz w:val="18"/>
                <w:szCs w:val="18"/>
                <w:lang w:val="en-US"/>
              </w:rPr>
            </w:pPr>
            <w:r w:rsidRPr="002F2859">
              <w:rPr>
                <w:rFonts w:ascii="Verdana" w:hAnsi="Verdana"/>
                <w:bCs/>
                <w:color w:val="000080"/>
                <w:sz w:val="18"/>
                <w:szCs w:val="18"/>
                <w:lang w:val="en-US"/>
              </w:rPr>
              <w:t>CONCLUSIONS</w:t>
            </w:r>
            <w:r>
              <w:rPr>
                <w:rFonts w:ascii="Verdana" w:hAnsi="Verdana"/>
                <w:bCs/>
                <w:color w:val="000080"/>
                <w:sz w:val="18"/>
                <w:szCs w:val="18"/>
                <w:lang w:val="en-US"/>
              </w:rPr>
              <w:t>:</w:t>
            </w:r>
          </w:p>
          <w:p w:rsidR="00465E8B" w:rsidRPr="0046629D" w:rsidRDefault="00465E8B" w:rsidP="001F270C">
            <w:pPr>
              <w:rPr>
                <w:rFonts w:ascii="Verdana" w:hAnsi="Verdana"/>
                <w:bCs/>
                <w:color w:val="000080"/>
                <w:sz w:val="18"/>
                <w:szCs w:val="18"/>
                <w:lang w:val="en-US"/>
              </w:rPr>
            </w:pPr>
            <w:r w:rsidRPr="002F2859">
              <w:rPr>
                <w:rFonts w:ascii="Verdana" w:hAnsi="Verdana"/>
                <w:bCs/>
                <w:color w:val="000080"/>
                <w:sz w:val="18"/>
                <w:szCs w:val="18"/>
                <w:lang w:val="en-US"/>
              </w:rPr>
              <w:t xml:space="preserve">The review clearly highlights the need for well-designed, </w:t>
            </w:r>
            <w:proofErr w:type="spellStart"/>
            <w:r w:rsidRPr="002F2859">
              <w:rPr>
                <w:rFonts w:ascii="Verdana" w:hAnsi="Verdana"/>
                <w:bCs/>
                <w:color w:val="000080"/>
                <w:sz w:val="18"/>
                <w:szCs w:val="18"/>
                <w:lang w:val="en-US"/>
              </w:rPr>
              <w:t>methodo</w:t>
            </w:r>
            <w:proofErr w:type="spellEnd"/>
            <w:r w:rsidRPr="002F2859">
              <w:rPr>
                <w:rFonts w:ascii="Verdana" w:hAnsi="Verdana"/>
                <w:bCs/>
                <w:color w:val="000080"/>
                <w:sz w:val="18"/>
                <w:szCs w:val="18"/>
                <w:lang w:val="en-US"/>
              </w:rPr>
              <w:t>- logically sound research into the outcomes of patient education. It also points to the need to study patient education from the point of view of empowerment.</w:t>
            </w:r>
          </w:p>
        </w:tc>
        <w:tc>
          <w:tcPr>
            <w:tcW w:w="3096" w:type="dxa"/>
            <w:shd w:val="clear" w:color="auto" w:fill="auto"/>
          </w:tcPr>
          <w:p w:rsidR="00465E8B" w:rsidRPr="0046629D" w:rsidRDefault="00465E8B" w:rsidP="00A35251">
            <w:pPr>
              <w:rPr>
                <w:rFonts w:ascii="Verdana" w:hAnsi="Verdana"/>
                <w:bCs/>
                <w:color w:val="000080"/>
                <w:sz w:val="18"/>
                <w:szCs w:val="18"/>
                <w:lang w:val="en-US"/>
              </w:rPr>
            </w:pPr>
            <w:r>
              <w:rPr>
                <w:rFonts w:ascii="Verdana" w:hAnsi="Verdana"/>
                <w:bCs/>
                <w:color w:val="000080"/>
                <w:sz w:val="18"/>
                <w:szCs w:val="18"/>
                <w:lang w:val="en-US"/>
              </w:rPr>
              <w:t xml:space="preserve">Johansson K., </w:t>
            </w:r>
            <w:proofErr w:type="spellStart"/>
            <w:r>
              <w:rPr>
                <w:rFonts w:ascii="Verdana" w:hAnsi="Verdana"/>
                <w:bCs/>
                <w:color w:val="000080"/>
                <w:sz w:val="18"/>
                <w:szCs w:val="18"/>
                <w:lang w:val="en-US"/>
              </w:rPr>
              <w:t>Nuutila</w:t>
            </w:r>
            <w:proofErr w:type="spellEnd"/>
            <w:r>
              <w:rPr>
                <w:rFonts w:ascii="Verdana" w:hAnsi="Verdana"/>
                <w:bCs/>
                <w:color w:val="000080"/>
                <w:sz w:val="18"/>
                <w:szCs w:val="18"/>
                <w:lang w:val="en-US"/>
              </w:rPr>
              <w:t xml:space="preserve"> L, Virtanen H, </w:t>
            </w:r>
            <w:proofErr w:type="spellStart"/>
            <w:r>
              <w:rPr>
                <w:rFonts w:ascii="Verdana" w:hAnsi="Verdana"/>
                <w:bCs/>
                <w:color w:val="000080"/>
                <w:sz w:val="18"/>
                <w:szCs w:val="18"/>
                <w:lang w:val="en-US"/>
              </w:rPr>
              <w:t>Katajisto</w:t>
            </w:r>
            <w:proofErr w:type="spellEnd"/>
            <w:r>
              <w:rPr>
                <w:rFonts w:ascii="Verdana" w:hAnsi="Verdana"/>
                <w:bCs/>
                <w:color w:val="000080"/>
                <w:sz w:val="18"/>
                <w:szCs w:val="18"/>
                <w:lang w:val="en-US"/>
              </w:rPr>
              <w:t xml:space="preserve"> J &amp; </w:t>
            </w:r>
            <w:proofErr w:type="spellStart"/>
            <w:r>
              <w:rPr>
                <w:rFonts w:ascii="Verdana" w:hAnsi="Verdana"/>
                <w:bCs/>
                <w:color w:val="000080"/>
                <w:sz w:val="18"/>
                <w:szCs w:val="18"/>
                <w:lang w:val="en-US"/>
              </w:rPr>
              <w:t>Salantera</w:t>
            </w:r>
            <w:proofErr w:type="spellEnd"/>
            <w:r>
              <w:rPr>
                <w:rFonts w:ascii="Verdana" w:hAnsi="Verdana"/>
                <w:bCs/>
                <w:color w:val="000080"/>
                <w:sz w:val="18"/>
                <w:szCs w:val="18"/>
                <w:lang w:val="en-US"/>
              </w:rPr>
              <w:t xml:space="preserve"> S.</w:t>
            </w:r>
          </w:p>
          <w:p w:rsidR="00465E8B" w:rsidRPr="00B65A34" w:rsidRDefault="00465E8B" w:rsidP="00A35251">
            <w:pPr>
              <w:rPr>
                <w:rFonts w:ascii="Verdana" w:hAnsi="Verdana" w:cs="SabonLTStd-Roman"/>
                <w:color w:val="000080"/>
                <w:sz w:val="18"/>
                <w:szCs w:val="18"/>
              </w:rPr>
            </w:pPr>
            <w:r w:rsidRPr="0046629D">
              <w:rPr>
                <w:rFonts w:ascii="Verdana" w:hAnsi="Verdana"/>
                <w:bCs/>
                <w:color w:val="000080"/>
                <w:sz w:val="18"/>
                <w:szCs w:val="18"/>
                <w:lang w:val="en-US"/>
              </w:rPr>
              <w:t>(2005)</w:t>
            </w:r>
            <w:r w:rsidRPr="0046629D">
              <w:rPr>
                <w:rFonts w:ascii="Verdana" w:hAnsi="Verdana"/>
                <w:bCs/>
                <w:color w:val="000080"/>
                <w:sz w:val="18"/>
                <w:szCs w:val="18"/>
                <w:lang w:val="en-US"/>
              </w:rPr>
              <w:tab/>
              <w:t xml:space="preserve">Journal of Advanced Nursing 50(2), 212–223 Preoperative education for </w:t>
            </w:r>
            <w:proofErr w:type="spellStart"/>
            <w:r w:rsidRPr="0046629D">
              <w:rPr>
                <w:rFonts w:ascii="Verdana" w:hAnsi="Verdana"/>
                <w:bCs/>
                <w:color w:val="000080"/>
                <w:sz w:val="18"/>
                <w:szCs w:val="18"/>
                <w:lang w:val="en-US"/>
              </w:rPr>
              <w:t>orthopaedic</w:t>
            </w:r>
            <w:proofErr w:type="spellEnd"/>
            <w:r w:rsidRPr="0046629D">
              <w:rPr>
                <w:rFonts w:ascii="Verdana" w:hAnsi="Verdana"/>
                <w:bCs/>
                <w:color w:val="000080"/>
                <w:sz w:val="18"/>
                <w:szCs w:val="18"/>
                <w:lang w:val="en-US"/>
              </w:rPr>
              <w:t xml:space="preserve"> patients: systematic review</w:t>
            </w:r>
          </w:p>
        </w:tc>
      </w:tr>
      <w:tr w:rsidR="00465E8B" w:rsidRPr="00B65A34">
        <w:tc>
          <w:tcPr>
            <w:tcW w:w="6192" w:type="dxa"/>
            <w:shd w:val="clear" w:color="auto" w:fill="auto"/>
          </w:tcPr>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OBJECTIVE:</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 xml:space="preserve">Evaluate content and educational delivery methods of preoperative education in total joint </w:t>
            </w:r>
            <w:proofErr w:type="spellStart"/>
            <w:r w:rsidRPr="00635DC2">
              <w:rPr>
                <w:rFonts w:ascii="Verdana" w:hAnsi="Verdana"/>
                <w:bCs/>
                <w:color w:val="000080"/>
                <w:sz w:val="18"/>
                <w:szCs w:val="18"/>
                <w:lang w:val="en-US"/>
              </w:rPr>
              <w:t>arthroplasties</w:t>
            </w:r>
            <w:proofErr w:type="spellEnd"/>
            <w:r w:rsidRPr="00635DC2">
              <w:rPr>
                <w:rFonts w:ascii="Verdana" w:hAnsi="Verdana"/>
                <w:bCs/>
                <w:color w:val="000080"/>
                <w:sz w:val="18"/>
                <w:szCs w:val="18"/>
                <w:lang w:val="en-US"/>
              </w:rPr>
              <w:t xml:space="preserve"> of the hip and knee (THA and TKA) addressing postoperative pain.</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DATA SOURCES:</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 xml:space="preserve">Systematic searches conducted on Biomed Central, BMJ.com, CINAHL, the Cochrane Library, NLM Central Gateway, OVID, ProQuest (Digital Dissertations), </w:t>
            </w:r>
            <w:proofErr w:type="spellStart"/>
            <w:r w:rsidRPr="00635DC2">
              <w:rPr>
                <w:rFonts w:ascii="Verdana" w:hAnsi="Verdana"/>
                <w:bCs/>
                <w:color w:val="000080"/>
                <w:sz w:val="18"/>
                <w:szCs w:val="18"/>
                <w:lang w:val="en-US"/>
              </w:rPr>
              <w:t>PsycInfo</w:t>
            </w:r>
            <w:proofErr w:type="spellEnd"/>
            <w:r w:rsidRPr="00635DC2">
              <w:rPr>
                <w:rFonts w:ascii="Verdana" w:hAnsi="Verdana"/>
                <w:bCs/>
                <w:color w:val="000080"/>
                <w:sz w:val="18"/>
                <w:szCs w:val="18"/>
                <w:lang w:val="en-US"/>
              </w:rPr>
              <w:t xml:space="preserve">, PubMed/Medline, </w:t>
            </w:r>
            <w:proofErr w:type="spellStart"/>
            <w:r w:rsidRPr="00635DC2">
              <w:rPr>
                <w:rFonts w:ascii="Verdana" w:hAnsi="Verdana"/>
                <w:bCs/>
                <w:color w:val="000080"/>
                <w:sz w:val="18"/>
                <w:szCs w:val="18"/>
                <w:lang w:val="en-US"/>
              </w:rPr>
              <w:t>ScienceDirect</w:t>
            </w:r>
            <w:proofErr w:type="spellEnd"/>
            <w:r w:rsidRPr="00635DC2">
              <w:rPr>
                <w:rFonts w:ascii="Verdana" w:hAnsi="Verdana"/>
                <w:bCs/>
                <w:color w:val="000080"/>
                <w:sz w:val="18"/>
                <w:szCs w:val="18"/>
                <w:lang w:val="en-US"/>
              </w:rPr>
              <w:t xml:space="preserve">, and Web of Science. Secondary searching (pearling) was undertaken. </w:t>
            </w:r>
            <w:proofErr w:type="spellStart"/>
            <w:r w:rsidRPr="00635DC2">
              <w:rPr>
                <w:rFonts w:ascii="Verdana" w:hAnsi="Verdana"/>
                <w:bCs/>
                <w:color w:val="000080"/>
                <w:sz w:val="18"/>
                <w:szCs w:val="18"/>
                <w:lang w:val="en-US"/>
              </w:rPr>
              <w:t>DatA</w:t>
            </w:r>
            <w:proofErr w:type="spellEnd"/>
            <w:r w:rsidRPr="00635DC2">
              <w:rPr>
                <w:rFonts w:ascii="Verdana" w:hAnsi="Verdana"/>
                <w:bCs/>
                <w:color w:val="000080"/>
                <w:sz w:val="18"/>
                <w:szCs w:val="18"/>
                <w:lang w:val="en-US"/>
              </w:rPr>
              <w:t xml:space="preserve"> EXTRACTION: Data were extracted utilizing the participants, interventions, comparisons, and outcomes approach.</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STUDY SELECTION:</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All randomized controlled trials (RCTs) evaluating the effect of preoperative education on postoperative pain in THA and TKA surgery were considered for inclusion.</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LIMITATIONS:</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Studies published in English; published within the last 20 years and patients over the age of 18. No limitations were set on specific outcome measures of pain.</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DATA SYNTHESIS:</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 xml:space="preserve">This review included 13 RCTs involving a total of 1,017 subjects who underwent THA or TKA. Educational delivery methods comprised verbal one-on-one or group education sessions, delivered within 4 weeks of surgery lasting an average of 30 minutes, and accompanied by </w:t>
            </w:r>
            <w:r w:rsidRPr="00A57CD9">
              <w:rPr>
                <w:rFonts w:ascii="Verdana" w:hAnsi="Verdana"/>
                <w:bCs/>
                <w:color w:val="0F243E"/>
                <w:sz w:val="18"/>
                <w:szCs w:val="18"/>
                <w:lang w:val="en-US"/>
              </w:rPr>
              <w:t>other</w:t>
            </w:r>
            <w:r w:rsidRPr="00635DC2">
              <w:rPr>
                <w:rFonts w:ascii="Verdana" w:hAnsi="Verdana"/>
                <w:bCs/>
                <w:color w:val="000080"/>
                <w:sz w:val="18"/>
                <w:szCs w:val="18"/>
                <w:lang w:val="en-US"/>
              </w:rPr>
              <w:t xml:space="preserve"> written materials. The educational content centered on descriptions of preoperative preparation, hospital stay, surgical procedure, immediate/intermediate experiences, expectations following surgery, rehabilitation, encouragement/reassurance, and answering common question associated with the surgical experience.</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CONCLUSIONS:</w:t>
            </w:r>
          </w:p>
          <w:p w:rsidR="00465E8B" w:rsidRPr="002E450E" w:rsidRDefault="00465E8B" w:rsidP="00465E8B">
            <w:pPr>
              <w:pStyle w:val="Normaallaadveeb"/>
              <w:shd w:val="clear" w:color="auto" w:fill="FFFFFF"/>
              <w:spacing w:before="0" w:beforeAutospacing="0" w:after="0" w:afterAutospacing="0"/>
              <w:rPr>
                <w:rFonts w:ascii="Verdana" w:hAnsi="Verdana" w:cs="Arial"/>
                <w:color w:val="000080"/>
                <w:sz w:val="18"/>
                <w:szCs w:val="18"/>
              </w:rPr>
            </w:pPr>
            <w:r w:rsidRPr="00635DC2">
              <w:rPr>
                <w:rFonts w:ascii="Verdana" w:hAnsi="Verdana"/>
                <w:bCs/>
                <w:color w:val="000080"/>
                <w:sz w:val="18"/>
                <w:szCs w:val="18"/>
                <w:lang w:val="en-US"/>
              </w:rPr>
              <w:t xml:space="preserve">Preoperative education centered on a biomedical model of anatomy and </w:t>
            </w:r>
            <w:proofErr w:type="spellStart"/>
            <w:r w:rsidRPr="00635DC2">
              <w:rPr>
                <w:rFonts w:ascii="Verdana" w:hAnsi="Verdana"/>
                <w:bCs/>
                <w:color w:val="000080"/>
                <w:sz w:val="18"/>
                <w:szCs w:val="18"/>
                <w:lang w:val="en-US"/>
              </w:rPr>
              <w:t>pathoanatomy</w:t>
            </w:r>
            <w:proofErr w:type="spellEnd"/>
            <w:r w:rsidRPr="00635DC2">
              <w:rPr>
                <w:rFonts w:ascii="Verdana" w:hAnsi="Verdana"/>
                <w:bCs/>
                <w:color w:val="000080"/>
                <w:sz w:val="18"/>
                <w:szCs w:val="18"/>
                <w:lang w:val="en-US"/>
              </w:rPr>
              <w:t xml:space="preserve"> as well as procedural information has limited effect in reducing postoperative pain after THA and TKA surgeries. Preoperative educational sessions that aim to increase patient knowledge of pain science may be more effective in managing postoperative pain.</w:t>
            </w:r>
          </w:p>
        </w:tc>
        <w:tc>
          <w:tcPr>
            <w:tcW w:w="3096" w:type="dxa"/>
            <w:shd w:val="clear" w:color="auto" w:fill="auto"/>
          </w:tcPr>
          <w:p w:rsidR="00465E8B" w:rsidRPr="00635DC2" w:rsidRDefault="00465E8B" w:rsidP="00465E8B">
            <w:pPr>
              <w:rPr>
                <w:rFonts w:ascii="Verdana" w:hAnsi="Verdana"/>
                <w:bCs/>
                <w:color w:val="000080"/>
                <w:sz w:val="18"/>
                <w:szCs w:val="18"/>
                <w:lang w:val="en-US"/>
              </w:rPr>
            </w:pPr>
            <w:proofErr w:type="spellStart"/>
            <w:r w:rsidRPr="00635DC2">
              <w:rPr>
                <w:rFonts w:ascii="Verdana" w:hAnsi="Verdana"/>
                <w:bCs/>
                <w:color w:val="000080"/>
                <w:sz w:val="18"/>
                <w:szCs w:val="18"/>
                <w:lang w:val="en-US"/>
              </w:rPr>
              <w:t>Louw</w:t>
            </w:r>
            <w:proofErr w:type="spellEnd"/>
            <w:r w:rsidRPr="00635DC2">
              <w:rPr>
                <w:rFonts w:ascii="Verdana" w:hAnsi="Verdana"/>
                <w:bCs/>
                <w:color w:val="000080"/>
                <w:sz w:val="18"/>
                <w:szCs w:val="18"/>
                <w:lang w:val="en-US"/>
              </w:rPr>
              <w:t xml:space="preserve"> A; </w:t>
            </w:r>
            <w:proofErr w:type="spellStart"/>
            <w:r w:rsidRPr="00635DC2">
              <w:rPr>
                <w:rFonts w:ascii="Verdana" w:hAnsi="Verdana"/>
                <w:bCs/>
                <w:color w:val="000080"/>
                <w:sz w:val="18"/>
                <w:szCs w:val="18"/>
                <w:lang w:val="en-US"/>
              </w:rPr>
              <w:t>Diener</w:t>
            </w:r>
            <w:proofErr w:type="spellEnd"/>
            <w:r w:rsidRPr="00635DC2">
              <w:rPr>
                <w:rFonts w:ascii="Verdana" w:hAnsi="Verdana"/>
                <w:bCs/>
                <w:color w:val="000080"/>
                <w:sz w:val="18"/>
                <w:szCs w:val="18"/>
                <w:lang w:val="en-US"/>
              </w:rPr>
              <w:t xml:space="preserve"> I et al</w:t>
            </w:r>
          </w:p>
          <w:p w:rsidR="00465E8B" w:rsidRPr="00635DC2" w:rsidRDefault="00465E8B" w:rsidP="00465E8B">
            <w:pPr>
              <w:rPr>
                <w:rFonts w:ascii="Verdana" w:hAnsi="Verdana"/>
                <w:bCs/>
                <w:color w:val="000080"/>
                <w:sz w:val="18"/>
                <w:szCs w:val="18"/>
                <w:lang w:val="en-US"/>
              </w:rPr>
            </w:pPr>
            <w:r w:rsidRPr="00635DC2">
              <w:rPr>
                <w:rFonts w:ascii="Verdana" w:hAnsi="Verdana"/>
                <w:bCs/>
                <w:color w:val="000080"/>
                <w:sz w:val="18"/>
                <w:szCs w:val="18"/>
                <w:lang w:val="en-US"/>
              </w:rPr>
              <w:t xml:space="preserve">Preoperative education addressing postoperative pain in total joint </w:t>
            </w:r>
            <w:proofErr w:type="spellStart"/>
            <w:r w:rsidRPr="00635DC2">
              <w:rPr>
                <w:rFonts w:ascii="Verdana" w:hAnsi="Verdana"/>
                <w:bCs/>
                <w:color w:val="000080"/>
                <w:sz w:val="18"/>
                <w:szCs w:val="18"/>
                <w:lang w:val="en-US"/>
              </w:rPr>
              <w:t>arthroplasty</w:t>
            </w:r>
            <w:proofErr w:type="spellEnd"/>
            <w:r w:rsidRPr="00635DC2">
              <w:rPr>
                <w:rFonts w:ascii="Verdana" w:hAnsi="Verdana"/>
                <w:bCs/>
                <w:color w:val="000080"/>
                <w:sz w:val="18"/>
                <w:szCs w:val="18"/>
                <w:lang w:val="en-US"/>
              </w:rPr>
              <w:t>: Review of content and educational delivery methods</w:t>
            </w:r>
          </w:p>
          <w:p w:rsidR="00465E8B" w:rsidRPr="00B65A34" w:rsidRDefault="00465E8B" w:rsidP="00465E8B">
            <w:pPr>
              <w:rPr>
                <w:rFonts w:ascii="Verdana" w:hAnsi="Verdana" w:cs="SabonLTStd-Roman"/>
                <w:color w:val="000080"/>
                <w:sz w:val="18"/>
                <w:szCs w:val="18"/>
              </w:rPr>
            </w:pPr>
            <w:r w:rsidRPr="00635DC2">
              <w:rPr>
                <w:rFonts w:ascii="Verdana" w:hAnsi="Verdana"/>
                <w:bCs/>
                <w:color w:val="000080"/>
                <w:sz w:val="18"/>
                <w:szCs w:val="18"/>
                <w:lang w:val="en-US"/>
              </w:rPr>
              <w:t>Physiotherapy Theory and Practice ; 29(3):175-194, 2013</w:t>
            </w:r>
          </w:p>
        </w:tc>
      </w:tr>
    </w:tbl>
    <w:p w:rsidR="00A80F49" w:rsidRDefault="00A80F49" w:rsidP="003E1B67"/>
    <w:p w:rsidR="00A80F49" w:rsidRPr="00B65A34" w:rsidRDefault="00A80F49" w:rsidP="003E1B67"/>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7E0AE5" w:rsidRDefault="007E0AE5" w:rsidP="002D065A">
      <w:pPr>
        <w:jc w:val="both"/>
        <w:rPr>
          <w:rFonts w:ascii="Verdana" w:hAnsi="Verdana"/>
          <w:b/>
          <w:color w:val="000080"/>
          <w:sz w:val="18"/>
          <w:szCs w:val="18"/>
        </w:rPr>
      </w:pPr>
    </w:p>
    <w:p w:rsidR="002D065A" w:rsidRPr="00B65A34" w:rsidRDefault="002D065A" w:rsidP="002D065A">
      <w:pPr>
        <w:jc w:val="both"/>
        <w:rPr>
          <w:rFonts w:ascii="Verdana" w:hAnsi="Verdana"/>
          <w:b/>
          <w:color w:val="000080"/>
          <w:sz w:val="18"/>
          <w:szCs w:val="18"/>
        </w:rPr>
      </w:pPr>
      <w:r w:rsidRPr="00B65A34">
        <w:rPr>
          <w:rFonts w:ascii="Verdana" w:hAnsi="Verdana"/>
          <w:b/>
          <w:color w:val="000080"/>
          <w:sz w:val="18"/>
          <w:szCs w:val="18"/>
        </w:rPr>
        <w:t>Ravijuhendid</w:t>
      </w:r>
    </w:p>
    <w:p w:rsidR="002D065A" w:rsidRPr="00B65A34" w:rsidRDefault="002D065A" w:rsidP="002D065A">
      <w:pPr>
        <w:autoSpaceDE w:val="0"/>
        <w:autoSpaceDN w:val="0"/>
        <w:adjustRightInd w:val="0"/>
        <w:rPr>
          <w:rFonts w:ascii="Verdana" w:hAnsi="Verdana" w:cs="AdvPSSAB-R"/>
          <w:color w:val="000080"/>
          <w:sz w:val="18"/>
          <w:szCs w:val="18"/>
        </w:rPr>
      </w:pPr>
    </w:p>
    <w:p w:rsidR="00A57CD9" w:rsidRPr="00B65A34" w:rsidRDefault="00A57CD9" w:rsidP="00A57CD9">
      <w:pPr>
        <w:pBdr>
          <w:top w:val="single" w:sz="4" w:space="1" w:color="auto"/>
          <w:left w:val="single" w:sz="4" w:space="4" w:color="auto"/>
          <w:bottom w:val="single" w:sz="4" w:space="1" w:color="auto"/>
          <w:right w:val="single" w:sz="4" w:space="4" w:color="auto"/>
        </w:pBdr>
        <w:shd w:val="clear" w:color="auto" w:fill="FFFFFF"/>
        <w:spacing w:after="120"/>
        <w:ind w:right="240"/>
        <w:jc w:val="both"/>
        <w:rPr>
          <w:rFonts w:ascii="Verdana" w:hAnsi="Verdana" w:cs="ArialMT"/>
          <w:color w:val="000080"/>
          <w:sz w:val="18"/>
          <w:szCs w:val="18"/>
          <w:lang w:eastAsia="en-US"/>
        </w:rPr>
      </w:pPr>
      <w:r w:rsidRPr="00B65A34">
        <w:rPr>
          <w:rFonts w:ascii="Verdana" w:hAnsi="Verdana"/>
          <w:color w:val="000080"/>
          <w:sz w:val="18"/>
          <w:szCs w:val="18"/>
        </w:rPr>
        <w:t xml:space="preserve">Kokkuvõte </w:t>
      </w:r>
      <w:r w:rsidRPr="00B65A34">
        <w:rPr>
          <w:rFonts w:ascii="Verdana" w:hAnsi="Verdana" w:cs="ArialMT"/>
          <w:color w:val="000080"/>
          <w:sz w:val="18"/>
          <w:szCs w:val="18"/>
          <w:lang w:eastAsia="en-US"/>
        </w:rPr>
        <w:t>ravijuhendites leiduvast</w:t>
      </w:r>
    </w:p>
    <w:p w:rsidR="004B1E44" w:rsidRDefault="004B1E44"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b/>
          <w:color w:val="1F497D"/>
          <w:sz w:val="18"/>
          <w:szCs w:val="18"/>
        </w:rPr>
      </w:pPr>
      <w:r>
        <w:rPr>
          <w:rFonts w:ascii="Verdana" w:hAnsi="Verdana" w:cs="AdvPSSAB-R"/>
          <w:b/>
          <w:color w:val="1F497D"/>
          <w:sz w:val="18"/>
          <w:szCs w:val="18"/>
        </w:rPr>
        <w:t>Guidelines what we used:</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b/>
          <w:color w:val="1F497D"/>
          <w:sz w:val="18"/>
          <w:szCs w:val="18"/>
        </w:rPr>
      </w:pPr>
      <w:r w:rsidRPr="00A57CD9">
        <w:rPr>
          <w:rFonts w:ascii="Verdana" w:hAnsi="Verdana" w:cs="AdvPSSAB-R"/>
          <w:b/>
          <w:color w:val="1F497D"/>
          <w:sz w:val="18"/>
          <w:szCs w:val="18"/>
        </w:rPr>
        <w:t>Acute Pain Management: Scientific Evidence 2010 (AU-10).</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b/>
          <w:color w:val="1F497D"/>
          <w:sz w:val="18"/>
          <w:szCs w:val="18"/>
        </w:rPr>
      </w:pPr>
      <w:r w:rsidRPr="00A57CD9">
        <w:rPr>
          <w:rFonts w:ascii="Verdana" w:hAnsi="Verdana" w:cs="AdvPSSAB-R"/>
          <w:b/>
          <w:color w:val="1F497D"/>
          <w:sz w:val="18"/>
          <w:szCs w:val="18"/>
        </w:rPr>
        <w:t>Guidelines on Pain Management 2013 (URO-13).</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b/>
          <w:color w:val="1F497D"/>
          <w:sz w:val="18"/>
          <w:szCs w:val="18"/>
        </w:rPr>
      </w:pPr>
      <w:r w:rsidRPr="00A57CD9">
        <w:rPr>
          <w:rFonts w:ascii="Verdana" w:hAnsi="Verdana" w:cs="AdvPSSAB-R"/>
          <w:b/>
          <w:color w:val="1F497D"/>
          <w:sz w:val="18"/>
          <w:szCs w:val="18"/>
        </w:rPr>
        <w:t>“ Behandlung acuter perioperativer und postraumatischer Schmertzen” 2009 (Schmertzen)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b/>
          <w:color w:val="1F497D"/>
          <w:sz w:val="18"/>
          <w:szCs w:val="18"/>
        </w:rPr>
      </w:pPr>
      <w:r w:rsidRPr="00A57CD9">
        <w:rPr>
          <w:rFonts w:ascii="Verdana" w:hAnsi="Verdana" w:cs="AdvPSSAB-R"/>
          <w:b/>
          <w:color w:val="1F497D"/>
          <w:sz w:val="18"/>
          <w:szCs w:val="18"/>
        </w:rPr>
        <w:t>All guidelines coincide:</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cs="AdvPSSAB-R"/>
          <w:color w:val="1F497D"/>
          <w:sz w:val="18"/>
          <w:szCs w:val="18"/>
        </w:rPr>
        <w:t>All patients must be informed preoperatively about postoperative pain (AU-10, URO-13,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cs="AdvPSSAB-R"/>
          <w:color w:val="1F497D"/>
          <w:sz w:val="18"/>
          <w:szCs w:val="18"/>
        </w:rPr>
        <w:t xml:space="preserve">Preoperative information about forthcoming procedure is effective, improves postoperative recovery, reduces pain and the use of analgesics and length of hospital stay. </w:t>
      </w:r>
      <w:r w:rsidRPr="00A57CD9">
        <w:rPr>
          <w:rFonts w:ascii="Verdana" w:hAnsi="Verdana"/>
          <w:color w:val="1F497D"/>
          <w:sz w:val="18"/>
          <w:szCs w:val="18"/>
        </w:rPr>
        <w:t>Careful pain assessment by the surgeon or the acute pain team before and after treatment can lead to more efficient pain control (AU-10, URO-13,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bCs/>
          <w:color w:val="1F497D"/>
          <w:sz w:val="18"/>
          <w:szCs w:val="18"/>
          <w:lang w:val="en-US"/>
        </w:rPr>
        <w:t xml:space="preserve">Preoperative education improves patient or </w:t>
      </w:r>
      <w:proofErr w:type="spellStart"/>
      <w:r w:rsidRPr="00A57CD9">
        <w:rPr>
          <w:rFonts w:ascii="Verdana" w:hAnsi="Verdana"/>
          <w:bCs/>
          <w:color w:val="1F497D"/>
          <w:sz w:val="18"/>
          <w:szCs w:val="18"/>
          <w:lang w:val="en-US"/>
        </w:rPr>
        <w:t>carer</w:t>
      </w:r>
      <w:proofErr w:type="spellEnd"/>
      <w:r w:rsidRPr="00A57CD9">
        <w:rPr>
          <w:rFonts w:ascii="Verdana" w:hAnsi="Verdana"/>
          <w:bCs/>
          <w:color w:val="1F497D"/>
          <w:sz w:val="18"/>
          <w:szCs w:val="18"/>
          <w:lang w:val="en-US"/>
        </w:rPr>
        <w:t xml:space="preserve"> knowledge of pain and </w:t>
      </w:r>
      <w:proofErr w:type="spellStart"/>
      <w:r w:rsidRPr="00A57CD9">
        <w:rPr>
          <w:rFonts w:ascii="Verdana" w:hAnsi="Verdana"/>
          <w:bCs/>
          <w:color w:val="1F497D"/>
          <w:sz w:val="18"/>
          <w:szCs w:val="18"/>
          <w:lang w:val="en-US"/>
        </w:rPr>
        <w:t>engourages</w:t>
      </w:r>
      <w:proofErr w:type="spellEnd"/>
      <w:r w:rsidRPr="00A57CD9">
        <w:rPr>
          <w:rFonts w:ascii="Verdana" w:hAnsi="Verdana"/>
          <w:bCs/>
          <w:color w:val="1F497D"/>
          <w:sz w:val="18"/>
          <w:szCs w:val="18"/>
          <w:lang w:val="en-US"/>
        </w:rPr>
        <w:t xml:space="preserve"> a more positive attitude towards pain relief (AU-10, URO-13,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bCs/>
          <w:color w:val="1F497D"/>
          <w:sz w:val="18"/>
          <w:szCs w:val="18"/>
          <w:lang w:val="en-US"/>
        </w:rPr>
        <w:t>All patients must be instructed how to evaluate pain intensity by themselves, it improves pain assessment, pain treatment, reduces complications and shortens hospital stay (AU-10, URO-13,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cs="AdvPSSAB-R"/>
          <w:color w:val="1F497D"/>
          <w:sz w:val="18"/>
          <w:szCs w:val="18"/>
        </w:rPr>
        <w:t>Some studies have shown no effect of education on postoperative pain or analgesic requirements, although there may be an increase in patient satisfaction and less preoperative anxiety (AU-10)</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bCs/>
          <w:color w:val="1F497D"/>
          <w:sz w:val="18"/>
          <w:szCs w:val="18"/>
          <w:lang w:val="en-US"/>
        </w:rPr>
        <w:t>During information sharing process is not allowed to suggest unrealistic expectations and fear (DE-07).</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color w:val="1F497D"/>
          <w:sz w:val="18"/>
          <w:szCs w:val="18"/>
        </w:rPr>
        <w:t>In some patients, especially those with an avoidant coping style, giving too much information</w:t>
      </w:r>
      <w:r w:rsidRPr="00A57CD9">
        <w:rPr>
          <w:rFonts w:ascii="Verdana" w:hAnsi="Verdana" w:cs="AdvPSSAB-R"/>
          <w:color w:val="1F497D"/>
          <w:sz w:val="18"/>
          <w:szCs w:val="18"/>
        </w:rPr>
        <w:t xml:space="preserve"> </w:t>
      </w:r>
      <w:r w:rsidRPr="00A57CD9">
        <w:rPr>
          <w:rFonts w:ascii="Verdana" w:hAnsi="Verdana"/>
          <w:color w:val="1F497D"/>
          <w:sz w:val="18"/>
          <w:szCs w:val="18"/>
        </w:rPr>
        <w:t>or asking them to make too many decisions may exacerbate anxiety and pain. However, later evidence suggested that this may not be a strong effect (AU-10).</w:t>
      </w: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p>
    <w:p w:rsidR="00A57CD9" w:rsidRPr="00A57CD9" w:rsidRDefault="00A57CD9" w:rsidP="00A57CD9">
      <w:pPr>
        <w:pBdr>
          <w:top w:val="single" w:sz="4" w:space="1" w:color="auto"/>
          <w:left w:val="single" w:sz="4" w:space="0" w:color="auto"/>
          <w:bottom w:val="single" w:sz="4" w:space="1" w:color="auto"/>
          <w:right w:val="single" w:sz="4" w:space="4" w:color="auto"/>
        </w:pBdr>
        <w:shd w:val="clear" w:color="auto" w:fill="FFFFFF"/>
        <w:tabs>
          <w:tab w:val="left" w:pos="284"/>
        </w:tabs>
        <w:ind w:right="240"/>
        <w:jc w:val="both"/>
        <w:rPr>
          <w:rFonts w:ascii="Verdana" w:hAnsi="Verdana" w:cs="AdvPSSAB-R"/>
          <w:color w:val="1F497D"/>
          <w:sz w:val="18"/>
          <w:szCs w:val="18"/>
        </w:rPr>
      </w:pPr>
      <w:r w:rsidRPr="00A57CD9">
        <w:rPr>
          <w:rFonts w:ascii="Verdana" w:hAnsi="Verdana" w:cs="AdvPSSAB-R"/>
          <w:color w:val="1F497D"/>
          <w:sz w:val="18"/>
          <w:szCs w:val="18"/>
        </w:rPr>
        <w:t>Children, adolescents and pateints with cognitive disorders must be informed in the presence of a caregiver (DE-07).</w:t>
      </w:r>
    </w:p>
    <w:p w:rsidR="002D065A" w:rsidRPr="00B65A34" w:rsidRDefault="002D065A" w:rsidP="002D065A">
      <w:pPr>
        <w:pBdr>
          <w:top w:val="single" w:sz="4" w:space="1" w:color="auto"/>
          <w:left w:val="single" w:sz="4" w:space="4" w:color="auto"/>
          <w:bottom w:val="single" w:sz="4" w:space="1" w:color="auto"/>
          <w:right w:val="single" w:sz="4" w:space="4" w:color="auto"/>
        </w:pBdr>
        <w:shd w:val="clear" w:color="auto" w:fill="FFFFFF"/>
        <w:spacing w:after="120"/>
        <w:ind w:right="240"/>
        <w:jc w:val="both"/>
        <w:rPr>
          <w:rFonts w:ascii="Verdana" w:hAnsi="Verdana" w:cs="AdvPSSAB-R"/>
          <w:color w:val="000080"/>
          <w:sz w:val="18"/>
          <w:szCs w:val="18"/>
        </w:rPr>
      </w:pPr>
    </w:p>
    <w:p w:rsidR="002D065A" w:rsidRPr="00B65A34" w:rsidRDefault="002D065A" w:rsidP="003E1B67"/>
    <w:sectPr w:rsidR="002D065A" w:rsidRPr="00B65A34" w:rsidSect="00042FF2">
      <w:headerReference w:type="default" r:id="rId9"/>
      <w:headerReference w:type="first" r:id="rId10"/>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247" w:rsidRDefault="005F4247" w:rsidP="00042FF2">
      <w:r>
        <w:separator/>
      </w:r>
    </w:p>
  </w:endnote>
  <w:endnote w:type="continuationSeparator" w:id="0">
    <w:p w:rsidR="005F4247" w:rsidRDefault="005F4247"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vPSSAB-R">
    <w:altName w:val="Times New Roman"/>
    <w:panose1 w:val="00000000000000000000"/>
    <w:charset w:val="00"/>
    <w:family w:val="roman"/>
    <w:notTrueType/>
    <w:pitch w:val="default"/>
    <w:sig w:usb0="00000003" w:usb1="00000000" w:usb2="00000000" w:usb3="00000000" w:csb0="00000001"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Condensed-Bold">
    <w:altName w:val="Arial"/>
    <w:panose1 w:val="00000000000000000000"/>
    <w:charset w:val="00"/>
    <w:family w:val="swiss"/>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LTStd-Roman">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247" w:rsidRDefault="005F4247" w:rsidP="00042FF2">
      <w:r>
        <w:separator/>
      </w:r>
    </w:p>
  </w:footnote>
  <w:footnote w:type="continuationSeparator" w:id="0">
    <w:p w:rsidR="005F4247" w:rsidRDefault="005F4247" w:rsidP="00042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49" w:rsidRDefault="00A80F49">
    <w:pPr>
      <w:pStyle w:val="Pis"/>
    </w:pPr>
    <w:r>
      <w:t>[Type text]</w:t>
    </w:r>
  </w:p>
  <w:p w:rsidR="00A80F49" w:rsidRDefault="00A80F49">
    <w:pPr>
      <w:pStyle w:val="Pi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49" w:rsidRDefault="00A80F49">
    <w:pPr>
      <w:pStyle w:val="Pis"/>
    </w:pPr>
    <w:r>
      <w:t xml:space="preserve">Tõendusmaterjali kokkuvõte - </w:t>
    </w:r>
    <w:r>
      <w:t>EvSu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464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9">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1">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4">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lvlOverride w:ilvl="0">
      <w:startOverride w:val="30"/>
    </w:lvlOverride>
  </w:num>
  <w:num w:numId="4">
    <w:abstractNumId w:val="4"/>
    <w:lvlOverride w:ilvl="0">
      <w:startOverride w:val="31"/>
    </w:lvlOverride>
  </w:num>
  <w:num w:numId="5">
    <w:abstractNumId w:val="7"/>
  </w:num>
  <w:num w:numId="6">
    <w:abstractNumId w:val="8"/>
  </w:num>
  <w:num w:numId="7">
    <w:abstractNumId w:val="9"/>
  </w:num>
  <w:num w:numId="8">
    <w:abstractNumId w:val="11"/>
  </w:num>
  <w:num w:numId="9">
    <w:abstractNumId w:val="3"/>
  </w:num>
  <w:num w:numId="10">
    <w:abstractNumId w:val="14"/>
  </w:num>
  <w:num w:numId="11">
    <w:abstractNumId w:val="6"/>
  </w:num>
  <w:num w:numId="12">
    <w:abstractNumId w:val="13"/>
  </w:num>
  <w:num w:numId="13">
    <w:abstractNumId w:val="2"/>
  </w:num>
  <w:num w:numId="14">
    <w:abstractNumId w:val="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43DE"/>
    <w:rsid w:val="00005947"/>
    <w:rsid w:val="000059B2"/>
    <w:rsid w:val="00006685"/>
    <w:rsid w:val="0000743C"/>
    <w:rsid w:val="0000751E"/>
    <w:rsid w:val="00007540"/>
    <w:rsid w:val="00007FA9"/>
    <w:rsid w:val="00010083"/>
    <w:rsid w:val="0001121A"/>
    <w:rsid w:val="00011A30"/>
    <w:rsid w:val="00012202"/>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1FDD"/>
    <w:rsid w:val="00032061"/>
    <w:rsid w:val="000323AA"/>
    <w:rsid w:val="000325AD"/>
    <w:rsid w:val="00033062"/>
    <w:rsid w:val="00033146"/>
    <w:rsid w:val="000341C7"/>
    <w:rsid w:val="00035B33"/>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098"/>
    <w:rsid w:val="00045208"/>
    <w:rsid w:val="000462DB"/>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D55"/>
    <w:rsid w:val="00076EAA"/>
    <w:rsid w:val="0007741E"/>
    <w:rsid w:val="00080342"/>
    <w:rsid w:val="00080F3B"/>
    <w:rsid w:val="000813EF"/>
    <w:rsid w:val="00081A61"/>
    <w:rsid w:val="00082266"/>
    <w:rsid w:val="00082672"/>
    <w:rsid w:val="00082A2D"/>
    <w:rsid w:val="00082BDE"/>
    <w:rsid w:val="000832D6"/>
    <w:rsid w:val="00083A7E"/>
    <w:rsid w:val="00083DB4"/>
    <w:rsid w:val="00084EB1"/>
    <w:rsid w:val="00084F7A"/>
    <w:rsid w:val="0008571F"/>
    <w:rsid w:val="00085DCC"/>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369A"/>
    <w:rsid w:val="000A41E5"/>
    <w:rsid w:val="000A4447"/>
    <w:rsid w:val="000A5AE5"/>
    <w:rsid w:val="000A5D2A"/>
    <w:rsid w:val="000A638C"/>
    <w:rsid w:val="000A692C"/>
    <w:rsid w:val="000A7B10"/>
    <w:rsid w:val="000A7D46"/>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2A11"/>
    <w:rsid w:val="000C32B5"/>
    <w:rsid w:val="000C3547"/>
    <w:rsid w:val="000C4235"/>
    <w:rsid w:val="000C431A"/>
    <w:rsid w:val="000C51F1"/>
    <w:rsid w:val="000C5D52"/>
    <w:rsid w:val="000C7B7A"/>
    <w:rsid w:val="000C7DAE"/>
    <w:rsid w:val="000D00AF"/>
    <w:rsid w:val="000D0DDD"/>
    <w:rsid w:val="000D0FDD"/>
    <w:rsid w:val="000D11F7"/>
    <w:rsid w:val="000D12EE"/>
    <w:rsid w:val="000D23C0"/>
    <w:rsid w:val="000D24AC"/>
    <w:rsid w:val="000D2E68"/>
    <w:rsid w:val="000D3DBE"/>
    <w:rsid w:val="000D3F78"/>
    <w:rsid w:val="000D524A"/>
    <w:rsid w:val="000D5C6F"/>
    <w:rsid w:val="000D655D"/>
    <w:rsid w:val="000D7C7D"/>
    <w:rsid w:val="000D7FC8"/>
    <w:rsid w:val="000E0D57"/>
    <w:rsid w:val="000E115E"/>
    <w:rsid w:val="000E2194"/>
    <w:rsid w:val="000E236C"/>
    <w:rsid w:val="000E2A8D"/>
    <w:rsid w:val="000E3E44"/>
    <w:rsid w:val="000E4569"/>
    <w:rsid w:val="000E45EB"/>
    <w:rsid w:val="000E4675"/>
    <w:rsid w:val="000E5289"/>
    <w:rsid w:val="000E5DB5"/>
    <w:rsid w:val="000E67B5"/>
    <w:rsid w:val="000E6F79"/>
    <w:rsid w:val="000E725A"/>
    <w:rsid w:val="000E7861"/>
    <w:rsid w:val="000F01E9"/>
    <w:rsid w:val="000F0B9B"/>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B3B"/>
    <w:rsid w:val="00107D1D"/>
    <w:rsid w:val="00110231"/>
    <w:rsid w:val="0011027E"/>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BA"/>
    <w:rsid w:val="00133DF8"/>
    <w:rsid w:val="001343D0"/>
    <w:rsid w:val="00134EFF"/>
    <w:rsid w:val="0013545D"/>
    <w:rsid w:val="00136991"/>
    <w:rsid w:val="00136DD4"/>
    <w:rsid w:val="001407F5"/>
    <w:rsid w:val="00141327"/>
    <w:rsid w:val="0014137E"/>
    <w:rsid w:val="00141671"/>
    <w:rsid w:val="0014260B"/>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1C9"/>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861"/>
    <w:rsid w:val="001E6FA6"/>
    <w:rsid w:val="001E7CFC"/>
    <w:rsid w:val="001E7D28"/>
    <w:rsid w:val="001F06F3"/>
    <w:rsid w:val="001F0978"/>
    <w:rsid w:val="001F0E15"/>
    <w:rsid w:val="001F16E0"/>
    <w:rsid w:val="001F1987"/>
    <w:rsid w:val="001F1EF1"/>
    <w:rsid w:val="001F20DA"/>
    <w:rsid w:val="001F270C"/>
    <w:rsid w:val="001F2ADF"/>
    <w:rsid w:val="001F3EB4"/>
    <w:rsid w:val="001F4327"/>
    <w:rsid w:val="001F4EBC"/>
    <w:rsid w:val="001F5FB9"/>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29D"/>
    <w:rsid w:val="00207CAD"/>
    <w:rsid w:val="0021001D"/>
    <w:rsid w:val="002102C2"/>
    <w:rsid w:val="002103EE"/>
    <w:rsid w:val="00210634"/>
    <w:rsid w:val="00210ACB"/>
    <w:rsid w:val="00210AFD"/>
    <w:rsid w:val="0021101C"/>
    <w:rsid w:val="00211D9F"/>
    <w:rsid w:val="00212156"/>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657"/>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20E0"/>
    <w:rsid w:val="00242A0D"/>
    <w:rsid w:val="00243845"/>
    <w:rsid w:val="00243D0D"/>
    <w:rsid w:val="00244A7A"/>
    <w:rsid w:val="0024536F"/>
    <w:rsid w:val="00245C34"/>
    <w:rsid w:val="00245E82"/>
    <w:rsid w:val="00245F6C"/>
    <w:rsid w:val="002466FA"/>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D9"/>
    <w:rsid w:val="00267CD2"/>
    <w:rsid w:val="00267D30"/>
    <w:rsid w:val="002701BE"/>
    <w:rsid w:val="00271626"/>
    <w:rsid w:val="00271BED"/>
    <w:rsid w:val="00272453"/>
    <w:rsid w:val="002737E7"/>
    <w:rsid w:val="00273AE3"/>
    <w:rsid w:val="00273D64"/>
    <w:rsid w:val="0027533C"/>
    <w:rsid w:val="002755BE"/>
    <w:rsid w:val="00275DBC"/>
    <w:rsid w:val="00277772"/>
    <w:rsid w:val="0027794F"/>
    <w:rsid w:val="00277F0F"/>
    <w:rsid w:val="00280439"/>
    <w:rsid w:val="002813FB"/>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6B9C"/>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1906"/>
    <w:rsid w:val="002D2037"/>
    <w:rsid w:val="002D300E"/>
    <w:rsid w:val="002D3373"/>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450E"/>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5EF3"/>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33E6"/>
    <w:rsid w:val="0034353E"/>
    <w:rsid w:val="00343A0C"/>
    <w:rsid w:val="00344CEE"/>
    <w:rsid w:val="00344F3C"/>
    <w:rsid w:val="00346029"/>
    <w:rsid w:val="00346D80"/>
    <w:rsid w:val="0034737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46E"/>
    <w:rsid w:val="0037561B"/>
    <w:rsid w:val="00375CD4"/>
    <w:rsid w:val="00376A1E"/>
    <w:rsid w:val="003777AB"/>
    <w:rsid w:val="00377A70"/>
    <w:rsid w:val="00380DBE"/>
    <w:rsid w:val="00380E2F"/>
    <w:rsid w:val="00381414"/>
    <w:rsid w:val="003827F4"/>
    <w:rsid w:val="00382A28"/>
    <w:rsid w:val="003844DA"/>
    <w:rsid w:val="00384A54"/>
    <w:rsid w:val="00384B41"/>
    <w:rsid w:val="00385243"/>
    <w:rsid w:val="00385C51"/>
    <w:rsid w:val="00385EA2"/>
    <w:rsid w:val="003860B9"/>
    <w:rsid w:val="00387029"/>
    <w:rsid w:val="0038727B"/>
    <w:rsid w:val="00387AF2"/>
    <w:rsid w:val="00387D11"/>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0DD"/>
    <w:rsid w:val="003B0510"/>
    <w:rsid w:val="003B4242"/>
    <w:rsid w:val="003B4A81"/>
    <w:rsid w:val="003B4B2C"/>
    <w:rsid w:val="003B4C05"/>
    <w:rsid w:val="003B4F59"/>
    <w:rsid w:val="003B5630"/>
    <w:rsid w:val="003B6094"/>
    <w:rsid w:val="003B68DE"/>
    <w:rsid w:val="003B694B"/>
    <w:rsid w:val="003B69B4"/>
    <w:rsid w:val="003B69F7"/>
    <w:rsid w:val="003B700E"/>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3B"/>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70"/>
    <w:rsid w:val="003E4983"/>
    <w:rsid w:val="003E49AC"/>
    <w:rsid w:val="003E4E38"/>
    <w:rsid w:val="003E5D0F"/>
    <w:rsid w:val="003E675F"/>
    <w:rsid w:val="003E6AA1"/>
    <w:rsid w:val="003E6F02"/>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B61"/>
    <w:rsid w:val="00435BE9"/>
    <w:rsid w:val="00435CCE"/>
    <w:rsid w:val="00435EDA"/>
    <w:rsid w:val="00435F5C"/>
    <w:rsid w:val="00436202"/>
    <w:rsid w:val="00436679"/>
    <w:rsid w:val="00436A0E"/>
    <w:rsid w:val="00437843"/>
    <w:rsid w:val="0044067A"/>
    <w:rsid w:val="00440BF9"/>
    <w:rsid w:val="0044101D"/>
    <w:rsid w:val="00441439"/>
    <w:rsid w:val="0044193F"/>
    <w:rsid w:val="00442A57"/>
    <w:rsid w:val="00442C4F"/>
    <w:rsid w:val="0044447F"/>
    <w:rsid w:val="004445A1"/>
    <w:rsid w:val="0044513D"/>
    <w:rsid w:val="004451F7"/>
    <w:rsid w:val="0044523E"/>
    <w:rsid w:val="0044599A"/>
    <w:rsid w:val="00445CA9"/>
    <w:rsid w:val="004469A6"/>
    <w:rsid w:val="00446FD5"/>
    <w:rsid w:val="00447118"/>
    <w:rsid w:val="004472EB"/>
    <w:rsid w:val="004503E9"/>
    <w:rsid w:val="004509FA"/>
    <w:rsid w:val="004510D5"/>
    <w:rsid w:val="00452078"/>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E8B"/>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57DF"/>
    <w:rsid w:val="004765C8"/>
    <w:rsid w:val="00477403"/>
    <w:rsid w:val="0047792B"/>
    <w:rsid w:val="00477D67"/>
    <w:rsid w:val="00480289"/>
    <w:rsid w:val="004807D8"/>
    <w:rsid w:val="00480B40"/>
    <w:rsid w:val="00482363"/>
    <w:rsid w:val="0048258F"/>
    <w:rsid w:val="00482742"/>
    <w:rsid w:val="00482F29"/>
    <w:rsid w:val="00483423"/>
    <w:rsid w:val="00483E83"/>
    <w:rsid w:val="004848E6"/>
    <w:rsid w:val="0048492A"/>
    <w:rsid w:val="0048496B"/>
    <w:rsid w:val="00485321"/>
    <w:rsid w:val="00485A0F"/>
    <w:rsid w:val="00485C5B"/>
    <w:rsid w:val="00485E94"/>
    <w:rsid w:val="00486223"/>
    <w:rsid w:val="0048737F"/>
    <w:rsid w:val="004875A3"/>
    <w:rsid w:val="0049057C"/>
    <w:rsid w:val="004907DA"/>
    <w:rsid w:val="004917D6"/>
    <w:rsid w:val="00491A58"/>
    <w:rsid w:val="0049208E"/>
    <w:rsid w:val="00492D07"/>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E44"/>
    <w:rsid w:val="004B1F74"/>
    <w:rsid w:val="004B25A8"/>
    <w:rsid w:val="004B3B18"/>
    <w:rsid w:val="004B4626"/>
    <w:rsid w:val="004B4DAE"/>
    <w:rsid w:val="004B5D97"/>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0FDB"/>
    <w:rsid w:val="00522236"/>
    <w:rsid w:val="0052225C"/>
    <w:rsid w:val="00522919"/>
    <w:rsid w:val="00522B32"/>
    <w:rsid w:val="00523606"/>
    <w:rsid w:val="00523A08"/>
    <w:rsid w:val="00523BAC"/>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7F7"/>
    <w:rsid w:val="005569AF"/>
    <w:rsid w:val="0055757C"/>
    <w:rsid w:val="005604EE"/>
    <w:rsid w:val="00560F51"/>
    <w:rsid w:val="00561269"/>
    <w:rsid w:val="00561793"/>
    <w:rsid w:val="00561FE0"/>
    <w:rsid w:val="005622E0"/>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13"/>
    <w:rsid w:val="005841F3"/>
    <w:rsid w:val="0058531B"/>
    <w:rsid w:val="00585A78"/>
    <w:rsid w:val="00586785"/>
    <w:rsid w:val="0058694B"/>
    <w:rsid w:val="00587F65"/>
    <w:rsid w:val="00590FFC"/>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60E4"/>
    <w:rsid w:val="005A66E5"/>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84C"/>
    <w:rsid w:val="005E7FBF"/>
    <w:rsid w:val="005F0140"/>
    <w:rsid w:val="005F01B0"/>
    <w:rsid w:val="005F0A0C"/>
    <w:rsid w:val="005F0B47"/>
    <w:rsid w:val="005F0B8A"/>
    <w:rsid w:val="005F1237"/>
    <w:rsid w:val="005F1C65"/>
    <w:rsid w:val="005F200F"/>
    <w:rsid w:val="005F2474"/>
    <w:rsid w:val="005F2CA0"/>
    <w:rsid w:val="005F2F59"/>
    <w:rsid w:val="005F2FF1"/>
    <w:rsid w:val="005F3225"/>
    <w:rsid w:val="005F3BC7"/>
    <w:rsid w:val="005F4247"/>
    <w:rsid w:val="005F4974"/>
    <w:rsid w:val="005F5628"/>
    <w:rsid w:val="005F6207"/>
    <w:rsid w:val="005F695F"/>
    <w:rsid w:val="005F6F7F"/>
    <w:rsid w:val="005F74F7"/>
    <w:rsid w:val="00600138"/>
    <w:rsid w:val="006003D9"/>
    <w:rsid w:val="00600B04"/>
    <w:rsid w:val="00602D8D"/>
    <w:rsid w:val="00603035"/>
    <w:rsid w:val="006032BE"/>
    <w:rsid w:val="00603A3B"/>
    <w:rsid w:val="00603DFF"/>
    <w:rsid w:val="006043AD"/>
    <w:rsid w:val="00604851"/>
    <w:rsid w:val="0060543E"/>
    <w:rsid w:val="006054EF"/>
    <w:rsid w:val="00605CD3"/>
    <w:rsid w:val="00606019"/>
    <w:rsid w:val="006066AA"/>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58"/>
    <w:rsid w:val="0063069D"/>
    <w:rsid w:val="00630C8D"/>
    <w:rsid w:val="006315EB"/>
    <w:rsid w:val="0063179D"/>
    <w:rsid w:val="006330A5"/>
    <w:rsid w:val="00635176"/>
    <w:rsid w:val="00635A5B"/>
    <w:rsid w:val="00635FBC"/>
    <w:rsid w:val="00636647"/>
    <w:rsid w:val="0063702C"/>
    <w:rsid w:val="00637E28"/>
    <w:rsid w:val="00640675"/>
    <w:rsid w:val="00640997"/>
    <w:rsid w:val="00640BE0"/>
    <w:rsid w:val="00640D6C"/>
    <w:rsid w:val="00641636"/>
    <w:rsid w:val="00641B69"/>
    <w:rsid w:val="00641BB6"/>
    <w:rsid w:val="00641D74"/>
    <w:rsid w:val="006430BD"/>
    <w:rsid w:val="006453FE"/>
    <w:rsid w:val="00645F98"/>
    <w:rsid w:val="0064622E"/>
    <w:rsid w:val="00646B12"/>
    <w:rsid w:val="006474B5"/>
    <w:rsid w:val="006478DC"/>
    <w:rsid w:val="00647DB5"/>
    <w:rsid w:val="0065195D"/>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2797"/>
    <w:rsid w:val="006634DC"/>
    <w:rsid w:val="006638AA"/>
    <w:rsid w:val="00663ADA"/>
    <w:rsid w:val="00664533"/>
    <w:rsid w:val="00664CB0"/>
    <w:rsid w:val="00664E7A"/>
    <w:rsid w:val="00664F7D"/>
    <w:rsid w:val="006656A4"/>
    <w:rsid w:val="00665AE8"/>
    <w:rsid w:val="00666696"/>
    <w:rsid w:val="00667ADF"/>
    <w:rsid w:val="00670D82"/>
    <w:rsid w:val="0067122F"/>
    <w:rsid w:val="00671E3C"/>
    <w:rsid w:val="00672148"/>
    <w:rsid w:val="006722C3"/>
    <w:rsid w:val="00672390"/>
    <w:rsid w:val="00673138"/>
    <w:rsid w:val="00673525"/>
    <w:rsid w:val="006738C5"/>
    <w:rsid w:val="00674564"/>
    <w:rsid w:val="00676AD5"/>
    <w:rsid w:val="00677477"/>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53FE"/>
    <w:rsid w:val="006F5B70"/>
    <w:rsid w:val="006F5C41"/>
    <w:rsid w:val="006F5C5A"/>
    <w:rsid w:val="007007FF"/>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6388"/>
    <w:rsid w:val="0071686E"/>
    <w:rsid w:val="00717593"/>
    <w:rsid w:val="007175AA"/>
    <w:rsid w:val="007177CF"/>
    <w:rsid w:val="007225F6"/>
    <w:rsid w:val="00722B1C"/>
    <w:rsid w:val="0072339A"/>
    <w:rsid w:val="00724C42"/>
    <w:rsid w:val="0072624B"/>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60748"/>
    <w:rsid w:val="007609F2"/>
    <w:rsid w:val="0076165B"/>
    <w:rsid w:val="0076173D"/>
    <w:rsid w:val="00761AE3"/>
    <w:rsid w:val="007623EB"/>
    <w:rsid w:val="00762F8C"/>
    <w:rsid w:val="0076333D"/>
    <w:rsid w:val="00765066"/>
    <w:rsid w:val="00765427"/>
    <w:rsid w:val="00765CF1"/>
    <w:rsid w:val="0076687E"/>
    <w:rsid w:val="007669C0"/>
    <w:rsid w:val="00766DF9"/>
    <w:rsid w:val="007670C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CCE"/>
    <w:rsid w:val="0077740B"/>
    <w:rsid w:val="00777434"/>
    <w:rsid w:val="00777F30"/>
    <w:rsid w:val="007801EE"/>
    <w:rsid w:val="0078060B"/>
    <w:rsid w:val="0078119D"/>
    <w:rsid w:val="007811F7"/>
    <w:rsid w:val="007825D0"/>
    <w:rsid w:val="00782C5A"/>
    <w:rsid w:val="00782D6F"/>
    <w:rsid w:val="007833DF"/>
    <w:rsid w:val="0078386D"/>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C17B3"/>
    <w:rsid w:val="007C19EA"/>
    <w:rsid w:val="007C21DE"/>
    <w:rsid w:val="007C2442"/>
    <w:rsid w:val="007C273F"/>
    <w:rsid w:val="007C3848"/>
    <w:rsid w:val="007C38DF"/>
    <w:rsid w:val="007C38FC"/>
    <w:rsid w:val="007C44EF"/>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489"/>
    <w:rsid w:val="007E0354"/>
    <w:rsid w:val="007E0378"/>
    <w:rsid w:val="007E0AE5"/>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134"/>
    <w:rsid w:val="00800B0D"/>
    <w:rsid w:val="00800DA1"/>
    <w:rsid w:val="00801403"/>
    <w:rsid w:val="0080164E"/>
    <w:rsid w:val="00801B42"/>
    <w:rsid w:val="00802876"/>
    <w:rsid w:val="0080299D"/>
    <w:rsid w:val="0080382B"/>
    <w:rsid w:val="008044A1"/>
    <w:rsid w:val="008044CE"/>
    <w:rsid w:val="008050A5"/>
    <w:rsid w:val="0080567C"/>
    <w:rsid w:val="00805E6D"/>
    <w:rsid w:val="00805F11"/>
    <w:rsid w:val="00805F15"/>
    <w:rsid w:val="00806C9A"/>
    <w:rsid w:val="0081012C"/>
    <w:rsid w:val="0081098F"/>
    <w:rsid w:val="00810EFE"/>
    <w:rsid w:val="0081182E"/>
    <w:rsid w:val="00812516"/>
    <w:rsid w:val="00813378"/>
    <w:rsid w:val="00813A68"/>
    <w:rsid w:val="00814E25"/>
    <w:rsid w:val="008153C9"/>
    <w:rsid w:val="0081597D"/>
    <w:rsid w:val="00815E0C"/>
    <w:rsid w:val="00816DB0"/>
    <w:rsid w:val="0081714E"/>
    <w:rsid w:val="008172FF"/>
    <w:rsid w:val="00817AE0"/>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00F"/>
    <w:rsid w:val="00853A2F"/>
    <w:rsid w:val="00853E00"/>
    <w:rsid w:val="00856B11"/>
    <w:rsid w:val="008570F7"/>
    <w:rsid w:val="00857788"/>
    <w:rsid w:val="00860D0C"/>
    <w:rsid w:val="00860E0A"/>
    <w:rsid w:val="008617A9"/>
    <w:rsid w:val="008622F6"/>
    <w:rsid w:val="008623F2"/>
    <w:rsid w:val="00862B06"/>
    <w:rsid w:val="00862DAE"/>
    <w:rsid w:val="008633B1"/>
    <w:rsid w:val="00863735"/>
    <w:rsid w:val="0086392B"/>
    <w:rsid w:val="00863956"/>
    <w:rsid w:val="0086462E"/>
    <w:rsid w:val="008657CC"/>
    <w:rsid w:val="00865A9E"/>
    <w:rsid w:val="00865AF8"/>
    <w:rsid w:val="008660F5"/>
    <w:rsid w:val="0086635A"/>
    <w:rsid w:val="00866A49"/>
    <w:rsid w:val="00866EC5"/>
    <w:rsid w:val="008671BE"/>
    <w:rsid w:val="00870015"/>
    <w:rsid w:val="00870C40"/>
    <w:rsid w:val="00871CEC"/>
    <w:rsid w:val="00872612"/>
    <w:rsid w:val="00872873"/>
    <w:rsid w:val="00872B23"/>
    <w:rsid w:val="00872F48"/>
    <w:rsid w:val="0087313F"/>
    <w:rsid w:val="0087352B"/>
    <w:rsid w:val="008738B7"/>
    <w:rsid w:val="00873E4D"/>
    <w:rsid w:val="008741D5"/>
    <w:rsid w:val="008768FA"/>
    <w:rsid w:val="00876C98"/>
    <w:rsid w:val="00876E7C"/>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7308"/>
    <w:rsid w:val="00887F8D"/>
    <w:rsid w:val="008901F4"/>
    <w:rsid w:val="00890764"/>
    <w:rsid w:val="00890A02"/>
    <w:rsid w:val="008914DB"/>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982"/>
    <w:rsid w:val="008D1AFA"/>
    <w:rsid w:val="008D1FCA"/>
    <w:rsid w:val="008D3794"/>
    <w:rsid w:val="008D4082"/>
    <w:rsid w:val="008D420F"/>
    <w:rsid w:val="008D5066"/>
    <w:rsid w:val="008D571E"/>
    <w:rsid w:val="008D5C7F"/>
    <w:rsid w:val="008D5E88"/>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1CB"/>
    <w:rsid w:val="008E7A26"/>
    <w:rsid w:val="008E7F55"/>
    <w:rsid w:val="008F08C1"/>
    <w:rsid w:val="008F09BE"/>
    <w:rsid w:val="008F0D99"/>
    <w:rsid w:val="008F1601"/>
    <w:rsid w:val="008F1E6B"/>
    <w:rsid w:val="008F22C3"/>
    <w:rsid w:val="008F284D"/>
    <w:rsid w:val="008F3879"/>
    <w:rsid w:val="008F3CC6"/>
    <w:rsid w:val="008F3CEB"/>
    <w:rsid w:val="008F3F1A"/>
    <w:rsid w:val="008F4FE0"/>
    <w:rsid w:val="00900BE6"/>
    <w:rsid w:val="0090171D"/>
    <w:rsid w:val="00902F8B"/>
    <w:rsid w:val="0090469B"/>
    <w:rsid w:val="00905587"/>
    <w:rsid w:val="009056FD"/>
    <w:rsid w:val="00905D7F"/>
    <w:rsid w:val="00905DFE"/>
    <w:rsid w:val="00905E38"/>
    <w:rsid w:val="00906031"/>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1A8"/>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5058"/>
    <w:rsid w:val="009A5373"/>
    <w:rsid w:val="009A611E"/>
    <w:rsid w:val="009A6D44"/>
    <w:rsid w:val="009A6D5D"/>
    <w:rsid w:val="009A6E54"/>
    <w:rsid w:val="009A776C"/>
    <w:rsid w:val="009B02F6"/>
    <w:rsid w:val="009B15F4"/>
    <w:rsid w:val="009B28D2"/>
    <w:rsid w:val="009B317E"/>
    <w:rsid w:val="009B3B74"/>
    <w:rsid w:val="009B3C56"/>
    <w:rsid w:val="009B3F30"/>
    <w:rsid w:val="009B4159"/>
    <w:rsid w:val="009B417B"/>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C33"/>
    <w:rsid w:val="009F4E63"/>
    <w:rsid w:val="009F53D8"/>
    <w:rsid w:val="009F5414"/>
    <w:rsid w:val="009F5CF4"/>
    <w:rsid w:val="009F6574"/>
    <w:rsid w:val="009F751A"/>
    <w:rsid w:val="009F78FA"/>
    <w:rsid w:val="00A00431"/>
    <w:rsid w:val="00A01971"/>
    <w:rsid w:val="00A01A40"/>
    <w:rsid w:val="00A02F12"/>
    <w:rsid w:val="00A0389B"/>
    <w:rsid w:val="00A03BF6"/>
    <w:rsid w:val="00A05D73"/>
    <w:rsid w:val="00A062FF"/>
    <w:rsid w:val="00A0667E"/>
    <w:rsid w:val="00A0679C"/>
    <w:rsid w:val="00A06D66"/>
    <w:rsid w:val="00A07637"/>
    <w:rsid w:val="00A07B7B"/>
    <w:rsid w:val="00A07C9C"/>
    <w:rsid w:val="00A07DDE"/>
    <w:rsid w:val="00A10D82"/>
    <w:rsid w:val="00A11193"/>
    <w:rsid w:val="00A11EB0"/>
    <w:rsid w:val="00A12FB0"/>
    <w:rsid w:val="00A1360F"/>
    <w:rsid w:val="00A137F2"/>
    <w:rsid w:val="00A13B38"/>
    <w:rsid w:val="00A140B9"/>
    <w:rsid w:val="00A1468F"/>
    <w:rsid w:val="00A14DB7"/>
    <w:rsid w:val="00A14F27"/>
    <w:rsid w:val="00A14F4C"/>
    <w:rsid w:val="00A16066"/>
    <w:rsid w:val="00A16A76"/>
    <w:rsid w:val="00A172AC"/>
    <w:rsid w:val="00A20150"/>
    <w:rsid w:val="00A20565"/>
    <w:rsid w:val="00A206E7"/>
    <w:rsid w:val="00A209C6"/>
    <w:rsid w:val="00A2128B"/>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251"/>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299"/>
    <w:rsid w:val="00A51B5F"/>
    <w:rsid w:val="00A51C76"/>
    <w:rsid w:val="00A51D16"/>
    <w:rsid w:val="00A529EF"/>
    <w:rsid w:val="00A52EC5"/>
    <w:rsid w:val="00A532B5"/>
    <w:rsid w:val="00A53CA9"/>
    <w:rsid w:val="00A54801"/>
    <w:rsid w:val="00A5497C"/>
    <w:rsid w:val="00A5534C"/>
    <w:rsid w:val="00A554F1"/>
    <w:rsid w:val="00A55F70"/>
    <w:rsid w:val="00A5639E"/>
    <w:rsid w:val="00A56518"/>
    <w:rsid w:val="00A57815"/>
    <w:rsid w:val="00A57CD9"/>
    <w:rsid w:val="00A6076A"/>
    <w:rsid w:val="00A6108C"/>
    <w:rsid w:val="00A6119F"/>
    <w:rsid w:val="00A61A43"/>
    <w:rsid w:val="00A61B1E"/>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0F49"/>
    <w:rsid w:val="00A81272"/>
    <w:rsid w:val="00A817AA"/>
    <w:rsid w:val="00A817B3"/>
    <w:rsid w:val="00A81AFD"/>
    <w:rsid w:val="00A81F7D"/>
    <w:rsid w:val="00A82C0A"/>
    <w:rsid w:val="00A83182"/>
    <w:rsid w:val="00A835FA"/>
    <w:rsid w:val="00A8445C"/>
    <w:rsid w:val="00A84689"/>
    <w:rsid w:val="00A84D0F"/>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7F0"/>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AC6"/>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BB0"/>
    <w:rsid w:val="00AD0E75"/>
    <w:rsid w:val="00AD1066"/>
    <w:rsid w:val="00AD1BEE"/>
    <w:rsid w:val="00AD229F"/>
    <w:rsid w:val="00AD2BFA"/>
    <w:rsid w:val="00AD2CE3"/>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7F6"/>
    <w:rsid w:val="00AF197C"/>
    <w:rsid w:val="00AF1B19"/>
    <w:rsid w:val="00AF2AA1"/>
    <w:rsid w:val="00AF2BAE"/>
    <w:rsid w:val="00AF4D91"/>
    <w:rsid w:val="00AF4F5C"/>
    <w:rsid w:val="00AF51C3"/>
    <w:rsid w:val="00AF5614"/>
    <w:rsid w:val="00AF5624"/>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280"/>
    <w:rsid w:val="00B158D2"/>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415B2"/>
    <w:rsid w:val="00B42CC8"/>
    <w:rsid w:val="00B436A7"/>
    <w:rsid w:val="00B43A66"/>
    <w:rsid w:val="00B43CED"/>
    <w:rsid w:val="00B442DB"/>
    <w:rsid w:val="00B44584"/>
    <w:rsid w:val="00B446C4"/>
    <w:rsid w:val="00B46699"/>
    <w:rsid w:val="00B479AA"/>
    <w:rsid w:val="00B47BA9"/>
    <w:rsid w:val="00B50223"/>
    <w:rsid w:val="00B50780"/>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5A34"/>
    <w:rsid w:val="00B66E19"/>
    <w:rsid w:val="00B67709"/>
    <w:rsid w:val="00B67CBD"/>
    <w:rsid w:val="00B704B9"/>
    <w:rsid w:val="00B70532"/>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B7DBE"/>
    <w:rsid w:val="00BC0A3F"/>
    <w:rsid w:val="00BC0D9C"/>
    <w:rsid w:val="00BC18BD"/>
    <w:rsid w:val="00BC1948"/>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03F0"/>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2D27"/>
    <w:rsid w:val="00C3326D"/>
    <w:rsid w:val="00C337D7"/>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56CF"/>
    <w:rsid w:val="00C85CF5"/>
    <w:rsid w:val="00C86D2E"/>
    <w:rsid w:val="00C8750A"/>
    <w:rsid w:val="00C876EC"/>
    <w:rsid w:val="00C9055B"/>
    <w:rsid w:val="00C9074B"/>
    <w:rsid w:val="00C910F3"/>
    <w:rsid w:val="00C9118D"/>
    <w:rsid w:val="00C9174A"/>
    <w:rsid w:val="00C9181B"/>
    <w:rsid w:val="00C91DEB"/>
    <w:rsid w:val="00C9228A"/>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D3"/>
    <w:rsid w:val="00CC6856"/>
    <w:rsid w:val="00CC701E"/>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981"/>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195"/>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6F76"/>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573"/>
    <w:rsid w:val="00D76D25"/>
    <w:rsid w:val="00D779F8"/>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1D4"/>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77F9"/>
    <w:rsid w:val="00D97C88"/>
    <w:rsid w:val="00DA00D8"/>
    <w:rsid w:val="00DA10DA"/>
    <w:rsid w:val="00DA21D3"/>
    <w:rsid w:val="00DA2312"/>
    <w:rsid w:val="00DA27DB"/>
    <w:rsid w:val="00DA32C0"/>
    <w:rsid w:val="00DA3B73"/>
    <w:rsid w:val="00DA401A"/>
    <w:rsid w:val="00DA462A"/>
    <w:rsid w:val="00DA52C2"/>
    <w:rsid w:val="00DA5480"/>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9FD"/>
    <w:rsid w:val="00DC2F8D"/>
    <w:rsid w:val="00DC349A"/>
    <w:rsid w:val="00DC3870"/>
    <w:rsid w:val="00DC41FE"/>
    <w:rsid w:val="00DC47E0"/>
    <w:rsid w:val="00DC4A4E"/>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6F19"/>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75BF"/>
    <w:rsid w:val="00E20205"/>
    <w:rsid w:val="00E202C7"/>
    <w:rsid w:val="00E20DC5"/>
    <w:rsid w:val="00E223A2"/>
    <w:rsid w:val="00E22967"/>
    <w:rsid w:val="00E229C3"/>
    <w:rsid w:val="00E22B4D"/>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446"/>
    <w:rsid w:val="00E46822"/>
    <w:rsid w:val="00E46AF2"/>
    <w:rsid w:val="00E470C1"/>
    <w:rsid w:val="00E476BA"/>
    <w:rsid w:val="00E47A74"/>
    <w:rsid w:val="00E500C6"/>
    <w:rsid w:val="00E50869"/>
    <w:rsid w:val="00E508FC"/>
    <w:rsid w:val="00E509B4"/>
    <w:rsid w:val="00E514A1"/>
    <w:rsid w:val="00E52245"/>
    <w:rsid w:val="00E52311"/>
    <w:rsid w:val="00E52CAC"/>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2C69"/>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B2C"/>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4EC7"/>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E09"/>
    <w:rsid w:val="00EC2B95"/>
    <w:rsid w:val="00EC2C71"/>
    <w:rsid w:val="00EC2EDA"/>
    <w:rsid w:val="00EC2F5A"/>
    <w:rsid w:val="00EC3809"/>
    <w:rsid w:val="00EC3A92"/>
    <w:rsid w:val="00EC3C52"/>
    <w:rsid w:val="00EC43B4"/>
    <w:rsid w:val="00EC4477"/>
    <w:rsid w:val="00EC49F8"/>
    <w:rsid w:val="00EC4C9D"/>
    <w:rsid w:val="00EC5306"/>
    <w:rsid w:val="00EC5342"/>
    <w:rsid w:val="00EC623A"/>
    <w:rsid w:val="00EC67BF"/>
    <w:rsid w:val="00EC752E"/>
    <w:rsid w:val="00EC7EF4"/>
    <w:rsid w:val="00ED0DEE"/>
    <w:rsid w:val="00ED11DE"/>
    <w:rsid w:val="00ED1364"/>
    <w:rsid w:val="00ED1976"/>
    <w:rsid w:val="00ED2202"/>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4D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314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366A"/>
    <w:rsid w:val="00F6450D"/>
    <w:rsid w:val="00F64A84"/>
    <w:rsid w:val="00F65A33"/>
    <w:rsid w:val="00F65F3F"/>
    <w:rsid w:val="00F66213"/>
    <w:rsid w:val="00F66B83"/>
    <w:rsid w:val="00F67EFB"/>
    <w:rsid w:val="00F70C46"/>
    <w:rsid w:val="00F72BA6"/>
    <w:rsid w:val="00F73375"/>
    <w:rsid w:val="00F733B5"/>
    <w:rsid w:val="00F743D9"/>
    <w:rsid w:val="00F75937"/>
    <w:rsid w:val="00F76C07"/>
    <w:rsid w:val="00F77357"/>
    <w:rsid w:val="00F773F9"/>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20E"/>
    <w:rsid w:val="00F97438"/>
    <w:rsid w:val="00F97446"/>
    <w:rsid w:val="00F974A6"/>
    <w:rsid w:val="00F976CC"/>
    <w:rsid w:val="00F97BE8"/>
    <w:rsid w:val="00FA1244"/>
    <w:rsid w:val="00FA15B0"/>
    <w:rsid w:val="00FA16A0"/>
    <w:rsid w:val="00FA185C"/>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2BDADBD1-B27A-4665-AD4F-C4D5C81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eastAsia="et-EE"/>
    </w:rPr>
  </w:style>
  <w:style w:type="paragraph" w:styleId="Pealkiri1">
    <w:name w:val="heading 1"/>
    <w:basedOn w:val="Normaallaad"/>
    <w:link w:val="Pealkiri1Mrk"/>
    <w:uiPriority w:val="9"/>
    <w:qFormat/>
    <w:rsid w:val="00815E0C"/>
    <w:pPr>
      <w:spacing w:before="100" w:beforeAutospacing="1" w:after="100" w:afterAutospacing="1" w:line="264" w:lineRule="atLeast"/>
      <w:outlineLvl w:val="0"/>
    </w:pPr>
    <w:rPr>
      <w:b/>
      <w:bCs/>
      <w:kern w:val="36"/>
      <w:sz w:val="36"/>
      <w:szCs w:val="36"/>
      <w:lang w:val="x-none" w:eastAsia="x-none"/>
    </w:rPr>
  </w:style>
  <w:style w:type="paragraph" w:styleId="Pealkiri3">
    <w:name w:val="heading 3"/>
    <w:basedOn w:val="Normaallaad"/>
    <w:link w:val="Pealkiri3Mrk"/>
    <w:uiPriority w:val="9"/>
    <w:qFormat/>
    <w:rsid w:val="00815E0C"/>
    <w:pPr>
      <w:spacing w:before="100" w:beforeAutospacing="1" w:after="100" w:afterAutospacing="1"/>
      <w:outlineLvl w:val="2"/>
    </w:pPr>
    <w:rPr>
      <w:b/>
      <w:bCs/>
      <w:sz w:val="34"/>
      <w:szCs w:val="34"/>
      <w:lang w:val="x-none" w:eastAsia="x-none"/>
    </w:rPr>
  </w:style>
  <w:style w:type="paragraph" w:styleId="Pealkiri4">
    <w:name w:val="heading 4"/>
    <w:basedOn w:val="Normaallaad"/>
    <w:link w:val="Pealkiri4Mrk"/>
    <w:uiPriority w:val="9"/>
    <w:qFormat/>
    <w:rsid w:val="00815E0C"/>
    <w:pPr>
      <w:spacing w:before="100" w:beforeAutospacing="1" w:after="100" w:afterAutospacing="1"/>
      <w:outlineLvl w:val="3"/>
    </w:pPr>
    <w:rPr>
      <w:b/>
      <w:bCs/>
      <w:sz w:val="29"/>
      <w:szCs w:val="29"/>
      <w:lang w:val="x-none" w:eastAsia="x-none"/>
    </w:rPr>
  </w:style>
  <w:style w:type="character" w:default="1" w:styleId="Liguvaikefont">
    <w:name w:val="Default Paragraph Font"/>
    <w:semiHidden/>
  </w:style>
  <w:style w:type="table" w:default="1" w:styleId="Normaaltabel">
    <w:name w:val="Normal Table"/>
    <w:semiHidden/>
    <w:tblPr>
      <w:tblInd w:w="0" w:type="dxa"/>
      <w:tblCellMar>
        <w:top w:w="0" w:type="dxa"/>
        <w:left w:w="108" w:type="dxa"/>
        <w:bottom w:w="0" w:type="dxa"/>
        <w:right w:w="108" w:type="dxa"/>
      </w:tblCellMar>
    </w:tblPr>
  </w:style>
  <w:style w:type="numbering" w:default="1" w:styleId="Loendita">
    <w:name w:val="No List"/>
    <w:semiHidden/>
  </w:style>
  <w:style w:type="character" w:customStyle="1" w:styleId="subabstractlabel">
    <w:name w:val="sub_abstract_label"/>
    <w:rsid w:val="00402CDE"/>
    <w:rPr>
      <w:b/>
      <w:bCs/>
      <w:sz w:val="24"/>
      <w:szCs w:val="24"/>
    </w:rPr>
  </w:style>
  <w:style w:type="table" w:styleId="Kontuurtabel">
    <w:name w:val="Table Grid"/>
    <w:basedOn w:val="Normaaltabe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tsitaat">
    <w:name w:val="HTML Cite"/>
    <w:rsid w:val="00C337D7"/>
    <w:rPr>
      <w:i/>
      <w:iCs/>
    </w:rPr>
  </w:style>
  <w:style w:type="character" w:customStyle="1" w:styleId="cit-vol1">
    <w:name w:val="cit-vol1"/>
    <w:rsid w:val="00C337D7"/>
    <w:rPr>
      <w:b w:val="0"/>
      <w:bCs w:val="0"/>
    </w:rPr>
  </w:style>
  <w:style w:type="character" w:customStyle="1" w:styleId="cit-title1">
    <w:name w:val="cit-title1"/>
    <w:basedOn w:val="Liguvaikefont"/>
    <w:rsid w:val="00C337D7"/>
  </w:style>
  <w:style w:type="character" w:customStyle="1" w:styleId="cit-authcit-auth-type-author">
    <w:name w:val="cit-auth cit-auth-type-author"/>
    <w:basedOn w:val="Liguvaikefont"/>
    <w:rsid w:val="00C337D7"/>
  </w:style>
  <w:style w:type="character" w:customStyle="1" w:styleId="cit-sepcit-sep-separator">
    <w:name w:val="cit-sep cit-sep-separator"/>
    <w:basedOn w:val="Liguvaikefont"/>
    <w:rsid w:val="00C337D7"/>
  </w:style>
  <w:style w:type="character" w:customStyle="1" w:styleId="cit-print-date">
    <w:name w:val="cit-print-date"/>
    <w:basedOn w:val="Liguvaikefont"/>
    <w:rsid w:val="00C337D7"/>
  </w:style>
  <w:style w:type="character" w:customStyle="1" w:styleId="cit-sepcit-sep-after-article-print-date">
    <w:name w:val="cit-sep cit-sep-after-article-print-date"/>
    <w:basedOn w:val="Liguvaikefont"/>
    <w:rsid w:val="00C337D7"/>
  </w:style>
  <w:style w:type="character" w:customStyle="1" w:styleId="cit-sepcit-sep-after-article-vol">
    <w:name w:val="cit-sep cit-sep-after-article-vol"/>
    <w:basedOn w:val="Liguvaikefont"/>
    <w:rsid w:val="00C337D7"/>
  </w:style>
  <w:style w:type="character" w:customStyle="1" w:styleId="cit-first-page">
    <w:name w:val="cit-first-page"/>
    <w:basedOn w:val="Liguvaikefont"/>
    <w:rsid w:val="00C337D7"/>
  </w:style>
  <w:style w:type="character" w:styleId="Hperlink">
    <w:name w:val="Hyperlink"/>
    <w:uiPriority w:val="99"/>
    <w:rsid w:val="00BC6052"/>
    <w:rPr>
      <w:color w:val="0000FF"/>
      <w:u w:val="single"/>
    </w:rPr>
  </w:style>
  <w:style w:type="character" w:styleId="Rhutus">
    <w:name w:val="Emphasis"/>
    <w:uiPriority w:val="20"/>
    <w:qFormat/>
    <w:rsid w:val="00BC6052"/>
    <w:rPr>
      <w:i/>
      <w:iCs/>
    </w:rPr>
  </w:style>
  <w:style w:type="paragraph" w:styleId="Vrvilineloendrhk1">
    <w:name w:val="Colorful List Accent 1"/>
    <w:basedOn w:val="Normaallaad"/>
    <w:qFormat/>
    <w:rsid w:val="001D47FB"/>
    <w:pPr>
      <w:ind w:left="720"/>
      <w:contextualSpacing/>
    </w:pPr>
    <w:rPr>
      <w:lang w:val="en-GB"/>
    </w:rPr>
  </w:style>
  <w:style w:type="character" w:customStyle="1" w:styleId="Pealkiri1Mrk">
    <w:name w:val="Pealkiri 1 Märk"/>
    <w:link w:val="Pealkiri1"/>
    <w:uiPriority w:val="9"/>
    <w:rsid w:val="00815E0C"/>
    <w:rPr>
      <w:b/>
      <w:bCs/>
      <w:kern w:val="36"/>
      <w:sz w:val="36"/>
      <w:szCs w:val="36"/>
    </w:rPr>
  </w:style>
  <w:style w:type="character" w:customStyle="1" w:styleId="Pealkiri3Mrk">
    <w:name w:val="Pealkiri 3 Märk"/>
    <w:link w:val="Pealkiri3"/>
    <w:uiPriority w:val="9"/>
    <w:rsid w:val="00815E0C"/>
    <w:rPr>
      <w:b/>
      <w:bCs/>
      <w:sz w:val="34"/>
      <w:szCs w:val="34"/>
    </w:rPr>
  </w:style>
  <w:style w:type="character" w:customStyle="1" w:styleId="Pealkiri4Mrk">
    <w:name w:val="Pealkiri 4 Märk"/>
    <w:link w:val="Pealkiri4"/>
    <w:uiPriority w:val="9"/>
    <w:rsid w:val="00815E0C"/>
    <w:rPr>
      <w:b/>
      <w:bCs/>
      <w:sz w:val="29"/>
      <w:szCs w:val="29"/>
    </w:rPr>
  </w:style>
  <w:style w:type="paragraph" w:styleId="Normaallaadveeb">
    <w:name w:val="Normal (Web)"/>
    <w:basedOn w:val="Normaallaad"/>
    <w:uiPriority w:val="99"/>
    <w:unhideWhenUsed/>
    <w:rsid w:val="00815E0C"/>
    <w:pPr>
      <w:spacing w:before="100" w:beforeAutospacing="1" w:after="100" w:afterAutospacing="1"/>
    </w:pPr>
  </w:style>
  <w:style w:type="paragraph" w:styleId="Pis">
    <w:name w:val="header"/>
    <w:basedOn w:val="Normaallaad"/>
    <w:link w:val="PisMrk"/>
    <w:uiPriority w:val="99"/>
    <w:rsid w:val="00042FF2"/>
    <w:pPr>
      <w:tabs>
        <w:tab w:val="center" w:pos="4536"/>
        <w:tab w:val="right" w:pos="9072"/>
      </w:tabs>
    </w:pPr>
    <w:rPr>
      <w:lang w:val="x-none" w:eastAsia="x-none"/>
    </w:rPr>
  </w:style>
  <w:style w:type="character" w:customStyle="1" w:styleId="PisMrk">
    <w:name w:val="Päis Märk"/>
    <w:link w:val="Pis"/>
    <w:uiPriority w:val="99"/>
    <w:rsid w:val="00042FF2"/>
    <w:rPr>
      <w:sz w:val="24"/>
      <w:szCs w:val="24"/>
    </w:rPr>
  </w:style>
  <w:style w:type="paragraph" w:styleId="Jalus">
    <w:name w:val="footer"/>
    <w:basedOn w:val="Normaallaad"/>
    <w:link w:val="JalusMrk"/>
    <w:rsid w:val="00042FF2"/>
    <w:pPr>
      <w:tabs>
        <w:tab w:val="center" w:pos="4536"/>
        <w:tab w:val="right" w:pos="9072"/>
      </w:tabs>
    </w:pPr>
    <w:rPr>
      <w:lang w:val="x-none" w:eastAsia="x-none"/>
    </w:rPr>
  </w:style>
  <w:style w:type="character" w:customStyle="1" w:styleId="JalusMrk">
    <w:name w:val="Jalus Märk"/>
    <w:link w:val="Jalus"/>
    <w:rsid w:val="00042FF2"/>
    <w:rPr>
      <w:sz w:val="24"/>
      <w:szCs w:val="24"/>
    </w:rPr>
  </w:style>
  <w:style w:type="paragraph" w:styleId="Jutumullitekst">
    <w:name w:val="Balloon Text"/>
    <w:basedOn w:val="Normaallaad"/>
    <w:link w:val="JutumullitekstMrk"/>
    <w:rsid w:val="00042FF2"/>
    <w:rPr>
      <w:rFonts w:ascii="Tahoma" w:hAnsi="Tahoma"/>
      <w:sz w:val="16"/>
      <w:szCs w:val="16"/>
      <w:lang w:val="x-none" w:eastAsia="x-none"/>
    </w:rPr>
  </w:style>
  <w:style w:type="character" w:customStyle="1" w:styleId="JutumullitekstMrk">
    <w:name w:val="Jutumullitekst Märk"/>
    <w:link w:val="Jutumullitekst"/>
    <w:rsid w:val="00042FF2"/>
    <w:rPr>
      <w:rFonts w:ascii="Tahoma" w:hAnsi="Tahoma" w:cs="Tahoma"/>
      <w:sz w:val="16"/>
      <w:szCs w:val="16"/>
    </w:rPr>
  </w:style>
  <w:style w:type="character" w:customStyle="1" w:styleId="highlight">
    <w:name w:val="highlight"/>
    <w:rsid w:val="00AB5AC6"/>
  </w:style>
  <w:style w:type="character" w:styleId="Kommentaariviide">
    <w:name w:val="annotation reference"/>
    <w:rsid w:val="00D779F8"/>
    <w:rPr>
      <w:sz w:val="18"/>
      <w:szCs w:val="18"/>
    </w:rPr>
  </w:style>
  <w:style w:type="paragraph" w:styleId="Kommentaaritekst">
    <w:name w:val="annotation text"/>
    <w:basedOn w:val="Normaallaad"/>
    <w:link w:val="KommentaaritekstMrk"/>
    <w:rsid w:val="00D779F8"/>
    <w:rPr>
      <w:lang w:val="x-none" w:eastAsia="x-none"/>
    </w:rPr>
  </w:style>
  <w:style w:type="character" w:customStyle="1" w:styleId="KommentaaritekstMrk">
    <w:name w:val="Kommentaari tekst Märk"/>
    <w:link w:val="Kommentaaritekst"/>
    <w:rsid w:val="00D77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0063">
      <w:bodyDiv w:val="1"/>
      <w:marLeft w:val="0"/>
      <w:marRight w:val="0"/>
      <w:marTop w:val="0"/>
      <w:marBottom w:val="0"/>
      <w:divBdr>
        <w:top w:val="none" w:sz="0" w:space="0" w:color="auto"/>
        <w:left w:val="none" w:sz="0" w:space="0" w:color="auto"/>
        <w:bottom w:val="none" w:sz="0" w:space="0" w:color="auto"/>
        <w:right w:val="none" w:sz="0" w:space="0" w:color="auto"/>
      </w:divBdr>
      <w:divsChild>
        <w:div w:id="13271004">
          <w:marLeft w:val="0"/>
          <w:marRight w:val="0"/>
          <w:marTop w:val="0"/>
          <w:marBottom w:val="0"/>
          <w:divBdr>
            <w:top w:val="none" w:sz="0" w:space="0" w:color="auto"/>
            <w:left w:val="none" w:sz="0" w:space="0" w:color="auto"/>
            <w:bottom w:val="none" w:sz="0" w:space="0" w:color="auto"/>
            <w:right w:val="none" w:sz="0" w:space="0" w:color="auto"/>
          </w:divBdr>
        </w:div>
        <w:div w:id="19820881">
          <w:marLeft w:val="0"/>
          <w:marRight w:val="0"/>
          <w:marTop w:val="0"/>
          <w:marBottom w:val="0"/>
          <w:divBdr>
            <w:top w:val="none" w:sz="0" w:space="0" w:color="auto"/>
            <w:left w:val="none" w:sz="0" w:space="0" w:color="auto"/>
            <w:bottom w:val="none" w:sz="0" w:space="0" w:color="auto"/>
            <w:right w:val="none" w:sz="0" w:space="0" w:color="auto"/>
          </w:divBdr>
        </w:div>
        <w:div w:id="304548955">
          <w:marLeft w:val="0"/>
          <w:marRight w:val="0"/>
          <w:marTop w:val="0"/>
          <w:marBottom w:val="0"/>
          <w:divBdr>
            <w:top w:val="none" w:sz="0" w:space="0" w:color="auto"/>
            <w:left w:val="none" w:sz="0" w:space="0" w:color="auto"/>
            <w:bottom w:val="none" w:sz="0" w:space="0" w:color="auto"/>
            <w:right w:val="none" w:sz="0" w:space="0" w:color="auto"/>
          </w:divBdr>
        </w:div>
        <w:div w:id="344866531">
          <w:marLeft w:val="0"/>
          <w:marRight w:val="0"/>
          <w:marTop w:val="0"/>
          <w:marBottom w:val="0"/>
          <w:divBdr>
            <w:top w:val="none" w:sz="0" w:space="0" w:color="auto"/>
            <w:left w:val="none" w:sz="0" w:space="0" w:color="auto"/>
            <w:bottom w:val="none" w:sz="0" w:space="0" w:color="auto"/>
            <w:right w:val="none" w:sz="0" w:space="0" w:color="auto"/>
          </w:divBdr>
        </w:div>
        <w:div w:id="355427391">
          <w:marLeft w:val="0"/>
          <w:marRight w:val="0"/>
          <w:marTop w:val="0"/>
          <w:marBottom w:val="0"/>
          <w:divBdr>
            <w:top w:val="none" w:sz="0" w:space="0" w:color="auto"/>
            <w:left w:val="none" w:sz="0" w:space="0" w:color="auto"/>
            <w:bottom w:val="none" w:sz="0" w:space="0" w:color="auto"/>
            <w:right w:val="none" w:sz="0" w:space="0" w:color="auto"/>
          </w:divBdr>
        </w:div>
        <w:div w:id="413941199">
          <w:marLeft w:val="0"/>
          <w:marRight w:val="0"/>
          <w:marTop w:val="0"/>
          <w:marBottom w:val="0"/>
          <w:divBdr>
            <w:top w:val="none" w:sz="0" w:space="0" w:color="auto"/>
            <w:left w:val="none" w:sz="0" w:space="0" w:color="auto"/>
            <w:bottom w:val="none" w:sz="0" w:space="0" w:color="auto"/>
            <w:right w:val="none" w:sz="0" w:space="0" w:color="auto"/>
          </w:divBdr>
        </w:div>
        <w:div w:id="827865265">
          <w:marLeft w:val="0"/>
          <w:marRight w:val="0"/>
          <w:marTop w:val="0"/>
          <w:marBottom w:val="0"/>
          <w:divBdr>
            <w:top w:val="none" w:sz="0" w:space="0" w:color="auto"/>
            <w:left w:val="none" w:sz="0" w:space="0" w:color="auto"/>
            <w:bottom w:val="none" w:sz="0" w:space="0" w:color="auto"/>
            <w:right w:val="none" w:sz="0" w:space="0" w:color="auto"/>
          </w:divBdr>
        </w:div>
        <w:div w:id="883101434">
          <w:marLeft w:val="0"/>
          <w:marRight w:val="0"/>
          <w:marTop w:val="0"/>
          <w:marBottom w:val="0"/>
          <w:divBdr>
            <w:top w:val="none" w:sz="0" w:space="0" w:color="auto"/>
            <w:left w:val="none" w:sz="0" w:space="0" w:color="auto"/>
            <w:bottom w:val="none" w:sz="0" w:space="0" w:color="auto"/>
            <w:right w:val="none" w:sz="0" w:space="0" w:color="auto"/>
          </w:divBdr>
        </w:div>
        <w:div w:id="998852046">
          <w:marLeft w:val="0"/>
          <w:marRight w:val="0"/>
          <w:marTop w:val="0"/>
          <w:marBottom w:val="0"/>
          <w:divBdr>
            <w:top w:val="none" w:sz="0" w:space="0" w:color="auto"/>
            <w:left w:val="none" w:sz="0" w:space="0" w:color="auto"/>
            <w:bottom w:val="none" w:sz="0" w:space="0" w:color="auto"/>
            <w:right w:val="none" w:sz="0" w:space="0" w:color="auto"/>
          </w:divBdr>
        </w:div>
        <w:div w:id="1213806770">
          <w:marLeft w:val="0"/>
          <w:marRight w:val="0"/>
          <w:marTop w:val="0"/>
          <w:marBottom w:val="0"/>
          <w:divBdr>
            <w:top w:val="none" w:sz="0" w:space="0" w:color="auto"/>
            <w:left w:val="none" w:sz="0" w:space="0" w:color="auto"/>
            <w:bottom w:val="none" w:sz="0" w:space="0" w:color="auto"/>
            <w:right w:val="none" w:sz="0" w:space="0" w:color="auto"/>
          </w:divBdr>
        </w:div>
        <w:div w:id="1404059828">
          <w:marLeft w:val="0"/>
          <w:marRight w:val="0"/>
          <w:marTop w:val="0"/>
          <w:marBottom w:val="0"/>
          <w:divBdr>
            <w:top w:val="none" w:sz="0" w:space="0" w:color="auto"/>
            <w:left w:val="none" w:sz="0" w:space="0" w:color="auto"/>
            <w:bottom w:val="none" w:sz="0" w:space="0" w:color="auto"/>
            <w:right w:val="none" w:sz="0" w:space="0" w:color="auto"/>
          </w:divBdr>
        </w:div>
        <w:div w:id="1431314887">
          <w:marLeft w:val="0"/>
          <w:marRight w:val="0"/>
          <w:marTop w:val="0"/>
          <w:marBottom w:val="0"/>
          <w:divBdr>
            <w:top w:val="none" w:sz="0" w:space="0" w:color="auto"/>
            <w:left w:val="none" w:sz="0" w:space="0" w:color="auto"/>
            <w:bottom w:val="none" w:sz="0" w:space="0" w:color="auto"/>
            <w:right w:val="none" w:sz="0" w:space="0" w:color="auto"/>
          </w:divBdr>
        </w:div>
        <w:div w:id="1575243666">
          <w:marLeft w:val="0"/>
          <w:marRight w:val="0"/>
          <w:marTop w:val="0"/>
          <w:marBottom w:val="0"/>
          <w:divBdr>
            <w:top w:val="none" w:sz="0" w:space="0" w:color="auto"/>
            <w:left w:val="none" w:sz="0" w:space="0" w:color="auto"/>
            <w:bottom w:val="none" w:sz="0" w:space="0" w:color="auto"/>
            <w:right w:val="none" w:sz="0" w:space="0" w:color="auto"/>
          </w:divBdr>
        </w:div>
        <w:div w:id="1663776987">
          <w:marLeft w:val="0"/>
          <w:marRight w:val="0"/>
          <w:marTop w:val="0"/>
          <w:marBottom w:val="0"/>
          <w:divBdr>
            <w:top w:val="none" w:sz="0" w:space="0" w:color="auto"/>
            <w:left w:val="none" w:sz="0" w:space="0" w:color="auto"/>
            <w:bottom w:val="none" w:sz="0" w:space="0" w:color="auto"/>
            <w:right w:val="none" w:sz="0" w:space="0" w:color="auto"/>
          </w:divBdr>
        </w:div>
        <w:div w:id="1898273935">
          <w:marLeft w:val="0"/>
          <w:marRight w:val="0"/>
          <w:marTop w:val="0"/>
          <w:marBottom w:val="0"/>
          <w:divBdr>
            <w:top w:val="none" w:sz="0" w:space="0" w:color="auto"/>
            <w:left w:val="none" w:sz="0" w:space="0" w:color="auto"/>
            <w:bottom w:val="none" w:sz="0" w:space="0" w:color="auto"/>
            <w:right w:val="none" w:sz="0" w:space="0" w:color="auto"/>
          </w:divBdr>
        </w:div>
        <w:div w:id="1988705361">
          <w:marLeft w:val="0"/>
          <w:marRight w:val="0"/>
          <w:marTop w:val="0"/>
          <w:marBottom w:val="0"/>
          <w:divBdr>
            <w:top w:val="none" w:sz="0" w:space="0" w:color="auto"/>
            <w:left w:val="none" w:sz="0" w:space="0" w:color="auto"/>
            <w:bottom w:val="none" w:sz="0" w:space="0" w:color="auto"/>
            <w:right w:val="none" w:sz="0" w:space="0" w:color="auto"/>
          </w:divBdr>
        </w:div>
      </w:divsChild>
    </w:div>
    <w:div w:id="142281370">
      <w:bodyDiv w:val="1"/>
      <w:marLeft w:val="0"/>
      <w:marRight w:val="0"/>
      <w:marTop w:val="0"/>
      <w:marBottom w:val="0"/>
      <w:divBdr>
        <w:top w:val="none" w:sz="0" w:space="0" w:color="auto"/>
        <w:left w:val="none" w:sz="0" w:space="0" w:color="auto"/>
        <w:bottom w:val="none" w:sz="0" w:space="0" w:color="auto"/>
        <w:right w:val="none" w:sz="0" w:space="0" w:color="auto"/>
      </w:divBdr>
      <w:divsChild>
        <w:div w:id="105738711">
          <w:marLeft w:val="0"/>
          <w:marRight w:val="0"/>
          <w:marTop w:val="0"/>
          <w:marBottom w:val="0"/>
          <w:divBdr>
            <w:top w:val="none" w:sz="0" w:space="0" w:color="auto"/>
            <w:left w:val="none" w:sz="0" w:space="0" w:color="auto"/>
            <w:bottom w:val="none" w:sz="0" w:space="0" w:color="auto"/>
            <w:right w:val="none" w:sz="0" w:space="0" w:color="auto"/>
          </w:divBdr>
        </w:div>
        <w:div w:id="204680213">
          <w:marLeft w:val="0"/>
          <w:marRight w:val="0"/>
          <w:marTop w:val="0"/>
          <w:marBottom w:val="0"/>
          <w:divBdr>
            <w:top w:val="none" w:sz="0" w:space="0" w:color="auto"/>
            <w:left w:val="none" w:sz="0" w:space="0" w:color="auto"/>
            <w:bottom w:val="none" w:sz="0" w:space="0" w:color="auto"/>
            <w:right w:val="none" w:sz="0" w:space="0" w:color="auto"/>
          </w:divBdr>
        </w:div>
        <w:div w:id="728846288">
          <w:marLeft w:val="0"/>
          <w:marRight w:val="0"/>
          <w:marTop w:val="0"/>
          <w:marBottom w:val="0"/>
          <w:divBdr>
            <w:top w:val="none" w:sz="0" w:space="0" w:color="auto"/>
            <w:left w:val="none" w:sz="0" w:space="0" w:color="auto"/>
            <w:bottom w:val="none" w:sz="0" w:space="0" w:color="auto"/>
            <w:right w:val="none" w:sz="0" w:space="0" w:color="auto"/>
          </w:divBdr>
        </w:div>
        <w:div w:id="1174954448">
          <w:marLeft w:val="0"/>
          <w:marRight w:val="0"/>
          <w:marTop w:val="0"/>
          <w:marBottom w:val="0"/>
          <w:divBdr>
            <w:top w:val="none" w:sz="0" w:space="0" w:color="auto"/>
            <w:left w:val="none" w:sz="0" w:space="0" w:color="auto"/>
            <w:bottom w:val="none" w:sz="0" w:space="0" w:color="auto"/>
            <w:right w:val="none" w:sz="0" w:space="0" w:color="auto"/>
          </w:divBdr>
        </w:div>
        <w:div w:id="1320890862">
          <w:marLeft w:val="0"/>
          <w:marRight w:val="0"/>
          <w:marTop w:val="0"/>
          <w:marBottom w:val="0"/>
          <w:divBdr>
            <w:top w:val="none" w:sz="0" w:space="0" w:color="auto"/>
            <w:left w:val="none" w:sz="0" w:space="0" w:color="auto"/>
            <w:bottom w:val="none" w:sz="0" w:space="0" w:color="auto"/>
            <w:right w:val="none" w:sz="0" w:space="0" w:color="auto"/>
          </w:divBdr>
        </w:div>
        <w:div w:id="1366832653">
          <w:marLeft w:val="0"/>
          <w:marRight w:val="0"/>
          <w:marTop w:val="0"/>
          <w:marBottom w:val="0"/>
          <w:divBdr>
            <w:top w:val="none" w:sz="0" w:space="0" w:color="auto"/>
            <w:left w:val="none" w:sz="0" w:space="0" w:color="auto"/>
            <w:bottom w:val="none" w:sz="0" w:space="0" w:color="auto"/>
            <w:right w:val="none" w:sz="0" w:space="0" w:color="auto"/>
          </w:divBdr>
        </w:div>
        <w:div w:id="2059545645">
          <w:marLeft w:val="0"/>
          <w:marRight w:val="0"/>
          <w:marTop w:val="0"/>
          <w:marBottom w:val="0"/>
          <w:divBdr>
            <w:top w:val="none" w:sz="0" w:space="0" w:color="auto"/>
            <w:left w:val="none" w:sz="0" w:space="0" w:color="auto"/>
            <w:bottom w:val="none" w:sz="0" w:space="0" w:color="auto"/>
            <w:right w:val="none" w:sz="0" w:space="0" w:color="auto"/>
          </w:divBdr>
        </w:div>
        <w:div w:id="2126532937">
          <w:marLeft w:val="0"/>
          <w:marRight w:val="0"/>
          <w:marTop w:val="0"/>
          <w:marBottom w:val="0"/>
          <w:divBdr>
            <w:top w:val="none" w:sz="0" w:space="0" w:color="auto"/>
            <w:left w:val="none" w:sz="0" w:space="0" w:color="auto"/>
            <w:bottom w:val="none" w:sz="0" w:space="0" w:color="auto"/>
            <w:right w:val="none" w:sz="0" w:space="0" w:color="auto"/>
          </w:divBdr>
        </w:div>
      </w:divsChild>
    </w:div>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915531">
      <w:bodyDiv w:val="1"/>
      <w:marLeft w:val="0"/>
      <w:marRight w:val="0"/>
      <w:marTop w:val="0"/>
      <w:marBottom w:val="0"/>
      <w:divBdr>
        <w:top w:val="none" w:sz="0" w:space="0" w:color="auto"/>
        <w:left w:val="none" w:sz="0" w:space="0" w:color="auto"/>
        <w:bottom w:val="none" w:sz="0" w:space="0" w:color="auto"/>
        <w:right w:val="none" w:sz="0" w:space="0" w:color="auto"/>
      </w:divBdr>
      <w:divsChild>
        <w:div w:id="413211728">
          <w:marLeft w:val="0"/>
          <w:marRight w:val="0"/>
          <w:marTop w:val="0"/>
          <w:marBottom w:val="0"/>
          <w:divBdr>
            <w:top w:val="none" w:sz="0" w:space="0" w:color="auto"/>
            <w:left w:val="none" w:sz="0" w:space="0" w:color="auto"/>
            <w:bottom w:val="none" w:sz="0" w:space="0" w:color="auto"/>
            <w:right w:val="none" w:sz="0" w:space="0" w:color="auto"/>
          </w:divBdr>
        </w:div>
        <w:div w:id="430443295">
          <w:marLeft w:val="0"/>
          <w:marRight w:val="0"/>
          <w:marTop w:val="0"/>
          <w:marBottom w:val="0"/>
          <w:divBdr>
            <w:top w:val="none" w:sz="0" w:space="0" w:color="auto"/>
            <w:left w:val="none" w:sz="0" w:space="0" w:color="auto"/>
            <w:bottom w:val="none" w:sz="0" w:space="0" w:color="auto"/>
            <w:right w:val="none" w:sz="0" w:space="0" w:color="auto"/>
          </w:divBdr>
        </w:div>
        <w:div w:id="558444378">
          <w:marLeft w:val="0"/>
          <w:marRight w:val="0"/>
          <w:marTop w:val="0"/>
          <w:marBottom w:val="0"/>
          <w:divBdr>
            <w:top w:val="none" w:sz="0" w:space="0" w:color="auto"/>
            <w:left w:val="none" w:sz="0" w:space="0" w:color="auto"/>
            <w:bottom w:val="none" w:sz="0" w:space="0" w:color="auto"/>
            <w:right w:val="none" w:sz="0" w:space="0" w:color="auto"/>
          </w:divBdr>
        </w:div>
        <w:div w:id="596981333">
          <w:marLeft w:val="0"/>
          <w:marRight w:val="0"/>
          <w:marTop w:val="0"/>
          <w:marBottom w:val="0"/>
          <w:divBdr>
            <w:top w:val="none" w:sz="0" w:space="0" w:color="auto"/>
            <w:left w:val="none" w:sz="0" w:space="0" w:color="auto"/>
            <w:bottom w:val="none" w:sz="0" w:space="0" w:color="auto"/>
            <w:right w:val="none" w:sz="0" w:space="0" w:color="auto"/>
          </w:divBdr>
        </w:div>
        <w:div w:id="699011398">
          <w:marLeft w:val="0"/>
          <w:marRight w:val="0"/>
          <w:marTop w:val="0"/>
          <w:marBottom w:val="0"/>
          <w:divBdr>
            <w:top w:val="none" w:sz="0" w:space="0" w:color="auto"/>
            <w:left w:val="none" w:sz="0" w:space="0" w:color="auto"/>
            <w:bottom w:val="none" w:sz="0" w:space="0" w:color="auto"/>
            <w:right w:val="none" w:sz="0" w:space="0" w:color="auto"/>
          </w:divBdr>
        </w:div>
        <w:div w:id="849415868">
          <w:marLeft w:val="0"/>
          <w:marRight w:val="0"/>
          <w:marTop w:val="0"/>
          <w:marBottom w:val="0"/>
          <w:divBdr>
            <w:top w:val="none" w:sz="0" w:space="0" w:color="auto"/>
            <w:left w:val="none" w:sz="0" w:space="0" w:color="auto"/>
            <w:bottom w:val="none" w:sz="0" w:space="0" w:color="auto"/>
            <w:right w:val="none" w:sz="0" w:space="0" w:color="auto"/>
          </w:divBdr>
        </w:div>
        <w:div w:id="855194426">
          <w:marLeft w:val="0"/>
          <w:marRight w:val="0"/>
          <w:marTop w:val="0"/>
          <w:marBottom w:val="0"/>
          <w:divBdr>
            <w:top w:val="none" w:sz="0" w:space="0" w:color="auto"/>
            <w:left w:val="none" w:sz="0" w:space="0" w:color="auto"/>
            <w:bottom w:val="none" w:sz="0" w:space="0" w:color="auto"/>
            <w:right w:val="none" w:sz="0" w:space="0" w:color="auto"/>
          </w:divBdr>
        </w:div>
        <w:div w:id="911895184">
          <w:marLeft w:val="0"/>
          <w:marRight w:val="0"/>
          <w:marTop w:val="0"/>
          <w:marBottom w:val="0"/>
          <w:divBdr>
            <w:top w:val="none" w:sz="0" w:space="0" w:color="auto"/>
            <w:left w:val="none" w:sz="0" w:space="0" w:color="auto"/>
            <w:bottom w:val="none" w:sz="0" w:space="0" w:color="auto"/>
            <w:right w:val="none" w:sz="0" w:space="0" w:color="auto"/>
          </w:divBdr>
        </w:div>
        <w:div w:id="916129058">
          <w:marLeft w:val="0"/>
          <w:marRight w:val="0"/>
          <w:marTop w:val="0"/>
          <w:marBottom w:val="0"/>
          <w:divBdr>
            <w:top w:val="none" w:sz="0" w:space="0" w:color="auto"/>
            <w:left w:val="none" w:sz="0" w:space="0" w:color="auto"/>
            <w:bottom w:val="none" w:sz="0" w:space="0" w:color="auto"/>
            <w:right w:val="none" w:sz="0" w:space="0" w:color="auto"/>
          </w:divBdr>
        </w:div>
        <w:div w:id="995232744">
          <w:marLeft w:val="0"/>
          <w:marRight w:val="0"/>
          <w:marTop w:val="0"/>
          <w:marBottom w:val="0"/>
          <w:divBdr>
            <w:top w:val="none" w:sz="0" w:space="0" w:color="auto"/>
            <w:left w:val="none" w:sz="0" w:space="0" w:color="auto"/>
            <w:bottom w:val="none" w:sz="0" w:space="0" w:color="auto"/>
            <w:right w:val="none" w:sz="0" w:space="0" w:color="auto"/>
          </w:divBdr>
        </w:div>
        <w:div w:id="1011958505">
          <w:marLeft w:val="0"/>
          <w:marRight w:val="0"/>
          <w:marTop w:val="0"/>
          <w:marBottom w:val="0"/>
          <w:divBdr>
            <w:top w:val="none" w:sz="0" w:space="0" w:color="auto"/>
            <w:left w:val="none" w:sz="0" w:space="0" w:color="auto"/>
            <w:bottom w:val="none" w:sz="0" w:space="0" w:color="auto"/>
            <w:right w:val="none" w:sz="0" w:space="0" w:color="auto"/>
          </w:divBdr>
        </w:div>
        <w:div w:id="1061055558">
          <w:marLeft w:val="0"/>
          <w:marRight w:val="0"/>
          <w:marTop w:val="0"/>
          <w:marBottom w:val="0"/>
          <w:divBdr>
            <w:top w:val="none" w:sz="0" w:space="0" w:color="auto"/>
            <w:left w:val="none" w:sz="0" w:space="0" w:color="auto"/>
            <w:bottom w:val="none" w:sz="0" w:space="0" w:color="auto"/>
            <w:right w:val="none" w:sz="0" w:space="0" w:color="auto"/>
          </w:divBdr>
        </w:div>
        <w:div w:id="1208297766">
          <w:marLeft w:val="0"/>
          <w:marRight w:val="0"/>
          <w:marTop w:val="0"/>
          <w:marBottom w:val="0"/>
          <w:divBdr>
            <w:top w:val="none" w:sz="0" w:space="0" w:color="auto"/>
            <w:left w:val="none" w:sz="0" w:space="0" w:color="auto"/>
            <w:bottom w:val="none" w:sz="0" w:space="0" w:color="auto"/>
            <w:right w:val="none" w:sz="0" w:space="0" w:color="auto"/>
          </w:divBdr>
        </w:div>
        <w:div w:id="1249772912">
          <w:marLeft w:val="0"/>
          <w:marRight w:val="0"/>
          <w:marTop w:val="0"/>
          <w:marBottom w:val="0"/>
          <w:divBdr>
            <w:top w:val="none" w:sz="0" w:space="0" w:color="auto"/>
            <w:left w:val="none" w:sz="0" w:space="0" w:color="auto"/>
            <w:bottom w:val="none" w:sz="0" w:space="0" w:color="auto"/>
            <w:right w:val="none" w:sz="0" w:space="0" w:color="auto"/>
          </w:divBdr>
        </w:div>
        <w:div w:id="1272280664">
          <w:marLeft w:val="0"/>
          <w:marRight w:val="0"/>
          <w:marTop w:val="0"/>
          <w:marBottom w:val="0"/>
          <w:divBdr>
            <w:top w:val="none" w:sz="0" w:space="0" w:color="auto"/>
            <w:left w:val="none" w:sz="0" w:space="0" w:color="auto"/>
            <w:bottom w:val="none" w:sz="0" w:space="0" w:color="auto"/>
            <w:right w:val="none" w:sz="0" w:space="0" w:color="auto"/>
          </w:divBdr>
        </w:div>
        <w:div w:id="1381786704">
          <w:marLeft w:val="0"/>
          <w:marRight w:val="0"/>
          <w:marTop w:val="0"/>
          <w:marBottom w:val="0"/>
          <w:divBdr>
            <w:top w:val="none" w:sz="0" w:space="0" w:color="auto"/>
            <w:left w:val="none" w:sz="0" w:space="0" w:color="auto"/>
            <w:bottom w:val="none" w:sz="0" w:space="0" w:color="auto"/>
            <w:right w:val="none" w:sz="0" w:space="0" w:color="auto"/>
          </w:divBdr>
        </w:div>
        <w:div w:id="1483765929">
          <w:marLeft w:val="0"/>
          <w:marRight w:val="0"/>
          <w:marTop w:val="0"/>
          <w:marBottom w:val="0"/>
          <w:divBdr>
            <w:top w:val="none" w:sz="0" w:space="0" w:color="auto"/>
            <w:left w:val="none" w:sz="0" w:space="0" w:color="auto"/>
            <w:bottom w:val="none" w:sz="0" w:space="0" w:color="auto"/>
            <w:right w:val="none" w:sz="0" w:space="0" w:color="auto"/>
          </w:divBdr>
        </w:div>
        <w:div w:id="1493569092">
          <w:marLeft w:val="0"/>
          <w:marRight w:val="0"/>
          <w:marTop w:val="0"/>
          <w:marBottom w:val="0"/>
          <w:divBdr>
            <w:top w:val="none" w:sz="0" w:space="0" w:color="auto"/>
            <w:left w:val="none" w:sz="0" w:space="0" w:color="auto"/>
            <w:bottom w:val="none" w:sz="0" w:space="0" w:color="auto"/>
            <w:right w:val="none" w:sz="0" w:space="0" w:color="auto"/>
          </w:divBdr>
        </w:div>
        <w:div w:id="1539202387">
          <w:marLeft w:val="0"/>
          <w:marRight w:val="0"/>
          <w:marTop w:val="0"/>
          <w:marBottom w:val="0"/>
          <w:divBdr>
            <w:top w:val="none" w:sz="0" w:space="0" w:color="auto"/>
            <w:left w:val="none" w:sz="0" w:space="0" w:color="auto"/>
            <w:bottom w:val="none" w:sz="0" w:space="0" w:color="auto"/>
            <w:right w:val="none" w:sz="0" w:space="0" w:color="auto"/>
          </w:divBdr>
        </w:div>
        <w:div w:id="1709840936">
          <w:marLeft w:val="0"/>
          <w:marRight w:val="0"/>
          <w:marTop w:val="0"/>
          <w:marBottom w:val="0"/>
          <w:divBdr>
            <w:top w:val="none" w:sz="0" w:space="0" w:color="auto"/>
            <w:left w:val="none" w:sz="0" w:space="0" w:color="auto"/>
            <w:bottom w:val="none" w:sz="0" w:space="0" w:color="auto"/>
            <w:right w:val="none" w:sz="0" w:space="0" w:color="auto"/>
          </w:divBdr>
        </w:div>
        <w:div w:id="1771972734">
          <w:marLeft w:val="0"/>
          <w:marRight w:val="0"/>
          <w:marTop w:val="0"/>
          <w:marBottom w:val="0"/>
          <w:divBdr>
            <w:top w:val="none" w:sz="0" w:space="0" w:color="auto"/>
            <w:left w:val="none" w:sz="0" w:space="0" w:color="auto"/>
            <w:bottom w:val="none" w:sz="0" w:space="0" w:color="auto"/>
            <w:right w:val="none" w:sz="0" w:space="0" w:color="auto"/>
          </w:divBdr>
        </w:div>
        <w:div w:id="1873684120">
          <w:marLeft w:val="0"/>
          <w:marRight w:val="0"/>
          <w:marTop w:val="0"/>
          <w:marBottom w:val="0"/>
          <w:divBdr>
            <w:top w:val="none" w:sz="0" w:space="0" w:color="auto"/>
            <w:left w:val="none" w:sz="0" w:space="0" w:color="auto"/>
            <w:bottom w:val="none" w:sz="0" w:space="0" w:color="auto"/>
            <w:right w:val="none" w:sz="0" w:space="0" w:color="auto"/>
          </w:divBdr>
        </w:div>
        <w:div w:id="1904024774">
          <w:marLeft w:val="0"/>
          <w:marRight w:val="0"/>
          <w:marTop w:val="0"/>
          <w:marBottom w:val="0"/>
          <w:divBdr>
            <w:top w:val="none" w:sz="0" w:space="0" w:color="auto"/>
            <w:left w:val="none" w:sz="0" w:space="0" w:color="auto"/>
            <w:bottom w:val="none" w:sz="0" w:space="0" w:color="auto"/>
            <w:right w:val="none" w:sz="0" w:space="0" w:color="auto"/>
          </w:divBdr>
        </w:div>
        <w:div w:id="1929148499">
          <w:marLeft w:val="0"/>
          <w:marRight w:val="0"/>
          <w:marTop w:val="0"/>
          <w:marBottom w:val="0"/>
          <w:divBdr>
            <w:top w:val="none" w:sz="0" w:space="0" w:color="auto"/>
            <w:left w:val="none" w:sz="0" w:space="0" w:color="auto"/>
            <w:bottom w:val="none" w:sz="0" w:space="0" w:color="auto"/>
            <w:right w:val="none" w:sz="0" w:space="0" w:color="auto"/>
          </w:divBdr>
        </w:div>
        <w:div w:id="1965231398">
          <w:marLeft w:val="0"/>
          <w:marRight w:val="0"/>
          <w:marTop w:val="0"/>
          <w:marBottom w:val="0"/>
          <w:divBdr>
            <w:top w:val="none" w:sz="0" w:space="0" w:color="auto"/>
            <w:left w:val="none" w:sz="0" w:space="0" w:color="auto"/>
            <w:bottom w:val="none" w:sz="0" w:space="0" w:color="auto"/>
            <w:right w:val="none" w:sz="0" w:space="0" w:color="auto"/>
          </w:divBdr>
        </w:div>
        <w:div w:id="2055498493">
          <w:marLeft w:val="0"/>
          <w:marRight w:val="0"/>
          <w:marTop w:val="0"/>
          <w:marBottom w:val="0"/>
          <w:divBdr>
            <w:top w:val="none" w:sz="0" w:space="0" w:color="auto"/>
            <w:left w:val="none" w:sz="0" w:space="0" w:color="auto"/>
            <w:bottom w:val="none" w:sz="0" w:space="0" w:color="auto"/>
            <w:right w:val="none" w:sz="0" w:space="0" w:color="auto"/>
          </w:divBdr>
        </w:div>
      </w:divsChild>
    </w:div>
    <w:div w:id="393550270">
      <w:bodyDiv w:val="1"/>
      <w:marLeft w:val="0"/>
      <w:marRight w:val="0"/>
      <w:marTop w:val="0"/>
      <w:marBottom w:val="0"/>
      <w:divBdr>
        <w:top w:val="none" w:sz="0" w:space="0" w:color="auto"/>
        <w:left w:val="none" w:sz="0" w:space="0" w:color="auto"/>
        <w:bottom w:val="none" w:sz="0" w:space="0" w:color="auto"/>
        <w:right w:val="none" w:sz="0" w:space="0" w:color="auto"/>
      </w:divBdr>
      <w:divsChild>
        <w:div w:id="14966259">
          <w:marLeft w:val="0"/>
          <w:marRight w:val="0"/>
          <w:marTop w:val="0"/>
          <w:marBottom w:val="0"/>
          <w:divBdr>
            <w:top w:val="none" w:sz="0" w:space="0" w:color="auto"/>
            <w:left w:val="none" w:sz="0" w:space="0" w:color="auto"/>
            <w:bottom w:val="none" w:sz="0" w:space="0" w:color="auto"/>
            <w:right w:val="none" w:sz="0" w:space="0" w:color="auto"/>
          </w:divBdr>
        </w:div>
        <w:div w:id="177619419">
          <w:marLeft w:val="0"/>
          <w:marRight w:val="0"/>
          <w:marTop w:val="0"/>
          <w:marBottom w:val="0"/>
          <w:divBdr>
            <w:top w:val="none" w:sz="0" w:space="0" w:color="auto"/>
            <w:left w:val="none" w:sz="0" w:space="0" w:color="auto"/>
            <w:bottom w:val="none" w:sz="0" w:space="0" w:color="auto"/>
            <w:right w:val="none" w:sz="0" w:space="0" w:color="auto"/>
          </w:divBdr>
        </w:div>
        <w:div w:id="188764952">
          <w:marLeft w:val="0"/>
          <w:marRight w:val="0"/>
          <w:marTop w:val="0"/>
          <w:marBottom w:val="0"/>
          <w:divBdr>
            <w:top w:val="none" w:sz="0" w:space="0" w:color="auto"/>
            <w:left w:val="none" w:sz="0" w:space="0" w:color="auto"/>
            <w:bottom w:val="none" w:sz="0" w:space="0" w:color="auto"/>
            <w:right w:val="none" w:sz="0" w:space="0" w:color="auto"/>
          </w:divBdr>
        </w:div>
        <w:div w:id="210846891">
          <w:marLeft w:val="0"/>
          <w:marRight w:val="0"/>
          <w:marTop w:val="0"/>
          <w:marBottom w:val="0"/>
          <w:divBdr>
            <w:top w:val="none" w:sz="0" w:space="0" w:color="auto"/>
            <w:left w:val="none" w:sz="0" w:space="0" w:color="auto"/>
            <w:bottom w:val="none" w:sz="0" w:space="0" w:color="auto"/>
            <w:right w:val="none" w:sz="0" w:space="0" w:color="auto"/>
          </w:divBdr>
        </w:div>
        <w:div w:id="336228063">
          <w:marLeft w:val="0"/>
          <w:marRight w:val="0"/>
          <w:marTop w:val="0"/>
          <w:marBottom w:val="0"/>
          <w:divBdr>
            <w:top w:val="none" w:sz="0" w:space="0" w:color="auto"/>
            <w:left w:val="none" w:sz="0" w:space="0" w:color="auto"/>
            <w:bottom w:val="none" w:sz="0" w:space="0" w:color="auto"/>
            <w:right w:val="none" w:sz="0" w:space="0" w:color="auto"/>
          </w:divBdr>
        </w:div>
        <w:div w:id="392041781">
          <w:marLeft w:val="0"/>
          <w:marRight w:val="0"/>
          <w:marTop w:val="0"/>
          <w:marBottom w:val="0"/>
          <w:divBdr>
            <w:top w:val="none" w:sz="0" w:space="0" w:color="auto"/>
            <w:left w:val="none" w:sz="0" w:space="0" w:color="auto"/>
            <w:bottom w:val="none" w:sz="0" w:space="0" w:color="auto"/>
            <w:right w:val="none" w:sz="0" w:space="0" w:color="auto"/>
          </w:divBdr>
        </w:div>
        <w:div w:id="523787781">
          <w:marLeft w:val="0"/>
          <w:marRight w:val="0"/>
          <w:marTop w:val="0"/>
          <w:marBottom w:val="0"/>
          <w:divBdr>
            <w:top w:val="none" w:sz="0" w:space="0" w:color="auto"/>
            <w:left w:val="none" w:sz="0" w:space="0" w:color="auto"/>
            <w:bottom w:val="none" w:sz="0" w:space="0" w:color="auto"/>
            <w:right w:val="none" w:sz="0" w:space="0" w:color="auto"/>
          </w:divBdr>
        </w:div>
        <w:div w:id="737020900">
          <w:marLeft w:val="0"/>
          <w:marRight w:val="0"/>
          <w:marTop w:val="0"/>
          <w:marBottom w:val="0"/>
          <w:divBdr>
            <w:top w:val="none" w:sz="0" w:space="0" w:color="auto"/>
            <w:left w:val="none" w:sz="0" w:space="0" w:color="auto"/>
            <w:bottom w:val="none" w:sz="0" w:space="0" w:color="auto"/>
            <w:right w:val="none" w:sz="0" w:space="0" w:color="auto"/>
          </w:divBdr>
        </w:div>
        <w:div w:id="760487031">
          <w:marLeft w:val="0"/>
          <w:marRight w:val="0"/>
          <w:marTop w:val="0"/>
          <w:marBottom w:val="0"/>
          <w:divBdr>
            <w:top w:val="none" w:sz="0" w:space="0" w:color="auto"/>
            <w:left w:val="none" w:sz="0" w:space="0" w:color="auto"/>
            <w:bottom w:val="none" w:sz="0" w:space="0" w:color="auto"/>
            <w:right w:val="none" w:sz="0" w:space="0" w:color="auto"/>
          </w:divBdr>
        </w:div>
        <w:div w:id="1202403626">
          <w:marLeft w:val="0"/>
          <w:marRight w:val="0"/>
          <w:marTop w:val="0"/>
          <w:marBottom w:val="0"/>
          <w:divBdr>
            <w:top w:val="none" w:sz="0" w:space="0" w:color="auto"/>
            <w:left w:val="none" w:sz="0" w:space="0" w:color="auto"/>
            <w:bottom w:val="none" w:sz="0" w:space="0" w:color="auto"/>
            <w:right w:val="none" w:sz="0" w:space="0" w:color="auto"/>
          </w:divBdr>
        </w:div>
        <w:div w:id="1212186325">
          <w:marLeft w:val="0"/>
          <w:marRight w:val="0"/>
          <w:marTop w:val="0"/>
          <w:marBottom w:val="0"/>
          <w:divBdr>
            <w:top w:val="none" w:sz="0" w:space="0" w:color="auto"/>
            <w:left w:val="none" w:sz="0" w:space="0" w:color="auto"/>
            <w:bottom w:val="none" w:sz="0" w:space="0" w:color="auto"/>
            <w:right w:val="none" w:sz="0" w:space="0" w:color="auto"/>
          </w:divBdr>
        </w:div>
        <w:div w:id="1481926083">
          <w:marLeft w:val="0"/>
          <w:marRight w:val="0"/>
          <w:marTop w:val="0"/>
          <w:marBottom w:val="0"/>
          <w:divBdr>
            <w:top w:val="none" w:sz="0" w:space="0" w:color="auto"/>
            <w:left w:val="none" w:sz="0" w:space="0" w:color="auto"/>
            <w:bottom w:val="none" w:sz="0" w:space="0" w:color="auto"/>
            <w:right w:val="none" w:sz="0" w:space="0" w:color="auto"/>
          </w:divBdr>
        </w:div>
        <w:div w:id="1628120120">
          <w:marLeft w:val="0"/>
          <w:marRight w:val="0"/>
          <w:marTop w:val="0"/>
          <w:marBottom w:val="0"/>
          <w:divBdr>
            <w:top w:val="none" w:sz="0" w:space="0" w:color="auto"/>
            <w:left w:val="none" w:sz="0" w:space="0" w:color="auto"/>
            <w:bottom w:val="none" w:sz="0" w:space="0" w:color="auto"/>
            <w:right w:val="none" w:sz="0" w:space="0" w:color="auto"/>
          </w:divBdr>
        </w:div>
        <w:div w:id="2031058559">
          <w:marLeft w:val="0"/>
          <w:marRight w:val="0"/>
          <w:marTop w:val="0"/>
          <w:marBottom w:val="0"/>
          <w:divBdr>
            <w:top w:val="none" w:sz="0" w:space="0" w:color="auto"/>
            <w:left w:val="none" w:sz="0" w:space="0" w:color="auto"/>
            <w:bottom w:val="none" w:sz="0" w:space="0" w:color="auto"/>
            <w:right w:val="none" w:sz="0" w:space="0" w:color="auto"/>
          </w:divBdr>
        </w:div>
        <w:div w:id="2138909302">
          <w:marLeft w:val="0"/>
          <w:marRight w:val="0"/>
          <w:marTop w:val="0"/>
          <w:marBottom w:val="0"/>
          <w:divBdr>
            <w:top w:val="none" w:sz="0" w:space="0" w:color="auto"/>
            <w:left w:val="none" w:sz="0" w:space="0" w:color="auto"/>
            <w:bottom w:val="none" w:sz="0" w:space="0" w:color="auto"/>
            <w:right w:val="none" w:sz="0" w:space="0" w:color="auto"/>
          </w:divBdr>
        </w:div>
      </w:divsChild>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320496">
      <w:bodyDiv w:val="1"/>
      <w:marLeft w:val="0"/>
      <w:marRight w:val="0"/>
      <w:marTop w:val="0"/>
      <w:marBottom w:val="0"/>
      <w:divBdr>
        <w:top w:val="none" w:sz="0" w:space="0" w:color="auto"/>
        <w:left w:val="none" w:sz="0" w:space="0" w:color="auto"/>
        <w:bottom w:val="none" w:sz="0" w:space="0" w:color="auto"/>
        <w:right w:val="none" w:sz="0" w:space="0" w:color="auto"/>
      </w:divBdr>
      <w:divsChild>
        <w:div w:id="628632250">
          <w:marLeft w:val="0"/>
          <w:marRight w:val="0"/>
          <w:marTop w:val="0"/>
          <w:marBottom w:val="0"/>
          <w:divBdr>
            <w:top w:val="none" w:sz="0" w:space="0" w:color="auto"/>
            <w:left w:val="none" w:sz="0" w:space="0" w:color="auto"/>
            <w:bottom w:val="none" w:sz="0" w:space="0" w:color="auto"/>
            <w:right w:val="none" w:sz="0" w:space="0" w:color="auto"/>
          </w:divBdr>
        </w:div>
        <w:div w:id="640233390">
          <w:marLeft w:val="0"/>
          <w:marRight w:val="0"/>
          <w:marTop w:val="0"/>
          <w:marBottom w:val="0"/>
          <w:divBdr>
            <w:top w:val="none" w:sz="0" w:space="0" w:color="auto"/>
            <w:left w:val="none" w:sz="0" w:space="0" w:color="auto"/>
            <w:bottom w:val="none" w:sz="0" w:space="0" w:color="auto"/>
            <w:right w:val="none" w:sz="0" w:space="0" w:color="auto"/>
          </w:divBdr>
        </w:div>
        <w:div w:id="791435465">
          <w:marLeft w:val="0"/>
          <w:marRight w:val="0"/>
          <w:marTop w:val="0"/>
          <w:marBottom w:val="0"/>
          <w:divBdr>
            <w:top w:val="none" w:sz="0" w:space="0" w:color="auto"/>
            <w:left w:val="none" w:sz="0" w:space="0" w:color="auto"/>
            <w:bottom w:val="none" w:sz="0" w:space="0" w:color="auto"/>
            <w:right w:val="none" w:sz="0" w:space="0" w:color="auto"/>
          </w:divBdr>
        </w:div>
        <w:div w:id="814219435">
          <w:marLeft w:val="0"/>
          <w:marRight w:val="0"/>
          <w:marTop w:val="0"/>
          <w:marBottom w:val="0"/>
          <w:divBdr>
            <w:top w:val="none" w:sz="0" w:space="0" w:color="auto"/>
            <w:left w:val="none" w:sz="0" w:space="0" w:color="auto"/>
            <w:bottom w:val="none" w:sz="0" w:space="0" w:color="auto"/>
            <w:right w:val="none" w:sz="0" w:space="0" w:color="auto"/>
          </w:divBdr>
        </w:div>
        <w:div w:id="1198662086">
          <w:marLeft w:val="0"/>
          <w:marRight w:val="0"/>
          <w:marTop w:val="0"/>
          <w:marBottom w:val="0"/>
          <w:divBdr>
            <w:top w:val="none" w:sz="0" w:space="0" w:color="auto"/>
            <w:left w:val="none" w:sz="0" w:space="0" w:color="auto"/>
            <w:bottom w:val="none" w:sz="0" w:space="0" w:color="auto"/>
            <w:right w:val="none" w:sz="0" w:space="0" w:color="auto"/>
          </w:divBdr>
        </w:div>
      </w:divsChild>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10157">
      <w:bodyDiv w:val="1"/>
      <w:marLeft w:val="0"/>
      <w:marRight w:val="0"/>
      <w:marTop w:val="0"/>
      <w:marBottom w:val="0"/>
      <w:divBdr>
        <w:top w:val="none" w:sz="0" w:space="0" w:color="auto"/>
        <w:left w:val="none" w:sz="0" w:space="0" w:color="auto"/>
        <w:bottom w:val="none" w:sz="0" w:space="0" w:color="auto"/>
        <w:right w:val="none" w:sz="0" w:space="0" w:color="auto"/>
      </w:divBdr>
      <w:divsChild>
        <w:div w:id="170025462">
          <w:marLeft w:val="0"/>
          <w:marRight w:val="0"/>
          <w:marTop w:val="0"/>
          <w:marBottom w:val="0"/>
          <w:divBdr>
            <w:top w:val="none" w:sz="0" w:space="0" w:color="auto"/>
            <w:left w:val="none" w:sz="0" w:space="0" w:color="auto"/>
            <w:bottom w:val="none" w:sz="0" w:space="0" w:color="auto"/>
            <w:right w:val="none" w:sz="0" w:space="0" w:color="auto"/>
          </w:divBdr>
        </w:div>
        <w:div w:id="422845175">
          <w:marLeft w:val="0"/>
          <w:marRight w:val="0"/>
          <w:marTop w:val="0"/>
          <w:marBottom w:val="0"/>
          <w:divBdr>
            <w:top w:val="none" w:sz="0" w:space="0" w:color="auto"/>
            <w:left w:val="none" w:sz="0" w:space="0" w:color="auto"/>
            <w:bottom w:val="none" w:sz="0" w:space="0" w:color="auto"/>
            <w:right w:val="none" w:sz="0" w:space="0" w:color="auto"/>
          </w:divBdr>
        </w:div>
        <w:div w:id="2111582108">
          <w:marLeft w:val="0"/>
          <w:marRight w:val="0"/>
          <w:marTop w:val="0"/>
          <w:marBottom w:val="0"/>
          <w:divBdr>
            <w:top w:val="none" w:sz="0" w:space="0" w:color="auto"/>
            <w:left w:val="none" w:sz="0" w:space="0" w:color="auto"/>
            <w:bottom w:val="none" w:sz="0" w:space="0" w:color="auto"/>
            <w:right w:val="none" w:sz="0" w:space="0" w:color="auto"/>
          </w:divBdr>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6137">
      <w:bodyDiv w:val="1"/>
      <w:marLeft w:val="0"/>
      <w:marRight w:val="0"/>
      <w:marTop w:val="0"/>
      <w:marBottom w:val="0"/>
      <w:divBdr>
        <w:top w:val="none" w:sz="0" w:space="0" w:color="auto"/>
        <w:left w:val="none" w:sz="0" w:space="0" w:color="auto"/>
        <w:bottom w:val="none" w:sz="0" w:space="0" w:color="auto"/>
        <w:right w:val="none" w:sz="0" w:space="0" w:color="auto"/>
      </w:divBdr>
      <w:divsChild>
        <w:div w:id="107165798">
          <w:marLeft w:val="0"/>
          <w:marRight w:val="0"/>
          <w:marTop w:val="0"/>
          <w:marBottom w:val="0"/>
          <w:divBdr>
            <w:top w:val="none" w:sz="0" w:space="0" w:color="auto"/>
            <w:left w:val="none" w:sz="0" w:space="0" w:color="auto"/>
            <w:bottom w:val="none" w:sz="0" w:space="0" w:color="auto"/>
            <w:right w:val="none" w:sz="0" w:space="0" w:color="auto"/>
          </w:divBdr>
        </w:div>
        <w:div w:id="136730619">
          <w:marLeft w:val="0"/>
          <w:marRight w:val="0"/>
          <w:marTop w:val="0"/>
          <w:marBottom w:val="0"/>
          <w:divBdr>
            <w:top w:val="none" w:sz="0" w:space="0" w:color="auto"/>
            <w:left w:val="none" w:sz="0" w:space="0" w:color="auto"/>
            <w:bottom w:val="none" w:sz="0" w:space="0" w:color="auto"/>
            <w:right w:val="none" w:sz="0" w:space="0" w:color="auto"/>
          </w:divBdr>
        </w:div>
        <w:div w:id="144247997">
          <w:marLeft w:val="0"/>
          <w:marRight w:val="0"/>
          <w:marTop w:val="0"/>
          <w:marBottom w:val="0"/>
          <w:divBdr>
            <w:top w:val="none" w:sz="0" w:space="0" w:color="auto"/>
            <w:left w:val="none" w:sz="0" w:space="0" w:color="auto"/>
            <w:bottom w:val="none" w:sz="0" w:space="0" w:color="auto"/>
            <w:right w:val="none" w:sz="0" w:space="0" w:color="auto"/>
          </w:divBdr>
        </w:div>
        <w:div w:id="192232797">
          <w:marLeft w:val="0"/>
          <w:marRight w:val="0"/>
          <w:marTop w:val="0"/>
          <w:marBottom w:val="0"/>
          <w:divBdr>
            <w:top w:val="none" w:sz="0" w:space="0" w:color="auto"/>
            <w:left w:val="none" w:sz="0" w:space="0" w:color="auto"/>
            <w:bottom w:val="none" w:sz="0" w:space="0" w:color="auto"/>
            <w:right w:val="none" w:sz="0" w:space="0" w:color="auto"/>
          </w:divBdr>
        </w:div>
        <w:div w:id="558635836">
          <w:marLeft w:val="0"/>
          <w:marRight w:val="0"/>
          <w:marTop w:val="0"/>
          <w:marBottom w:val="0"/>
          <w:divBdr>
            <w:top w:val="none" w:sz="0" w:space="0" w:color="auto"/>
            <w:left w:val="none" w:sz="0" w:space="0" w:color="auto"/>
            <w:bottom w:val="none" w:sz="0" w:space="0" w:color="auto"/>
            <w:right w:val="none" w:sz="0" w:space="0" w:color="auto"/>
          </w:divBdr>
        </w:div>
        <w:div w:id="690422659">
          <w:marLeft w:val="0"/>
          <w:marRight w:val="0"/>
          <w:marTop w:val="0"/>
          <w:marBottom w:val="0"/>
          <w:divBdr>
            <w:top w:val="none" w:sz="0" w:space="0" w:color="auto"/>
            <w:left w:val="none" w:sz="0" w:space="0" w:color="auto"/>
            <w:bottom w:val="none" w:sz="0" w:space="0" w:color="auto"/>
            <w:right w:val="none" w:sz="0" w:space="0" w:color="auto"/>
          </w:divBdr>
        </w:div>
        <w:div w:id="714937424">
          <w:marLeft w:val="0"/>
          <w:marRight w:val="0"/>
          <w:marTop w:val="0"/>
          <w:marBottom w:val="0"/>
          <w:divBdr>
            <w:top w:val="none" w:sz="0" w:space="0" w:color="auto"/>
            <w:left w:val="none" w:sz="0" w:space="0" w:color="auto"/>
            <w:bottom w:val="none" w:sz="0" w:space="0" w:color="auto"/>
            <w:right w:val="none" w:sz="0" w:space="0" w:color="auto"/>
          </w:divBdr>
        </w:div>
        <w:div w:id="842204080">
          <w:marLeft w:val="0"/>
          <w:marRight w:val="0"/>
          <w:marTop w:val="0"/>
          <w:marBottom w:val="0"/>
          <w:divBdr>
            <w:top w:val="none" w:sz="0" w:space="0" w:color="auto"/>
            <w:left w:val="none" w:sz="0" w:space="0" w:color="auto"/>
            <w:bottom w:val="none" w:sz="0" w:space="0" w:color="auto"/>
            <w:right w:val="none" w:sz="0" w:space="0" w:color="auto"/>
          </w:divBdr>
        </w:div>
        <w:div w:id="846211585">
          <w:marLeft w:val="0"/>
          <w:marRight w:val="0"/>
          <w:marTop w:val="0"/>
          <w:marBottom w:val="0"/>
          <w:divBdr>
            <w:top w:val="none" w:sz="0" w:space="0" w:color="auto"/>
            <w:left w:val="none" w:sz="0" w:space="0" w:color="auto"/>
            <w:bottom w:val="none" w:sz="0" w:space="0" w:color="auto"/>
            <w:right w:val="none" w:sz="0" w:space="0" w:color="auto"/>
          </w:divBdr>
        </w:div>
        <w:div w:id="925264595">
          <w:marLeft w:val="0"/>
          <w:marRight w:val="0"/>
          <w:marTop w:val="0"/>
          <w:marBottom w:val="0"/>
          <w:divBdr>
            <w:top w:val="none" w:sz="0" w:space="0" w:color="auto"/>
            <w:left w:val="none" w:sz="0" w:space="0" w:color="auto"/>
            <w:bottom w:val="none" w:sz="0" w:space="0" w:color="auto"/>
            <w:right w:val="none" w:sz="0" w:space="0" w:color="auto"/>
          </w:divBdr>
        </w:div>
        <w:div w:id="1080256871">
          <w:marLeft w:val="0"/>
          <w:marRight w:val="0"/>
          <w:marTop w:val="0"/>
          <w:marBottom w:val="0"/>
          <w:divBdr>
            <w:top w:val="none" w:sz="0" w:space="0" w:color="auto"/>
            <w:left w:val="none" w:sz="0" w:space="0" w:color="auto"/>
            <w:bottom w:val="none" w:sz="0" w:space="0" w:color="auto"/>
            <w:right w:val="none" w:sz="0" w:space="0" w:color="auto"/>
          </w:divBdr>
        </w:div>
        <w:div w:id="1384062020">
          <w:marLeft w:val="0"/>
          <w:marRight w:val="0"/>
          <w:marTop w:val="0"/>
          <w:marBottom w:val="0"/>
          <w:divBdr>
            <w:top w:val="none" w:sz="0" w:space="0" w:color="auto"/>
            <w:left w:val="none" w:sz="0" w:space="0" w:color="auto"/>
            <w:bottom w:val="none" w:sz="0" w:space="0" w:color="auto"/>
            <w:right w:val="none" w:sz="0" w:space="0" w:color="auto"/>
          </w:divBdr>
        </w:div>
        <w:div w:id="1449005959">
          <w:marLeft w:val="0"/>
          <w:marRight w:val="0"/>
          <w:marTop w:val="0"/>
          <w:marBottom w:val="0"/>
          <w:divBdr>
            <w:top w:val="none" w:sz="0" w:space="0" w:color="auto"/>
            <w:left w:val="none" w:sz="0" w:space="0" w:color="auto"/>
            <w:bottom w:val="none" w:sz="0" w:space="0" w:color="auto"/>
            <w:right w:val="none" w:sz="0" w:space="0" w:color="auto"/>
          </w:divBdr>
        </w:div>
        <w:div w:id="1513229283">
          <w:marLeft w:val="0"/>
          <w:marRight w:val="0"/>
          <w:marTop w:val="0"/>
          <w:marBottom w:val="0"/>
          <w:divBdr>
            <w:top w:val="none" w:sz="0" w:space="0" w:color="auto"/>
            <w:left w:val="none" w:sz="0" w:space="0" w:color="auto"/>
            <w:bottom w:val="none" w:sz="0" w:space="0" w:color="auto"/>
            <w:right w:val="none" w:sz="0" w:space="0" w:color="auto"/>
          </w:divBdr>
        </w:div>
        <w:div w:id="1728871124">
          <w:marLeft w:val="0"/>
          <w:marRight w:val="0"/>
          <w:marTop w:val="0"/>
          <w:marBottom w:val="0"/>
          <w:divBdr>
            <w:top w:val="none" w:sz="0" w:space="0" w:color="auto"/>
            <w:left w:val="none" w:sz="0" w:space="0" w:color="auto"/>
            <w:bottom w:val="none" w:sz="0" w:space="0" w:color="auto"/>
            <w:right w:val="none" w:sz="0" w:space="0" w:color="auto"/>
          </w:divBdr>
        </w:div>
        <w:div w:id="1807770758">
          <w:marLeft w:val="0"/>
          <w:marRight w:val="0"/>
          <w:marTop w:val="0"/>
          <w:marBottom w:val="0"/>
          <w:divBdr>
            <w:top w:val="none" w:sz="0" w:space="0" w:color="auto"/>
            <w:left w:val="none" w:sz="0" w:space="0" w:color="auto"/>
            <w:bottom w:val="none" w:sz="0" w:space="0" w:color="auto"/>
            <w:right w:val="none" w:sz="0" w:space="0" w:color="auto"/>
          </w:divBdr>
        </w:div>
      </w:divsChild>
    </w:div>
    <w:div w:id="1088114958">
      <w:bodyDiv w:val="1"/>
      <w:marLeft w:val="0"/>
      <w:marRight w:val="0"/>
      <w:marTop w:val="0"/>
      <w:marBottom w:val="0"/>
      <w:divBdr>
        <w:top w:val="none" w:sz="0" w:space="0" w:color="auto"/>
        <w:left w:val="none" w:sz="0" w:space="0" w:color="auto"/>
        <w:bottom w:val="none" w:sz="0" w:space="0" w:color="auto"/>
        <w:right w:val="none" w:sz="0" w:space="0" w:color="auto"/>
      </w:divBdr>
      <w:divsChild>
        <w:div w:id="36780917">
          <w:marLeft w:val="0"/>
          <w:marRight w:val="0"/>
          <w:marTop w:val="0"/>
          <w:marBottom w:val="0"/>
          <w:divBdr>
            <w:top w:val="none" w:sz="0" w:space="0" w:color="auto"/>
            <w:left w:val="none" w:sz="0" w:space="0" w:color="auto"/>
            <w:bottom w:val="none" w:sz="0" w:space="0" w:color="auto"/>
            <w:right w:val="none" w:sz="0" w:space="0" w:color="auto"/>
          </w:divBdr>
        </w:div>
        <w:div w:id="189491617">
          <w:marLeft w:val="0"/>
          <w:marRight w:val="0"/>
          <w:marTop w:val="0"/>
          <w:marBottom w:val="0"/>
          <w:divBdr>
            <w:top w:val="none" w:sz="0" w:space="0" w:color="auto"/>
            <w:left w:val="none" w:sz="0" w:space="0" w:color="auto"/>
            <w:bottom w:val="none" w:sz="0" w:space="0" w:color="auto"/>
            <w:right w:val="none" w:sz="0" w:space="0" w:color="auto"/>
          </w:divBdr>
        </w:div>
        <w:div w:id="288318808">
          <w:marLeft w:val="0"/>
          <w:marRight w:val="0"/>
          <w:marTop w:val="0"/>
          <w:marBottom w:val="0"/>
          <w:divBdr>
            <w:top w:val="none" w:sz="0" w:space="0" w:color="auto"/>
            <w:left w:val="none" w:sz="0" w:space="0" w:color="auto"/>
            <w:bottom w:val="none" w:sz="0" w:space="0" w:color="auto"/>
            <w:right w:val="none" w:sz="0" w:space="0" w:color="auto"/>
          </w:divBdr>
        </w:div>
        <w:div w:id="358700486">
          <w:marLeft w:val="0"/>
          <w:marRight w:val="0"/>
          <w:marTop w:val="0"/>
          <w:marBottom w:val="0"/>
          <w:divBdr>
            <w:top w:val="none" w:sz="0" w:space="0" w:color="auto"/>
            <w:left w:val="none" w:sz="0" w:space="0" w:color="auto"/>
            <w:bottom w:val="none" w:sz="0" w:space="0" w:color="auto"/>
            <w:right w:val="none" w:sz="0" w:space="0" w:color="auto"/>
          </w:divBdr>
        </w:div>
        <w:div w:id="448205178">
          <w:marLeft w:val="0"/>
          <w:marRight w:val="0"/>
          <w:marTop w:val="0"/>
          <w:marBottom w:val="0"/>
          <w:divBdr>
            <w:top w:val="none" w:sz="0" w:space="0" w:color="auto"/>
            <w:left w:val="none" w:sz="0" w:space="0" w:color="auto"/>
            <w:bottom w:val="none" w:sz="0" w:space="0" w:color="auto"/>
            <w:right w:val="none" w:sz="0" w:space="0" w:color="auto"/>
          </w:divBdr>
        </w:div>
        <w:div w:id="539129788">
          <w:marLeft w:val="0"/>
          <w:marRight w:val="0"/>
          <w:marTop w:val="0"/>
          <w:marBottom w:val="0"/>
          <w:divBdr>
            <w:top w:val="none" w:sz="0" w:space="0" w:color="auto"/>
            <w:left w:val="none" w:sz="0" w:space="0" w:color="auto"/>
            <w:bottom w:val="none" w:sz="0" w:space="0" w:color="auto"/>
            <w:right w:val="none" w:sz="0" w:space="0" w:color="auto"/>
          </w:divBdr>
        </w:div>
        <w:div w:id="650594497">
          <w:marLeft w:val="0"/>
          <w:marRight w:val="0"/>
          <w:marTop w:val="0"/>
          <w:marBottom w:val="0"/>
          <w:divBdr>
            <w:top w:val="none" w:sz="0" w:space="0" w:color="auto"/>
            <w:left w:val="none" w:sz="0" w:space="0" w:color="auto"/>
            <w:bottom w:val="none" w:sz="0" w:space="0" w:color="auto"/>
            <w:right w:val="none" w:sz="0" w:space="0" w:color="auto"/>
          </w:divBdr>
        </w:div>
        <w:div w:id="886068286">
          <w:marLeft w:val="0"/>
          <w:marRight w:val="0"/>
          <w:marTop w:val="0"/>
          <w:marBottom w:val="0"/>
          <w:divBdr>
            <w:top w:val="none" w:sz="0" w:space="0" w:color="auto"/>
            <w:left w:val="none" w:sz="0" w:space="0" w:color="auto"/>
            <w:bottom w:val="none" w:sz="0" w:space="0" w:color="auto"/>
            <w:right w:val="none" w:sz="0" w:space="0" w:color="auto"/>
          </w:divBdr>
        </w:div>
        <w:div w:id="1460683198">
          <w:marLeft w:val="0"/>
          <w:marRight w:val="0"/>
          <w:marTop w:val="0"/>
          <w:marBottom w:val="0"/>
          <w:divBdr>
            <w:top w:val="none" w:sz="0" w:space="0" w:color="auto"/>
            <w:left w:val="none" w:sz="0" w:space="0" w:color="auto"/>
            <w:bottom w:val="none" w:sz="0" w:space="0" w:color="auto"/>
            <w:right w:val="none" w:sz="0" w:space="0" w:color="auto"/>
          </w:divBdr>
        </w:div>
        <w:div w:id="1651444983">
          <w:marLeft w:val="0"/>
          <w:marRight w:val="0"/>
          <w:marTop w:val="0"/>
          <w:marBottom w:val="0"/>
          <w:divBdr>
            <w:top w:val="none" w:sz="0" w:space="0" w:color="auto"/>
            <w:left w:val="none" w:sz="0" w:space="0" w:color="auto"/>
            <w:bottom w:val="none" w:sz="0" w:space="0" w:color="auto"/>
            <w:right w:val="none" w:sz="0" w:space="0" w:color="auto"/>
          </w:divBdr>
        </w:div>
        <w:div w:id="1654599990">
          <w:marLeft w:val="0"/>
          <w:marRight w:val="0"/>
          <w:marTop w:val="0"/>
          <w:marBottom w:val="0"/>
          <w:divBdr>
            <w:top w:val="none" w:sz="0" w:space="0" w:color="auto"/>
            <w:left w:val="none" w:sz="0" w:space="0" w:color="auto"/>
            <w:bottom w:val="none" w:sz="0" w:space="0" w:color="auto"/>
            <w:right w:val="none" w:sz="0" w:space="0" w:color="auto"/>
          </w:divBdr>
        </w:div>
        <w:div w:id="1672096856">
          <w:marLeft w:val="0"/>
          <w:marRight w:val="0"/>
          <w:marTop w:val="0"/>
          <w:marBottom w:val="0"/>
          <w:divBdr>
            <w:top w:val="none" w:sz="0" w:space="0" w:color="auto"/>
            <w:left w:val="none" w:sz="0" w:space="0" w:color="auto"/>
            <w:bottom w:val="none" w:sz="0" w:space="0" w:color="auto"/>
            <w:right w:val="none" w:sz="0" w:space="0" w:color="auto"/>
          </w:divBdr>
        </w:div>
        <w:div w:id="1910532346">
          <w:marLeft w:val="0"/>
          <w:marRight w:val="0"/>
          <w:marTop w:val="0"/>
          <w:marBottom w:val="0"/>
          <w:divBdr>
            <w:top w:val="none" w:sz="0" w:space="0" w:color="auto"/>
            <w:left w:val="none" w:sz="0" w:space="0" w:color="auto"/>
            <w:bottom w:val="none" w:sz="0" w:space="0" w:color="auto"/>
            <w:right w:val="none" w:sz="0" w:space="0" w:color="auto"/>
          </w:divBdr>
        </w:div>
        <w:div w:id="1912932849">
          <w:marLeft w:val="0"/>
          <w:marRight w:val="0"/>
          <w:marTop w:val="0"/>
          <w:marBottom w:val="0"/>
          <w:divBdr>
            <w:top w:val="none" w:sz="0" w:space="0" w:color="auto"/>
            <w:left w:val="none" w:sz="0" w:space="0" w:color="auto"/>
            <w:bottom w:val="none" w:sz="0" w:space="0" w:color="auto"/>
            <w:right w:val="none" w:sz="0" w:space="0" w:color="auto"/>
          </w:divBdr>
        </w:div>
        <w:div w:id="2027445067">
          <w:marLeft w:val="0"/>
          <w:marRight w:val="0"/>
          <w:marTop w:val="0"/>
          <w:marBottom w:val="0"/>
          <w:divBdr>
            <w:top w:val="none" w:sz="0" w:space="0" w:color="auto"/>
            <w:left w:val="none" w:sz="0" w:space="0" w:color="auto"/>
            <w:bottom w:val="none" w:sz="0" w:space="0" w:color="auto"/>
            <w:right w:val="none" w:sz="0" w:space="0" w:color="auto"/>
          </w:divBdr>
        </w:div>
        <w:div w:id="2125415037">
          <w:marLeft w:val="0"/>
          <w:marRight w:val="0"/>
          <w:marTop w:val="0"/>
          <w:marBottom w:val="0"/>
          <w:divBdr>
            <w:top w:val="none" w:sz="0" w:space="0" w:color="auto"/>
            <w:left w:val="none" w:sz="0" w:space="0" w:color="auto"/>
            <w:bottom w:val="none" w:sz="0" w:space="0" w:color="auto"/>
            <w:right w:val="none" w:sz="0" w:space="0" w:color="auto"/>
          </w:divBdr>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010670">
      <w:bodyDiv w:val="1"/>
      <w:marLeft w:val="0"/>
      <w:marRight w:val="0"/>
      <w:marTop w:val="0"/>
      <w:marBottom w:val="0"/>
      <w:divBdr>
        <w:top w:val="none" w:sz="0" w:space="0" w:color="auto"/>
        <w:left w:val="none" w:sz="0" w:space="0" w:color="auto"/>
        <w:bottom w:val="none" w:sz="0" w:space="0" w:color="auto"/>
        <w:right w:val="none" w:sz="0" w:space="0" w:color="auto"/>
      </w:divBdr>
      <w:divsChild>
        <w:div w:id="259029349">
          <w:marLeft w:val="0"/>
          <w:marRight w:val="0"/>
          <w:marTop w:val="0"/>
          <w:marBottom w:val="0"/>
          <w:divBdr>
            <w:top w:val="none" w:sz="0" w:space="0" w:color="auto"/>
            <w:left w:val="none" w:sz="0" w:space="0" w:color="auto"/>
            <w:bottom w:val="none" w:sz="0" w:space="0" w:color="auto"/>
            <w:right w:val="none" w:sz="0" w:space="0" w:color="auto"/>
          </w:divBdr>
        </w:div>
        <w:div w:id="1778256733">
          <w:marLeft w:val="0"/>
          <w:marRight w:val="0"/>
          <w:marTop w:val="0"/>
          <w:marBottom w:val="0"/>
          <w:divBdr>
            <w:top w:val="none" w:sz="0" w:space="0" w:color="auto"/>
            <w:left w:val="none" w:sz="0" w:space="0" w:color="auto"/>
            <w:bottom w:val="none" w:sz="0" w:space="0" w:color="auto"/>
            <w:right w:val="none" w:sz="0" w:space="0" w:color="auto"/>
          </w:divBdr>
        </w:div>
        <w:div w:id="1957520718">
          <w:marLeft w:val="0"/>
          <w:marRight w:val="0"/>
          <w:marTop w:val="0"/>
          <w:marBottom w:val="0"/>
          <w:divBdr>
            <w:top w:val="none" w:sz="0" w:space="0" w:color="auto"/>
            <w:left w:val="none" w:sz="0" w:space="0" w:color="auto"/>
            <w:bottom w:val="none" w:sz="0" w:space="0" w:color="auto"/>
            <w:right w:val="none" w:sz="0" w:space="0" w:color="auto"/>
          </w:divBdr>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116415">
      <w:bodyDiv w:val="1"/>
      <w:marLeft w:val="0"/>
      <w:marRight w:val="0"/>
      <w:marTop w:val="0"/>
      <w:marBottom w:val="0"/>
      <w:divBdr>
        <w:top w:val="none" w:sz="0" w:space="0" w:color="auto"/>
        <w:left w:val="none" w:sz="0" w:space="0" w:color="auto"/>
        <w:bottom w:val="none" w:sz="0" w:space="0" w:color="auto"/>
        <w:right w:val="none" w:sz="0" w:space="0" w:color="auto"/>
      </w:divBdr>
      <w:divsChild>
        <w:div w:id="421799940">
          <w:marLeft w:val="0"/>
          <w:marRight w:val="0"/>
          <w:marTop w:val="0"/>
          <w:marBottom w:val="0"/>
          <w:divBdr>
            <w:top w:val="none" w:sz="0" w:space="0" w:color="auto"/>
            <w:left w:val="none" w:sz="0" w:space="0" w:color="auto"/>
            <w:bottom w:val="none" w:sz="0" w:space="0" w:color="auto"/>
            <w:right w:val="none" w:sz="0" w:space="0" w:color="auto"/>
          </w:divBdr>
        </w:div>
        <w:div w:id="836843740">
          <w:marLeft w:val="0"/>
          <w:marRight w:val="0"/>
          <w:marTop w:val="0"/>
          <w:marBottom w:val="0"/>
          <w:divBdr>
            <w:top w:val="none" w:sz="0" w:space="0" w:color="auto"/>
            <w:left w:val="none" w:sz="0" w:space="0" w:color="auto"/>
            <w:bottom w:val="none" w:sz="0" w:space="0" w:color="auto"/>
            <w:right w:val="none" w:sz="0" w:space="0" w:color="auto"/>
          </w:divBdr>
        </w:div>
        <w:div w:id="1215317571">
          <w:marLeft w:val="0"/>
          <w:marRight w:val="0"/>
          <w:marTop w:val="0"/>
          <w:marBottom w:val="0"/>
          <w:divBdr>
            <w:top w:val="none" w:sz="0" w:space="0" w:color="auto"/>
            <w:left w:val="none" w:sz="0" w:space="0" w:color="auto"/>
            <w:bottom w:val="none" w:sz="0" w:space="0" w:color="auto"/>
            <w:right w:val="none" w:sz="0" w:space="0" w:color="auto"/>
          </w:divBdr>
        </w:div>
        <w:div w:id="1257053035">
          <w:marLeft w:val="0"/>
          <w:marRight w:val="0"/>
          <w:marTop w:val="0"/>
          <w:marBottom w:val="0"/>
          <w:divBdr>
            <w:top w:val="none" w:sz="0" w:space="0" w:color="auto"/>
            <w:left w:val="none" w:sz="0" w:space="0" w:color="auto"/>
            <w:bottom w:val="none" w:sz="0" w:space="0" w:color="auto"/>
            <w:right w:val="none" w:sz="0" w:space="0" w:color="auto"/>
          </w:divBdr>
        </w:div>
        <w:div w:id="1902984056">
          <w:marLeft w:val="0"/>
          <w:marRight w:val="0"/>
          <w:marTop w:val="0"/>
          <w:marBottom w:val="0"/>
          <w:divBdr>
            <w:top w:val="none" w:sz="0" w:space="0" w:color="auto"/>
            <w:left w:val="none" w:sz="0" w:space="0" w:color="auto"/>
            <w:bottom w:val="none" w:sz="0" w:space="0" w:color="auto"/>
            <w:right w:val="none" w:sz="0" w:space="0" w:color="auto"/>
          </w:divBdr>
        </w:div>
        <w:div w:id="2018144352">
          <w:marLeft w:val="0"/>
          <w:marRight w:val="0"/>
          <w:marTop w:val="0"/>
          <w:marBottom w:val="0"/>
          <w:divBdr>
            <w:top w:val="none" w:sz="0" w:space="0" w:color="auto"/>
            <w:left w:val="none" w:sz="0" w:space="0" w:color="auto"/>
            <w:bottom w:val="none" w:sz="0" w:space="0" w:color="auto"/>
            <w:right w:val="none" w:sz="0" w:space="0" w:color="auto"/>
          </w:divBdr>
        </w:div>
        <w:div w:id="2089421744">
          <w:marLeft w:val="0"/>
          <w:marRight w:val="0"/>
          <w:marTop w:val="0"/>
          <w:marBottom w:val="0"/>
          <w:divBdr>
            <w:top w:val="none" w:sz="0" w:space="0" w:color="auto"/>
            <w:left w:val="none" w:sz="0" w:space="0" w:color="auto"/>
            <w:bottom w:val="none" w:sz="0" w:space="0" w:color="auto"/>
            <w:right w:val="none" w:sz="0" w:space="0" w:color="auto"/>
          </w:divBdr>
        </w:div>
      </w:divsChild>
    </w:div>
    <w:div w:id="1647273662">
      <w:bodyDiv w:val="1"/>
      <w:marLeft w:val="0"/>
      <w:marRight w:val="0"/>
      <w:marTop w:val="0"/>
      <w:marBottom w:val="0"/>
      <w:divBdr>
        <w:top w:val="none" w:sz="0" w:space="0" w:color="auto"/>
        <w:left w:val="none" w:sz="0" w:space="0" w:color="auto"/>
        <w:bottom w:val="none" w:sz="0" w:space="0" w:color="auto"/>
        <w:right w:val="none" w:sz="0" w:space="0" w:color="auto"/>
      </w:divBdr>
      <w:divsChild>
        <w:div w:id="712733749">
          <w:marLeft w:val="0"/>
          <w:marRight w:val="0"/>
          <w:marTop w:val="0"/>
          <w:marBottom w:val="0"/>
          <w:divBdr>
            <w:top w:val="none" w:sz="0" w:space="0" w:color="auto"/>
            <w:left w:val="none" w:sz="0" w:space="0" w:color="auto"/>
            <w:bottom w:val="none" w:sz="0" w:space="0" w:color="auto"/>
            <w:right w:val="none" w:sz="0" w:space="0" w:color="auto"/>
          </w:divBdr>
        </w:div>
        <w:div w:id="913861434">
          <w:marLeft w:val="0"/>
          <w:marRight w:val="0"/>
          <w:marTop w:val="0"/>
          <w:marBottom w:val="0"/>
          <w:divBdr>
            <w:top w:val="none" w:sz="0" w:space="0" w:color="auto"/>
            <w:left w:val="none" w:sz="0" w:space="0" w:color="auto"/>
            <w:bottom w:val="none" w:sz="0" w:space="0" w:color="auto"/>
            <w:right w:val="none" w:sz="0" w:space="0" w:color="auto"/>
          </w:divBdr>
        </w:div>
        <w:div w:id="1229800402">
          <w:marLeft w:val="0"/>
          <w:marRight w:val="0"/>
          <w:marTop w:val="0"/>
          <w:marBottom w:val="0"/>
          <w:divBdr>
            <w:top w:val="none" w:sz="0" w:space="0" w:color="auto"/>
            <w:left w:val="none" w:sz="0" w:space="0" w:color="auto"/>
            <w:bottom w:val="none" w:sz="0" w:space="0" w:color="auto"/>
            <w:right w:val="none" w:sz="0" w:space="0" w:color="auto"/>
          </w:divBdr>
        </w:div>
        <w:div w:id="1879925494">
          <w:marLeft w:val="0"/>
          <w:marRight w:val="0"/>
          <w:marTop w:val="0"/>
          <w:marBottom w:val="0"/>
          <w:divBdr>
            <w:top w:val="none" w:sz="0" w:space="0" w:color="auto"/>
            <w:left w:val="none" w:sz="0" w:space="0" w:color="auto"/>
            <w:bottom w:val="none" w:sz="0" w:space="0" w:color="auto"/>
            <w:right w:val="none" w:sz="0" w:space="0" w:color="auto"/>
          </w:divBdr>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204486">
      <w:bodyDiv w:val="1"/>
      <w:marLeft w:val="0"/>
      <w:marRight w:val="0"/>
      <w:marTop w:val="0"/>
      <w:marBottom w:val="0"/>
      <w:divBdr>
        <w:top w:val="none" w:sz="0" w:space="0" w:color="auto"/>
        <w:left w:val="none" w:sz="0" w:space="0" w:color="auto"/>
        <w:bottom w:val="none" w:sz="0" w:space="0" w:color="auto"/>
        <w:right w:val="none" w:sz="0" w:space="0" w:color="auto"/>
      </w:divBdr>
      <w:divsChild>
        <w:div w:id="465195914">
          <w:marLeft w:val="0"/>
          <w:marRight w:val="0"/>
          <w:marTop w:val="0"/>
          <w:marBottom w:val="0"/>
          <w:divBdr>
            <w:top w:val="none" w:sz="0" w:space="0" w:color="auto"/>
            <w:left w:val="none" w:sz="0" w:space="0" w:color="auto"/>
            <w:bottom w:val="none" w:sz="0" w:space="0" w:color="auto"/>
            <w:right w:val="none" w:sz="0" w:space="0" w:color="auto"/>
          </w:divBdr>
        </w:div>
        <w:div w:id="1460732588">
          <w:marLeft w:val="0"/>
          <w:marRight w:val="0"/>
          <w:marTop w:val="0"/>
          <w:marBottom w:val="0"/>
          <w:divBdr>
            <w:top w:val="none" w:sz="0" w:space="0" w:color="auto"/>
            <w:left w:val="none" w:sz="0" w:space="0" w:color="auto"/>
            <w:bottom w:val="none" w:sz="0" w:space="0" w:color="auto"/>
            <w:right w:val="none" w:sz="0" w:space="0" w:color="auto"/>
          </w:divBdr>
        </w:div>
        <w:div w:id="1546527312">
          <w:marLeft w:val="0"/>
          <w:marRight w:val="0"/>
          <w:marTop w:val="0"/>
          <w:marBottom w:val="0"/>
          <w:divBdr>
            <w:top w:val="none" w:sz="0" w:space="0" w:color="auto"/>
            <w:left w:val="none" w:sz="0" w:space="0" w:color="auto"/>
            <w:bottom w:val="none" w:sz="0" w:space="0" w:color="auto"/>
            <w:right w:val="none" w:sz="0" w:space="0" w:color="auto"/>
          </w:divBdr>
        </w:div>
        <w:div w:id="1660839071">
          <w:marLeft w:val="0"/>
          <w:marRight w:val="0"/>
          <w:marTop w:val="0"/>
          <w:marBottom w:val="0"/>
          <w:divBdr>
            <w:top w:val="none" w:sz="0" w:space="0" w:color="auto"/>
            <w:left w:val="none" w:sz="0" w:space="0" w:color="auto"/>
            <w:bottom w:val="none" w:sz="0" w:space="0" w:color="auto"/>
            <w:right w:val="none" w:sz="0" w:space="0" w:color="auto"/>
          </w:divBdr>
        </w:div>
        <w:div w:id="1711345064">
          <w:marLeft w:val="0"/>
          <w:marRight w:val="0"/>
          <w:marTop w:val="0"/>
          <w:marBottom w:val="0"/>
          <w:divBdr>
            <w:top w:val="none" w:sz="0" w:space="0" w:color="auto"/>
            <w:left w:val="none" w:sz="0" w:space="0" w:color="auto"/>
            <w:bottom w:val="none" w:sz="0" w:space="0" w:color="auto"/>
            <w:right w:val="none" w:sz="0" w:space="0" w:color="auto"/>
          </w:divBdr>
        </w:div>
        <w:div w:id="1780953231">
          <w:marLeft w:val="0"/>
          <w:marRight w:val="0"/>
          <w:marTop w:val="0"/>
          <w:marBottom w:val="0"/>
          <w:divBdr>
            <w:top w:val="none" w:sz="0" w:space="0" w:color="auto"/>
            <w:left w:val="none" w:sz="0" w:space="0" w:color="auto"/>
            <w:bottom w:val="none" w:sz="0" w:space="0" w:color="auto"/>
            <w:right w:val="none" w:sz="0" w:space="0" w:color="auto"/>
          </w:divBdr>
        </w:div>
        <w:div w:id="1955667335">
          <w:marLeft w:val="0"/>
          <w:marRight w:val="0"/>
          <w:marTop w:val="0"/>
          <w:marBottom w:val="0"/>
          <w:divBdr>
            <w:top w:val="none" w:sz="0" w:space="0" w:color="auto"/>
            <w:left w:val="none" w:sz="0" w:space="0" w:color="auto"/>
            <w:bottom w:val="none" w:sz="0" w:space="0" w:color="auto"/>
            <w:right w:val="none" w:sz="0" w:space="0" w:color="auto"/>
          </w:divBdr>
        </w:div>
        <w:div w:id="1974290153">
          <w:marLeft w:val="0"/>
          <w:marRight w:val="0"/>
          <w:marTop w:val="0"/>
          <w:marBottom w:val="0"/>
          <w:divBdr>
            <w:top w:val="none" w:sz="0" w:space="0" w:color="auto"/>
            <w:left w:val="none" w:sz="0" w:space="0" w:color="auto"/>
            <w:bottom w:val="none" w:sz="0" w:space="0" w:color="auto"/>
            <w:right w:val="none" w:sz="0" w:space="0" w:color="auto"/>
          </w:divBdr>
        </w:div>
      </w:divsChild>
    </w:div>
    <w:div w:id="1869677145">
      <w:bodyDiv w:val="1"/>
      <w:marLeft w:val="0"/>
      <w:marRight w:val="0"/>
      <w:marTop w:val="0"/>
      <w:marBottom w:val="0"/>
      <w:divBdr>
        <w:top w:val="none" w:sz="0" w:space="0" w:color="auto"/>
        <w:left w:val="none" w:sz="0" w:space="0" w:color="auto"/>
        <w:bottom w:val="none" w:sz="0" w:space="0" w:color="auto"/>
        <w:right w:val="none" w:sz="0" w:space="0" w:color="auto"/>
      </w:divBdr>
      <w:divsChild>
        <w:div w:id="29038831">
          <w:marLeft w:val="0"/>
          <w:marRight w:val="0"/>
          <w:marTop w:val="0"/>
          <w:marBottom w:val="0"/>
          <w:divBdr>
            <w:top w:val="none" w:sz="0" w:space="0" w:color="auto"/>
            <w:left w:val="none" w:sz="0" w:space="0" w:color="auto"/>
            <w:bottom w:val="none" w:sz="0" w:space="0" w:color="auto"/>
            <w:right w:val="none" w:sz="0" w:space="0" w:color="auto"/>
          </w:divBdr>
        </w:div>
        <w:div w:id="108280652">
          <w:marLeft w:val="0"/>
          <w:marRight w:val="0"/>
          <w:marTop w:val="0"/>
          <w:marBottom w:val="0"/>
          <w:divBdr>
            <w:top w:val="none" w:sz="0" w:space="0" w:color="auto"/>
            <w:left w:val="none" w:sz="0" w:space="0" w:color="auto"/>
            <w:bottom w:val="none" w:sz="0" w:space="0" w:color="auto"/>
            <w:right w:val="none" w:sz="0" w:space="0" w:color="auto"/>
          </w:divBdr>
        </w:div>
        <w:div w:id="1080909235">
          <w:marLeft w:val="0"/>
          <w:marRight w:val="0"/>
          <w:marTop w:val="0"/>
          <w:marBottom w:val="0"/>
          <w:divBdr>
            <w:top w:val="none" w:sz="0" w:space="0" w:color="auto"/>
            <w:left w:val="none" w:sz="0" w:space="0" w:color="auto"/>
            <w:bottom w:val="none" w:sz="0" w:space="0" w:color="auto"/>
            <w:right w:val="none" w:sz="0" w:space="0" w:color="auto"/>
          </w:divBdr>
        </w:div>
        <w:div w:id="1381394735">
          <w:marLeft w:val="0"/>
          <w:marRight w:val="0"/>
          <w:marTop w:val="0"/>
          <w:marBottom w:val="0"/>
          <w:divBdr>
            <w:top w:val="none" w:sz="0" w:space="0" w:color="auto"/>
            <w:left w:val="none" w:sz="0" w:space="0" w:color="auto"/>
            <w:bottom w:val="none" w:sz="0" w:space="0" w:color="auto"/>
            <w:right w:val="none" w:sz="0" w:space="0" w:color="auto"/>
          </w:divBdr>
        </w:div>
        <w:div w:id="1670719891">
          <w:marLeft w:val="0"/>
          <w:marRight w:val="0"/>
          <w:marTop w:val="0"/>
          <w:marBottom w:val="0"/>
          <w:divBdr>
            <w:top w:val="none" w:sz="0" w:space="0" w:color="auto"/>
            <w:left w:val="none" w:sz="0" w:space="0" w:color="auto"/>
            <w:bottom w:val="none" w:sz="0" w:space="0" w:color="auto"/>
            <w:right w:val="none" w:sz="0" w:space="0" w:color="auto"/>
          </w:divBdr>
        </w:div>
        <w:div w:id="2113158894">
          <w:marLeft w:val="0"/>
          <w:marRight w:val="0"/>
          <w:marTop w:val="0"/>
          <w:marBottom w:val="0"/>
          <w:divBdr>
            <w:top w:val="none" w:sz="0" w:space="0" w:color="auto"/>
            <w:left w:val="none" w:sz="0" w:space="0" w:color="auto"/>
            <w:bottom w:val="none" w:sz="0" w:space="0" w:color="auto"/>
            <w:right w:val="none" w:sz="0" w:space="0" w:color="auto"/>
          </w:divBdr>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78417">
      <w:bodyDiv w:val="1"/>
      <w:marLeft w:val="0"/>
      <w:marRight w:val="0"/>
      <w:marTop w:val="0"/>
      <w:marBottom w:val="0"/>
      <w:divBdr>
        <w:top w:val="none" w:sz="0" w:space="0" w:color="auto"/>
        <w:left w:val="none" w:sz="0" w:space="0" w:color="auto"/>
        <w:bottom w:val="none" w:sz="0" w:space="0" w:color="auto"/>
        <w:right w:val="none" w:sz="0" w:space="0" w:color="auto"/>
      </w:divBdr>
      <w:divsChild>
        <w:div w:id="9376038">
          <w:marLeft w:val="0"/>
          <w:marRight w:val="0"/>
          <w:marTop w:val="0"/>
          <w:marBottom w:val="0"/>
          <w:divBdr>
            <w:top w:val="none" w:sz="0" w:space="0" w:color="auto"/>
            <w:left w:val="none" w:sz="0" w:space="0" w:color="auto"/>
            <w:bottom w:val="none" w:sz="0" w:space="0" w:color="auto"/>
            <w:right w:val="none" w:sz="0" w:space="0" w:color="auto"/>
          </w:divBdr>
        </w:div>
        <w:div w:id="390076619">
          <w:marLeft w:val="0"/>
          <w:marRight w:val="0"/>
          <w:marTop w:val="0"/>
          <w:marBottom w:val="0"/>
          <w:divBdr>
            <w:top w:val="none" w:sz="0" w:space="0" w:color="auto"/>
            <w:left w:val="none" w:sz="0" w:space="0" w:color="auto"/>
            <w:bottom w:val="none" w:sz="0" w:space="0" w:color="auto"/>
            <w:right w:val="none" w:sz="0" w:space="0" w:color="auto"/>
          </w:divBdr>
        </w:div>
        <w:div w:id="487290423">
          <w:marLeft w:val="0"/>
          <w:marRight w:val="0"/>
          <w:marTop w:val="0"/>
          <w:marBottom w:val="0"/>
          <w:divBdr>
            <w:top w:val="none" w:sz="0" w:space="0" w:color="auto"/>
            <w:left w:val="none" w:sz="0" w:space="0" w:color="auto"/>
            <w:bottom w:val="none" w:sz="0" w:space="0" w:color="auto"/>
            <w:right w:val="none" w:sz="0" w:space="0" w:color="auto"/>
          </w:divBdr>
        </w:div>
        <w:div w:id="793135643">
          <w:marLeft w:val="0"/>
          <w:marRight w:val="0"/>
          <w:marTop w:val="0"/>
          <w:marBottom w:val="0"/>
          <w:divBdr>
            <w:top w:val="none" w:sz="0" w:space="0" w:color="auto"/>
            <w:left w:val="none" w:sz="0" w:space="0" w:color="auto"/>
            <w:bottom w:val="none" w:sz="0" w:space="0" w:color="auto"/>
            <w:right w:val="none" w:sz="0" w:space="0" w:color="auto"/>
          </w:divBdr>
        </w:div>
        <w:div w:id="847328086">
          <w:marLeft w:val="0"/>
          <w:marRight w:val="0"/>
          <w:marTop w:val="0"/>
          <w:marBottom w:val="0"/>
          <w:divBdr>
            <w:top w:val="none" w:sz="0" w:space="0" w:color="auto"/>
            <w:left w:val="none" w:sz="0" w:space="0" w:color="auto"/>
            <w:bottom w:val="none" w:sz="0" w:space="0" w:color="auto"/>
            <w:right w:val="none" w:sz="0" w:space="0" w:color="auto"/>
          </w:divBdr>
        </w:div>
        <w:div w:id="877085244">
          <w:marLeft w:val="0"/>
          <w:marRight w:val="0"/>
          <w:marTop w:val="0"/>
          <w:marBottom w:val="0"/>
          <w:divBdr>
            <w:top w:val="none" w:sz="0" w:space="0" w:color="auto"/>
            <w:left w:val="none" w:sz="0" w:space="0" w:color="auto"/>
            <w:bottom w:val="none" w:sz="0" w:space="0" w:color="auto"/>
            <w:right w:val="none" w:sz="0" w:space="0" w:color="auto"/>
          </w:divBdr>
        </w:div>
        <w:div w:id="1105273214">
          <w:marLeft w:val="0"/>
          <w:marRight w:val="0"/>
          <w:marTop w:val="0"/>
          <w:marBottom w:val="0"/>
          <w:divBdr>
            <w:top w:val="none" w:sz="0" w:space="0" w:color="auto"/>
            <w:left w:val="none" w:sz="0" w:space="0" w:color="auto"/>
            <w:bottom w:val="none" w:sz="0" w:space="0" w:color="auto"/>
            <w:right w:val="none" w:sz="0" w:space="0" w:color="auto"/>
          </w:divBdr>
        </w:div>
        <w:div w:id="1630160562">
          <w:marLeft w:val="0"/>
          <w:marRight w:val="0"/>
          <w:marTop w:val="0"/>
          <w:marBottom w:val="0"/>
          <w:divBdr>
            <w:top w:val="none" w:sz="0" w:space="0" w:color="auto"/>
            <w:left w:val="none" w:sz="0" w:space="0" w:color="auto"/>
            <w:bottom w:val="none" w:sz="0" w:space="0" w:color="auto"/>
            <w:right w:val="none" w:sz="0" w:space="0" w:color="auto"/>
          </w:divBdr>
        </w:div>
        <w:div w:id="1771701340">
          <w:marLeft w:val="0"/>
          <w:marRight w:val="0"/>
          <w:marTop w:val="0"/>
          <w:marBottom w:val="0"/>
          <w:divBdr>
            <w:top w:val="none" w:sz="0" w:space="0" w:color="auto"/>
            <w:left w:val="none" w:sz="0" w:space="0" w:color="auto"/>
            <w:bottom w:val="none" w:sz="0" w:space="0" w:color="auto"/>
            <w:right w:val="none" w:sz="0" w:space="0" w:color="auto"/>
          </w:divBdr>
        </w:div>
        <w:div w:id="1987976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2631</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Non-pharmacological treatment</vt:lpstr>
    </vt:vector>
  </TitlesOfParts>
  <Company>Ravimiamet</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subject/>
  <dc:creator>Kasutaja</dc:creator>
  <cp:keywords/>
  <cp:lastModifiedBy>Nipi Tiri</cp:lastModifiedBy>
  <cp:revision>2</cp:revision>
  <dcterms:created xsi:type="dcterms:W3CDTF">2015-03-22T10:27:00Z</dcterms:created>
  <dcterms:modified xsi:type="dcterms:W3CDTF">2015-03-22T10:27:00Z</dcterms:modified>
</cp:coreProperties>
</file>