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96" w:rsidRPr="002850A6" w:rsidRDefault="00680596" w:rsidP="00680596">
      <w:pPr>
        <w:rPr>
          <w:b/>
          <w:color w:val="000080"/>
          <w:sz w:val="18"/>
          <w:szCs w:val="18"/>
        </w:rPr>
      </w:pPr>
      <w:bookmarkStart w:id="0" w:name="_GoBack"/>
      <w:bookmarkEnd w:id="0"/>
    </w:p>
    <w:p w:rsidR="00680596" w:rsidRPr="0084628B" w:rsidRDefault="00680596" w:rsidP="00680596">
      <w:pPr>
        <w:rPr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Pr="0084628B">
        <w:rPr>
          <w:rFonts w:ascii="Verdana" w:hAnsi="Verdana"/>
          <w:b/>
          <w:color w:val="000080"/>
          <w:sz w:val="18"/>
          <w:szCs w:val="18"/>
        </w:rPr>
        <w:t>9.</w:t>
      </w:r>
    </w:p>
    <w:p w:rsidR="00680596" w:rsidRPr="00A97024" w:rsidRDefault="00680596" w:rsidP="00680596">
      <w:pPr>
        <w:rPr>
          <w:rFonts w:ascii="Verdana" w:hAnsi="Verdana"/>
          <w:b/>
          <w:color w:val="000080"/>
          <w:sz w:val="18"/>
          <w:szCs w:val="18"/>
        </w:rPr>
      </w:pPr>
    </w:p>
    <w:p w:rsidR="00680596" w:rsidRDefault="00680596" w:rsidP="00680596">
      <w:pPr>
        <w:spacing w:line="276" w:lineRule="auto"/>
        <w:jc w:val="both"/>
      </w:pPr>
      <w:r w:rsidRPr="00447C7A">
        <w:t>Kas patsiendi postoperatiivse ägeda valu ravis mõjutab ravimite</w:t>
      </w:r>
      <w:r w:rsidRPr="00447C7A">
        <w:rPr>
          <w:rStyle w:val="FootnoteReference"/>
        </w:rPr>
        <w:footnoteReference w:id="1"/>
      </w:r>
      <w:r w:rsidRPr="00447C7A">
        <w:t xml:space="preserve"> manustamise viis </w:t>
      </w:r>
      <w:r w:rsidRPr="002C684A">
        <w:rPr>
          <w:color w:val="000090"/>
        </w:rPr>
        <w:t>i/v vs i/m vs enteraalne</w:t>
      </w:r>
      <w:r w:rsidRPr="00447C7A">
        <w:t xml:space="preserve"> valuravi tulemust? </w:t>
      </w:r>
    </w:p>
    <w:p w:rsidR="00680596" w:rsidRDefault="00680596" w:rsidP="00680596">
      <w:pPr>
        <w:spacing w:line="276" w:lineRule="auto"/>
        <w:jc w:val="both"/>
        <w:rPr>
          <w:b/>
          <w:i/>
          <w:color w:val="000080"/>
          <w:sz w:val="18"/>
          <w:szCs w:val="18"/>
        </w:rPr>
      </w:pPr>
    </w:p>
    <w:p w:rsidR="00680596" w:rsidRDefault="00680596" w:rsidP="00680596">
      <w:pPr>
        <w:spacing w:line="276" w:lineRule="auto"/>
        <w:jc w:val="both"/>
      </w:pPr>
      <w:r>
        <w:rPr>
          <w:rStyle w:val="FootnoteReference"/>
        </w:rPr>
        <w:t>1</w:t>
      </w:r>
      <w:r w:rsidRPr="008F2D92">
        <w:t>paratsetamool, NSAID</w:t>
      </w:r>
      <w:r>
        <w:t>i</w:t>
      </w:r>
      <w:r w:rsidRPr="008F2D92">
        <w:t>d, opi</w:t>
      </w:r>
      <w:r>
        <w:t>aadi</w:t>
      </w:r>
      <w:r w:rsidRPr="008F2D92">
        <w:t>d</w:t>
      </w:r>
    </w:p>
    <w:p w:rsidR="00680596" w:rsidRPr="00447C7A" w:rsidRDefault="00680596" w:rsidP="00680596">
      <w:pPr>
        <w:spacing w:line="276" w:lineRule="auto"/>
        <w:jc w:val="both"/>
      </w:pPr>
    </w:p>
    <w:p w:rsidR="00680596" w:rsidRPr="00B2605A" w:rsidRDefault="00680596" w:rsidP="00680596">
      <w:pPr>
        <w:spacing w:after="200"/>
        <w:jc w:val="both"/>
        <w:rPr>
          <w:i/>
        </w:rPr>
      </w:pPr>
      <w:r w:rsidRPr="00447C7A">
        <w:rPr>
          <w:b/>
        </w:rPr>
        <w:t>Tulemusnäitajad</w:t>
      </w:r>
      <w:r w:rsidRPr="00447C7A">
        <w:t xml:space="preserve">: </w:t>
      </w:r>
      <w:r w:rsidRPr="00447C7A">
        <w:rPr>
          <w:i/>
        </w:rPr>
        <w:t>valu tugevus, valu vähenemine, aeg valuvaigistava toime saabumiseni, lisavaluvaigisti vajadus, aeg esimese lisavaluvaigisti vajaduseni, valuvaigisti toime kestus, postoperatiivsete tüsistuste esinemissagedus, valuvaigistitest tingitud kõrvaltoimed, rehospitaliseerimine valu tõttu, patsiendi (eestkostja) rahulolu valuraviga,</w:t>
      </w:r>
      <w:r>
        <w:rPr>
          <w:i/>
        </w:rPr>
        <w:t xml:space="preserve"> </w:t>
      </w:r>
      <w:r w:rsidRPr="00447C7A">
        <w:rPr>
          <w:i/>
        </w:rPr>
        <w:t xml:space="preserve">meetodi ohutus </w:t>
      </w:r>
    </w:p>
    <w:p w:rsidR="00680596" w:rsidRPr="00CA5563" w:rsidRDefault="00680596">
      <w:pPr>
        <w:rPr>
          <w:i/>
          <w:sz w:val="18"/>
          <w:szCs w:val="18"/>
        </w:rPr>
      </w:pPr>
    </w:p>
    <w:p w:rsidR="00680596" w:rsidRPr="00A97024" w:rsidRDefault="00680596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3073"/>
        <w:gridCol w:w="1667"/>
      </w:tblGrid>
      <w:tr w:rsidR="00680596" w:rsidRPr="00A97024">
        <w:tc>
          <w:tcPr>
            <w:tcW w:w="9288" w:type="dxa"/>
            <w:gridSpan w:val="4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="00680596" w:rsidRPr="00A97024" w:rsidRDefault="00680596" w:rsidP="00680596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80596" w:rsidRPr="00A97024">
        <w:tc>
          <w:tcPr>
            <w:tcW w:w="3468" w:type="dxa"/>
            <w:shd w:val="clear" w:color="auto" w:fill="auto"/>
          </w:tcPr>
          <w:p w:rsidR="00680596" w:rsidRPr="00CA5563" w:rsidRDefault="00680596">
            <w:pPr>
              <w:rPr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3073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1667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680596" w:rsidRPr="00A97024">
        <w:trPr>
          <w:trHeight w:val="269"/>
        </w:trPr>
        <w:tc>
          <w:tcPr>
            <w:tcW w:w="3468" w:type="dxa"/>
            <w:shd w:val="clear" w:color="auto" w:fill="auto"/>
          </w:tcPr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x</w:t>
            </w: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Ei</w:t>
            </w:r>
          </w:p>
        </w:tc>
        <w:tc>
          <w:tcPr>
            <w:tcW w:w="3073" w:type="dxa"/>
            <w:shd w:val="clear" w:color="auto" w:fill="auto"/>
          </w:tcPr>
          <w:p w:rsidR="00680596" w:rsidRDefault="00680596" w:rsidP="00680596">
            <w:pPr>
              <w:rPr>
                <w:szCs w:val="18"/>
              </w:rPr>
            </w:pPr>
            <w:r w:rsidRPr="00BA3380">
              <w:rPr>
                <w:szCs w:val="18"/>
              </w:rPr>
              <w:t>Otsingu tulemusena leiti üks meta-analüüs, kus võrreldakse e</w:t>
            </w:r>
            <w:r>
              <w:rPr>
                <w:szCs w:val="18"/>
              </w:rPr>
              <w:t xml:space="preserve">nnetavaks või postop </w:t>
            </w:r>
            <w:r w:rsidRPr="00BA3380">
              <w:rPr>
                <w:szCs w:val="18"/>
              </w:rPr>
              <w:t>valuraviks ühekordse annusena manustatud i</w:t>
            </w:r>
            <w:r>
              <w:rPr>
                <w:szCs w:val="18"/>
              </w:rPr>
              <w:t xml:space="preserve">/v ja p/o paratsetamooli. </w:t>
            </w:r>
          </w:p>
          <w:p w:rsidR="00680596" w:rsidRPr="000C760B" w:rsidRDefault="00680596" w:rsidP="006805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0" w:color="auto"/>
              </w:pBdr>
              <w:shd w:val="clear" w:color="auto" w:fill="FFFFFF"/>
              <w:spacing w:after="120"/>
              <w:ind w:right="240"/>
              <w:jc w:val="both"/>
              <w:rPr>
                <w:szCs w:val="18"/>
              </w:rPr>
            </w:pPr>
            <w:r>
              <w:rPr>
                <w:b/>
                <w:color w:val="000080"/>
                <w:szCs w:val="18"/>
              </w:rPr>
              <w:t xml:space="preserve">Paratsetamool – 2 </w:t>
            </w:r>
            <w:r w:rsidRPr="000C760B">
              <w:rPr>
                <w:szCs w:val="18"/>
              </w:rPr>
              <w:t>RCT-d, mis ei anna täpset vastust uuring</w:t>
            </w:r>
            <w:r>
              <w:rPr>
                <w:szCs w:val="18"/>
              </w:rPr>
              <w:t>uküsimus</w:t>
            </w:r>
            <w:r w:rsidRPr="000C760B">
              <w:rPr>
                <w:szCs w:val="18"/>
              </w:rPr>
              <w:t xml:space="preserve">ele. Uuringu tulemusest selgus, ennetava analgeesiana paratsetamooli manustamse viis ei mõjuta postoperatiivse valu tugevust.  (Fenlon et al 2013, Brett et al 2012 ).  </w:t>
            </w:r>
          </w:p>
          <w:p w:rsidR="00680596" w:rsidRPr="00C8265D" w:rsidRDefault="00680596" w:rsidP="006805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0" w:color="auto"/>
              </w:pBdr>
              <w:shd w:val="clear" w:color="auto" w:fill="FFFFFF"/>
              <w:spacing w:after="120"/>
              <w:ind w:right="240"/>
              <w:jc w:val="both"/>
              <w:rPr>
                <w:szCs w:val="18"/>
              </w:rPr>
            </w:pPr>
            <w:r>
              <w:rPr>
                <w:b/>
                <w:color w:val="000080"/>
                <w:szCs w:val="18"/>
              </w:rPr>
              <w:t>nsNSAID ja koksiibid  -</w:t>
            </w:r>
            <w:r>
              <w:rPr>
                <w:szCs w:val="18"/>
              </w:rPr>
              <w:t xml:space="preserve"> ei leitud </w:t>
            </w:r>
            <w:r w:rsidRPr="007D3068">
              <w:rPr>
                <w:szCs w:val="18"/>
              </w:rPr>
              <w:t>ühtegi RTC-d, mis vast</w:t>
            </w:r>
            <w:r>
              <w:rPr>
                <w:szCs w:val="18"/>
              </w:rPr>
              <w:t>aks uuringuküsimus</w:t>
            </w:r>
            <w:r w:rsidRPr="007D3068">
              <w:rPr>
                <w:szCs w:val="18"/>
              </w:rPr>
              <w:t xml:space="preserve">ele. </w:t>
            </w:r>
            <w:r w:rsidRPr="00D86293">
              <w:rPr>
                <w:b/>
                <w:color w:val="000090"/>
                <w:szCs w:val="18"/>
              </w:rPr>
              <w:t>Opioidi</w:t>
            </w:r>
            <w:r>
              <w:rPr>
                <w:b/>
                <w:color w:val="000090"/>
                <w:szCs w:val="18"/>
              </w:rPr>
              <w:t>d</w:t>
            </w:r>
            <w:r>
              <w:rPr>
                <w:szCs w:val="18"/>
              </w:rPr>
              <w:t xml:space="preserve"> 1 </w:t>
            </w:r>
            <w:r w:rsidRPr="00D86293">
              <w:rPr>
                <w:szCs w:val="18"/>
              </w:rPr>
              <w:t xml:space="preserve">RCT, mis </w:t>
            </w:r>
            <w:r>
              <w:rPr>
                <w:szCs w:val="18"/>
              </w:rPr>
              <w:t xml:space="preserve">on avaldatud viimase 10a jooksul ja mis </w:t>
            </w:r>
            <w:r w:rsidRPr="00D86293">
              <w:rPr>
                <w:szCs w:val="18"/>
              </w:rPr>
              <w:t xml:space="preserve">vastas uuringuküsimusele. </w:t>
            </w:r>
            <w:r w:rsidRPr="00D86293">
              <w:rPr>
                <w:rFonts w:eastAsia="Cambria"/>
              </w:rPr>
              <w:lastRenderedPageBreak/>
              <w:t>(Tveita et al. 2008)</w:t>
            </w:r>
          </w:p>
        </w:tc>
        <w:tc>
          <w:tcPr>
            <w:tcW w:w="1667" w:type="dxa"/>
            <w:shd w:val="clear" w:color="auto" w:fill="auto"/>
          </w:tcPr>
          <w:p w:rsidR="00680596" w:rsidRPr="00224683" w:rsidRDefault="00680596" w:rsidP="00680596">
            <w:pPr>
              <w:pStyle w:val="ColorfulList-Accent1"/>
              <w:autoSpaceDE w:val="0"/>
              <w:autoSpaceDN w:val="0"/>
              <w:adjustRightInd w:val="0"/>
              <w:ind w:left="0"/>
              <w:rPr>
                <w:rFonts w:eastAsia="Cambria"/>
                <w:lang w:eastAsia="en-US"/>
              </w:rPr>
            </w:pPr>
            <w:r w:rsidRPr="00224683">
              <w:lastRenderedPageBreak/>
              <w:t>McNicoll, E.D. et al</w:t>
            </w:r>
            <w:r>
              <w:t xml:space="preserve"> (2011) „Single-dose i/v</w:t>
            </w:r>
            <w:r w:rsidRPr="00224683">
              <w:t xml:space="preserve"> paracetamol or propacetamol for prevention or treatment of postoperative pain: a systematic review and meta-analysis“ </w:t>
            </w:r>
            <w:r>
              <w:rPr>
                <w:rFonts w:eastAsia="Cambria"/>
                <w:lang w:eastAsia="en-US"/>
              </w:rPr>
              <w:t>British J Anaesth</w:t>
            </w:r>
            <w:r w:rsidRPr="00224683">
              <w:rPr>
                <w:rFonts w:eastAsia="Cambria"/>
                <w:lang w:eastAsia="en-US"/>
              </w:rPr>
              <w:t xml:space="preserve"> 106 (6): 764–75 </w:t>
            </w:r>
          </w:p>
          <w:p w:rsidR="00680596" w:rsidRPr="00CA5563" w:rsidRDefault="00680596" w:rsidP="00680596">
            <w:pPr>
              <w:shd w:val="clear" w:color="auto" w:fill="FFFFFF"/>
              <w:spacing w:after="120"/>
              <w:ind w:left="360" w:right="240"/>
              <w:jc w:val="both"/>
              <w:rPr>
                <w:rFonts w:cs="Arial"/>
                <w:color w:val="000080"/>
                <w:sz w:val="18"/>
                <w:szCs w:val="18"/>
              </w:rPr>
            </w:pPr>
          </w:p>
        </w:tc>
      </w:tr>
    </w:tbl>
    <w:p w:rsidR="00680596" w:rsidRPr="00A97024" w:rsidRDefault="00680596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x</w:t>
            </w: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Ei</w:t>
            </w:r>
          </w:p>
        </w:tc>
        <w:tc>
          <w:tcPr>
            <w:tcW w:w="156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680596" w:rsidRPr="00A97024" w:rsidRDefault="00680596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varieeruvus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x</w:t>
            </w: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Ei</w:t>
            </w:r>
          </w:p>
        </w:tc>
        <w:tc>
          <w:tcPr>
            <w:tcW w:w="156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 ....................................................................................................................................... </w:t>
            </w: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680596" w:rsidRPr="00C8265D" w:rsidRDefault="00680596" w:rsidP="00680596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Jah</w:t>
            </w: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1560" w:type="dxa"/>
            <w:shd w:val="clear" w:color="auto" w:fill="auto"/>
          </w:tcPr>
          <w:p w:rsidR="00680596" w:rsidRPr="00A55830" w:rsidRDefault="00680596" w:rsidP="00680596">
            <w:pPr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 xml:space="preserve">Majanduslikku kulu ei ole </w:t>
            </w:r>
            <w:r w:rsidR="00BA1EEA">
              <w:rPr>
                <w:color w:val="000080"/>
                <w:sz w:val="18"/>
                <w:szCs w:val="18"/>
              </w:rPr>
              <w:t xml:space="preserve">leitud uuringutes </w:t>
            </w:r>
            <w:r>
              <w:rPr>
                <w:color w:val="000080"/>
                <w:sz w:val="18"/>
                <w:szCs w:val="18"/>
              </w:rPr>
              <w:t>käsitletud, kuid parenteraalne ravimite manustamine on kallim kui enteraalne.</w:t>
            </w:r>
          </w:p>
        </w:tc>
        <w:tc>
          <w:tcPr>
            <w:tcW w:w="3180" w:type="dxa"/>
            <w:shd w:val="clear" w:color="auto" w:fill="auto"/>
          </w:tcPr>
          <w:p w:rsidR="00680596" w:rsidRPr="00A97024" w:rsidRDefault="00680596" w:rsidP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80596" w:rsidRPr="00A97024">
        <w:tc>
          <w:tcPr>
            <w:tcW w:w="3468" w:type="dxa"/>
            <w:shd w:val="clear" w:color="auto" w:fill="auto"/>
          </w:tcPr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Soovituse üldine tugevus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680596" w:rsidRPr="00A97024" w:rsidRDefault="0068059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 and harms.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616A43">
              <w:rPr>
                <w:rFonts w:ascii="Verdana" w:hAnsi="Verdana" w:cs="New-Baskerville-BoldA"/>
                <w:b/>
                <w:bCs/>
                <w:color w:val="FF6600"/>
                <w:sz w:val="18"/>
                <w:szCs w:val="18"/>
              </w:rPr>
              <w:t>Uncertain trade-offs</w:t>
            </w: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 does more good than harm.</w:t>
            </w: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680596" w:rsidRPr="00A97024" w:rsidRDefault="00680596" w:rsidP="006805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:rsidR="00680596" w:rsidRPr="00C8265D" w:rsidRDefault="00680596">
            <w:pPr>
              <w:rPr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  <w:bookmarkEnd w:id="1"/>
            <w:bookmarkEnd w:id="2"/>
          </w:p>
        </w:tc>
      </w:tr>
    </w:tbl>
    <w:p w:rsidR="00680596" w:rsidRPr="00C8265D" w:rsidRDefault="00680596" w:rsidP="00680596">
      <w:pPr>
        <w:rPr>
          <w:sz w:val="18"/>
          <w:szCs w:val="18"/>
        </w:rPr>
      </w:pPr>
    </w:p>
    <w:sectPr w:rsidR="00680596" w:rsidRPr="00C8265D" w:rsidSect="0068059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008" w:rsidRDefault="00004008" w:rsidP="00680596">
      <w:r>
        <w:separator/>
      </w:r>
    </w:p>
  </w:endnote>
  <w:endnote w:type="continuationSeparator" w:id="0">
    <w:p w:rsidR="00004008" w:rsidRDefault="00004008" w:rsidP="0068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96" w:rsidRPr="0002590A" w:rsidRDefault="00680596" w:rsidP="00680596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AB2C5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AB2C5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008" w:rsidRDefault="00004008" w:rsidP="00680596">
      <w:r>
        <w:separator/>
      </w:r>
    </w:p>
  </w:footnote>
  <w:footnote w:type="continuationSeparator" w:id="0">
    <w:p w:rsidR="00004008" w:rsidRDefault="00004008" w:rsidP="00680596">
      <w:r>
        <w:continuationSeparator/>
      </w:r>
    </w:p>
  </w:footnote>
  <w:footnote w:id="1">
    <w:p w:rsidR="00680596" w:rsidRPr="005D1FCC" w:rsidRDefault="00680596" w:rsidP="00680596">
      <w:pPr>
        <w:pStyle w:val="FootnoteText"/>
        <w:rPr>
          <w:lang w:val="et-E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96" w:rsidRPr="0002590A" w:rsidRDefault="00680596" w:rsidP="00680596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96" w:rsidRDefault="00680596">
    <w:pPr>
      <w:pStyle w:val="Header"/>
    </w:pPr>
    <w:r>
      <w:t>Soovituste koostamiseks kokkuvõte - soKo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D9A3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506B34"/>
    <w:multiLevelType w:val="hybridMultilevel"/>
    <w:tmpl w:val="FAECE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4008"/>
    <w:rsid w:val="00680596"/>
    <w:rsid w:val="00AB2C56"/>
    <w:rsid w:val="00BA1EEA"/>
    <w:rsid w:val="00C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DE6B-310E-43A5-AB78-BB94A62B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A5563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CA5563"/>
    <w:rPr>
      <w:lang w:val="en-GB" w:eastAsia="et-EE"/>
    </w:rPr>
  </w:style>
  <w:style w:type="character" w:styleId="FootnoteReference">
    <w:name w:val="footnote reference"/>
    <w:uiPriority w:val="99"/>
    <w:unhideWhenUsed/>
    <w:rsid w:val="00CA5563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CA556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Ulla Raid</cp:lastModifiedBy>
  <cp:revision>2</cp:revision>
  <cp:lastPrinted>2011-04-03T11:46:00Z</cp:lastPrinted>
  <dcterms:created xsi:type="dcterms:W3CDTF">2014-11-17T16:39:00Z</dcterms:created>
  <dcterms:modified xsi:type="dcterms:W3CDTF">2014-11-17T16:39:00Z</dcterms:modified>
</cp:coreProperties>
</file>