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E83" w:rsidRDefault="006D0E83">
      <w:pPr>
        <w:rPr>
          <w:rFonts w:cs="ITC Garamond Std Lt"/>
          <w:b/>
          <w:color w:val="000000"/>
          <w:sz w:val="21"/>
          <w:szCs w:val="21"/>
        </w:rPr>
      </w:pPr>
      <w:r>
        <w:rPr>
          <w:rFonts w:cs="ITC Garamond Std Lt"/>
          <w:b/>
          <w:color w:val="000000"/>
          <w:sz w:val="21"/>
          <w:szCs w:val="21"/>
        </w:rPr>
        <w:t>Bariaatria - Kliiniline küsimus 2</w:t>
      </w:r>
    </w:p>
    <w:p w:rsidR="006D0E83" w:rsidRDefault="006D0E83">
      <w:pPr>
        <w:rPr>
          <w:rFonts w:cs="ITC Garamond Std Lt"/>
          <w:b/>
          <w:color w:val="000000"/>
          <w:sz w:val="21"/>
          <w:szCs w:val="21"/>
        </w:rPr>
      </w:pPr>
      <w:r w:rsidRPr="00C4544A">
        <w:rPr>
          <w:rFonts w:cs="ITC Garamond Std Lt"/>
          <w:b/>
          <w:color w:val="000000"/>
          <w:sz w:val="21"/>
          <w:szCs w:val="21"/>
        </w:rPr>
        <w:t>Kas patsiendi ravimotivatsiooni hindamine preoperatiivselt mõjutab ravitulemusi või mitte?</w:t>
      </w:r>
    </w:p>
    <w:p w:rsidR="006D0E83" w:rsidRPr="00CE6F6A" w:rsidRDefault="006D0E83" w:rsidP="00C664BD">
      <w:pPr>
        <w:jc w:val="both"/>
        <w:rPr>
          <w:rFonts w:cs="ITC Garamond Std Lt"/>
          <w:color w:val="000000"/>
          <w:sz w:val="21"/>
          <w:szCs w:val="21"/>
        </w:rPr>
      </w:pPr>
      <w:r>
        <w:rPr>
          <w:rFonts w:cs="ITC Garamond Std Lt"/>
          <w:b/>
          <w:color w:val="000000"/>
          <w:sz w:val="21"/>
          <w:szCs w:val="21"/>
        </w:rPr>
        <w:t>Tulemusnäitajad:</w:t>
      </w:r>
      <w:r>
        <w:rPr>
          <w:rFonts w:cs="ITC Garamond Std Lt"/>
          <w:color w:val="000000"/>
          <w:sz w:val="21"/>
          <w:szCs w:val="21"/>
        </w:rPr>
        <w:t xml:space="preserve"> Liigse kehakaalu ja KMI langus 5 ja enam aastat pärast bariaatrilist operatsiooni (</w:t>
      </w:r>
      <w:r w:rsidRPr="00A6750D">
        <w:rPr>
          <w:rFonts w:cs="ITC Garamond Std Lt"/>
          <w:i/>
          <w:color w:val="000000"/>
          <w:sz w:val="21"/>
          <w:szCs w:val="21"/>
        </w:rPr>
        <w:t>ex</w:t>
      </w:r>
      <w:r>
        <w:rPr>
          <w:rFonts w:cs="ITC Garamond Std Lt"/>
          <w:i/>
          <w:color w:val="000000"/>
          <w:sz w:val="21"/>
          <w:szCs w:val="21"/>
        </w:rPr>
        <w:t>c</w:t>
      </w:r>
      <w:r w:rsidRPr="00A6750D">
        <w:rPr>
          <w:rFonts w:cs="ITC Garamond Std Lt"/>
          <w:i/>
          <w:color w:val="000000"/>
          <w:sz w:val="21"/>
          <w:szCs w:val="21"/>
        </w:rPr>
        <w:t>ess weight loss</w:t>
      </w:r>
      <w:r>
        <w:rPr>
          <w:rFonts w:cs="ITC Garamond Std Lt"/>
          <w:color w:val="000000"/>
          <w:sz w:val="21"/>
          <w:szCs w:val="21"/>
        </w:rPr>
        <w:t xml:space="preserve">), kaasuvate haiguste remissioon või leevendumine, kvaliteetselt elatud eluaastate lisandumine (QALY), patsiendi rahulolu raviga/tulemusega, rasvumusega seotud haiguste esinemine, ravikulu vähenemine (5 aasta perspektiivis), töövõimetuse vähenemine. </w:t>
      </w:r>
    </w:p>
    <w:p w:rsidR="006D0E83" w:rsidRDefault="006D0E83">
      <w:pPr>
        <w:rPr>
          <w:rFonts w:cs="ITC Garamond Std Lt"/>
          <w:b/>
          <w:color w:val="000000"/>
          <w:sz w:val="21"/>
          <w:szCs w:val="21"/>
        </w:rPr>
      </w:pPr>
      <w:r>
        <w:rPr>
          <w:rFonts w:cs="ITC Garamond Std Lt"/>
          <w:b/>
          <w:color w:val="000000"/>
          <w:sz w:val="21"/>
          <w:szCs w:val="21"/>
        </w:rPr>
        <w:t>Kokkuvõte leitud kirjandusest</w:t>
      </w:r>
    </w:p>
    <w:p w:rsidR="006D0E83" w:rsidRPr="00CD61D7" w:rsidRDefault="006D0E83">
      <w:pPr>
        <w:rPr>
          <w:rFonts w:cs="ITC Garamond Std Lt"/>
          <w:color w:val="000000"/>
          <w:sz w:val="21"/>
          <w:szCs w:val="21"/>
        </w:rPr>
      </w:pPr>
      <w:r w:rsidRPr="00CD61D7">
        <w:rPr>
          <w:rFonts w:cs="ITC Garamond Std Lt"/>
          <w:color w:val="000000"/>
          <w:sz w:val="21"/>
          <w:szCs w:val="21"/>
        </w:rPr>
        <w:t xml:space="preserve">Oluliseks faktoriks bariaatrises kirurgias on psühhosotsiaalsete faktorite hindamine operatsiooni planeerimises. Umbes 80% bariaatrilise kirurgia programmidest seda ka järgivad. Põhjuseks ei ole ainult psüühiliste häirete diagnoosimine vaid ka operatsiooni ohutuse ja efektiivsuse tagamine.  Ühe osana preoperatiivsest konsultatsioonidest, nii 5A, kui Boston Intervivew for Bariatric Surgery (BIBS) programmides kasutatakse motivatsiooni hindamist.  Hinnates motivatsiooni otse ja detailselt tekib võimalus identifitseerida ebareaalseid operatsiooniga seostuvaid ootusi (Sogg and Mori 2011).  Kui ootuseks on, et bariaatriline operatsioon on lahenduseks kõikidele tema probleemidele, siis on see relatiivseks operatsiooni vastunäidustuseks (van Hoyt 2005). </w:t>
      </w:r>
    </w:p>
    <w:p w:rsidR="006D0E83" w:rsidRPr="00CD61D7" w:rsidRDefault="006D0E83">
      <w:pPr>
        <w:rPr>
          <w:rFonts w:cs="ITC Garamond Std Lt"/>
          <w:color w:val="000000"/>
          <w:sz w:val="21"/>
          <w:szCs w:val="21"/>
        </w:rPr>
      </w:pPr>
      <w:r w:rsidRPr="00CD61D7">
        <w:rPr>
          <w:rFonts w:cs="ITC Garamond Std Lt"/>
          <w:color w:val="000000"/>
          <w:sz w:val="21"/>
          <w:szCs w:val="21"/>
        </w:rPr>
        <w:t xml:space="preserve">Samas ei ole veenvalt näidatud, et ebareaalsed ootused mõjutaksid negatiivselt operatsiooni tulemust (Bauchowitz 2007). </w:t>
      </w:r>
    </w:p>
    <w:p w:rsidR="006D0E83" w:rsidRPr="00CD61D7" w:rsidRDefault="006D0E83">
      <w:pPr>
        <w:rPr>
          <w:rFonts w:cs="ITC Garamond Std Lt"/>
          <w:color w:val="000000"/>
          <w:sz w:val="21"/>
          <w:szCs w:val="21"/>
        </w:rPr>
      </w:pPr>
      <w:r w:rsidRPr="00CD61D7">
        <w:rPr>
          <w:rFonts w:cs="ITC Garamond Std Lt"/>
          <w:color w:val="000000"/>
          <w:sz w:val="21"/>
          <w:szCs w:val="21"/>
        </w:rPr>
        <w:t>Libeton et al. (2004) leidsid oma uuringus, et mehi motiveeris kirurgiliseks raviks rohkem mure tervise pärast, samas kui naiste rühmas prevalveeris häbi välimuse pärast. Kehakaalu languses gruppide vahel erinevust ei olnud.</w:t>
      </w:r>
    </w:p>
    <w:p w:rsidR="006D0E83" w:rsidRPr="00CD61D7" w:rsidRDefault="006D0E83">
      <w:pPr>
        <w:rPr>
          <w:rFonts w:cs="ITC Garamond Std Lt"/>
          <w:color w:val="000000"/>
          <w:sz w:val="21"/>
          <w:szCs w:val="21"/>
        </w:rPr>
      </w:pPr>
      <w:r w:rsidRPr="00CD61D7">
        <w:rPr>
          <w:rFonts w:cs="ITC Garamond Std Lt"/>
          <w:color w:val="000000"/>
          <w:sz w:val="21"/>
          <w:szCs w:val="21"/>
        </w:rPr>
        <w:t>Dalle-Grade 2012 avaldatud uurimuses, leiti, et 1 aasta pärast ravi algust (kombineerituna  dieet, elustiili muutused ja bariaatriline kirurgia) oli rohkem ravist loobujaid patsientide hulgas, kelle loodetav 1 aastane BmI langus oli  loodetust väikesem.  Samuti oli statistiliselt madalam ka nende ravieelne loodetav BMI.</w:t>
      </w:r>
    </w:p>
    <w:p w:rsidR="006D0E83" w:rsidRPr="00CD61D7" w:rsidRDefault="006D0E83">
      <w:pPr>
        <w:rPr>
          <w:rFonts w:cs="ITC Garamond Std Lt"/>
          <w:color w:val="000000"/>
          <w:sz w:val="21"/>
          <w:szCs w:val="21"/>
        </w:rPr>
      </w:pPr>
      <w:r w:rsidRPr="00CD61D7">
        <w:rPr>
          <w:rFonts w:cs="ITC Garamond Std Lt"/>
          <w:color w:val="000000"/>
          <w:sz w:val="21"/>
          <w:szCs w:val="21"/>
        </w:rPr>
        <w:t>Ühes</w:t>
      </w:r>
      <w:r>
        <w:rPr>
          <w:rFonts w:cs="ITC Garamond Std Lt"/>
          <w:color w:val="000000"/>
          <w:sz w:val="21"/>
          <w:szCs w:val="21"/>
        </w:rPr>
        <w:t>k</w:t>
      </w:r>
      <w:r w:rsidRPr="00CD61D7">
        <w:rPr>
          <w:rFonts w:cs="ITC Garamond Std Lt"/>
          <w:color w:val="000000"/>
          <w:sz w:val="21"/>
          <w:szCs w:val="21"/>
        </w:rPr>
        <w:t>i leitud artiklis ei ole ära toodud ravimotivatsiooni hindamise mõju meie poolt määratud tulemusnäitajatele.</w:t>
      </w:r>
    </w:p>
    <w:p w:rsidR="006D0E83" w:rsidRDefault="006D0E83">
      <w:pPr>
        <w:rPr>
          <w:rFonts w:cs="ITC Garamond Std Lt"/>
          <w:b/>
          <w:color w:val="000000"/>
          <w:sz w:val="21"/>
          <w:szCs w:val="21"/>
        </w:rPr>
      </w:pPr>
    </w:p>
    <w:tbl>
      <w:tblPr>
        <w:tblStyle w:val="TableGrid"/>
        <w:tblW w:w="0" w:type="auto"/>
        <w:tblLook w:val="01E0"/>
      </w:tblPr>
      <w:tblGrid>
        <w:gridCol w:w="2044"/>
        <w:gridCol w:w="5804"/>
      </w:tblGrid>
      <w:tr w:rsidR="006D0E83" w:rsidRPr="007A617E" w:rsidTr="00617022">
        <w:tc>
          <w:tcPr>
            <w:tcW w:w="2044" w:type="dxa"/>
          </w:tcPr>
          <w:p w:rsidR="006D0E83" w:rsidRPr="007A617E" w:rsidRDefault="006D0E83" w:rsidP="00617022">
            <w:pPr>
              <w:pStyle w:val="P9"/>
              <w:rPr>
                <w:rFonts w:ascii="Times New Roman" w:hAnsi="Times New Roman" w:cs="Times New Roman"/>
                <w:sz w:val="20"/>
              </w:rPr>
            </w:pPr>
            <w:r w:rsidRPr="007A617E">
              <w:rPr>
                <w:rFonts w:ascii="Times New Roman" w:hAnsi="Times New Roman" w:cs="Times New Roman"/>
                <w:sz w:val="20"/>
              </w:rPr>
              <w:t>Autor/Aasta/</w:t>
            </w:r>
          </w:p>
          <w:p w:rsidR="006D0E83" w:rsidRPr="007A617E" w:rsidRDefault="006D0E83" w:rsidP="00617022">
            <w:pPr>
              <w:pStyle w:val="P9"/>
              <w:rPr>
                <w:rFonts w:ascii="Times New Roman" w:hAnsi="Times New Roman" w:cs="Times New Roman"/>
                <w:sz w:val="20"/>
              </w:rPr>
            </w:pPr>
            <w:r w:rsidRPr="007A617E">
              <w:rPr>
                <w:rFonts w:ascii="Times New Roman" w:hAnsi="Times New Roman" w:cs="Times New Roman"/>
                <w:sz w:val="20"/>
              </w:rPr>
              <w:t>Uuringumeetod/</w:t>
            </w:r>
          </w:p>
          <w:p w:rsidR="006D0E83" w:rsidRPr="007A617E" w:rsidRDefault="006D0E83" w:rsidP="00617022">
            <w:pPr>
              <w:pStyle w:val="P44"/>
              <w:rPr>
                <w:rFonts w:ascii="Times New Roman" w:hAnsi="Times New Roman" w:cs="Times New Roman"/>
                <w:sz w:val="20"/>
              </w:rPr>
            </w:pPr>
            <w:r w:rsidRPr="007A617E">
              <w:rPr>
                <w:rFonts w:ascii="Times New Roman" w:hAnsi="Times New Roman" w:cs="Times New Roman"/>
                <w:sz w:val="20"/>
              </w:rPr>
              <w:t>Tõendusmaterjali kvaliteedi (TK) hinnang</w:t>
            </w:r>
          </w:p>
        </w:tc>
        <w:tc>
          <w:tcPr>
            <w:tcW w:w="5804" w:type="dxa"/>
          </w:tcPr>
          <w:p w:rsidR="006D0E83" w:rsidRPr="007A617E" w:rsidRDefault="006D0E83" w:rsidP="00617022">
            <w:pPr>
              <w:pStyle w:val="P9"/>
              <w:ind w:right="3132"/>
              <w:rPr>
                <w:rFonts w:ascii="Times New Roman" w:hAnsi="Times New Roman" w:cs="Times New Roman"/>
                <w:sz w:val="20"/>
              </w:rPr>
            </w:pPr>
            <w:r w:rsidRPr="007A617E">
              <w:rPr>
                <w:rFonts w:ascii="Times New Roman" w:hAnsi="Times New Roman" w:cs="Times New Roman"/>
                <w:sz w:val="20"/>
              </w:rPr>
              <w:t>Peamised tulemused</w:t>
            </w:r>
          </w:p>
        </w:tc>
      </w:tr>
      <w:tr w:rsidR="006D0E83" w:rsidRPr="007A617E" w:rsidTr="00617022">
        <w:tc>
          <w:tcPr>
            <w:tcW w:w="2044" w:type="dxa"/>
          </w:tcPr>
          <w:p w:rsidR="006D0E83" w:rsidRPr="007A617E" w:rsidRDefault="006D0E83" w:rsidP="00617022">
            <w:r w:rsidRPr="007A617E">
              <w:t>Bagade et al.</w:t>
            </w:r>
          </w:p>
          <w:p w:rsidR="006D0E83" w:rsidRDefault="006D0E83" w:rsidP="00617022">
            <w:r w:rsidRPr="007A617E">
              <w:t>2012</w:t>
            </w:r>
          </w:p>
          <w:p w:rsidR="006D0E83" w:rsidRDefault="006D0E83" w:rsidP="00617022"/>
          <w:p w:rsidR="006D0E83" w:rsidRDefault="006D0E83" w:rsidP="00617022">
            <w:r>
              <w:t>Vaatlusuuring</w:t>
            </w:r>
          </w:p>
          <w:p w:rsidR="006D0E83" w:rsidRDefault="006D0E83" w:rsidP="00617022"/>
          <w:p w:rsidR="006D0E83" w:rsidRPr="002C75BE" w:rsidRDefault="006D0E83" w:rsidP="00617022">
            <w:pPr>
              <w:rPr>
                <w:b/>
              </w:rPr>
            </w:pPr>
            <w:r w:rsidRPr="002C75BE">
              <w:rPr>
                <w:b/>
              </w:rPr>
              <w:t>TK - Madal</w:t>
            </w:r>
          </w:p>
          <w:p w:rsidR="006D0E83" w:rsidRPr="007A617E" w:rsidRDefault="006D0E83" w:rsidP="00617022"/>
        </w:tc>
        <w:tc>
          <w:tcPr>
            <w:tcW w:w="5804" w:type="dxa"/>
          </w:tcPr>
          <w:p w:rsidR="006D0E83" w:rsidRPr="00DA5191" w:rsidRDefault="006D0E83" w:rsidP="00617022">
            <w:pPr>
              <w:rPr>
                <w:color w:val="403838"/>
                <w:sz w:val="22"/>
                <w:szCs w:val="22"/>
                <w:shd w:val="clear" w:color="auto" w:fill="FFFFFF"/>
              </w:rPr>
            </w:pPr>
            <w:r w:rsidRPr="00DA5191">
              <w:rPr>
                <w:color w:val="403838"/>
                <w:sz w:val="22"/>
                <w:szCs w:val="22"/>
                <w:shd w:val="clear" w:color="auto" w:fill="FFFFFF"/>
              </w:rPr>
              <w:t>Realistic expectations about weight loss and an understanding that surgery is only a tool are important for patient satisfaction with outcome</w:t>
            </w:r>
          </w:p>
          <w:p w:rsidR="006D0E83" w:rsidRPr="00DA5191" w:rsidRDefault="006D0E83" w:rsidP="00617022">
            <w:pPr>
              <w:rPr>
                <w:sz w:val="22"/>
                <w:szCs w:val="22"/>
              </w:rPr>
            </w:pPr>
          </w:p>
        </w:tc>
      </w:tr>
      <w:tr w:rsidR="006D0E83" w:rsidRPr="007A617E" w:rsidTr="00617022">
        <w:tc>
          <w:tcPr>
            <w:tcW w:w="2044" w:type="dxa"/>
          </w:tcPr>
          <w:p w:rsidR="006D0E83" w:rsidRPr="007A617E" w:rsidRDefault="006D0E83" w:rsidP="00617022">
            <w:r w:rsidRPr="007A617E">
              <w:t>Dalle – Grave et al</w:t>
            </w:r>
          </w:p>
          <w:p w:rsidR="006D0E83" w:rsidRPr="007A617E" w:rsidRDefault="006D0E83" w:rsidP="00617022"/>
          <w:p w:rsidR="006D0E83" w:rsidRDefault="006D0E83" w:rsidP="00617022">
            <w:r w:rsidRPr="007A617E">
              <w:t>2012</w:t>
            </w:r>
          </w:p>
          <w:p w:rsidR="006D0E83" w:rsidRDefault="006D0E83" w:rsidP="00617022"/>
          <w:p w:rsidR="006D0E83" w:rsidRDefault="006D0E83" w:rsidP="00617022">
            <w:r>
              <w:t>Vaatlusuuring</w:t>
            </w:r>
          </w:p>
          <w:p w:rsidR="006D0E83" w:rsidRPr="007A617E" w:rsidRDefault="006D0E83" w:rsidP="00617022"/>
          <w:p w:rsidR="006D0E83" w:rsidRPr="002C75BE" w:rsidRDefault="006D0E83" w:rsidP="00617022">
            <w:pPr>
              <w:rPr>
                <w:b/>
              </w:rPr>
            </w:pPr>
            <w:r w:rsidRPr="002C75BE">
              <w:rPr>
                <w:b/>
              </w:rPr>
              <w:t>TK - Madal</w:t>
            </w:r>
          </w:p>
          <w:p w:rsidR="006D0E83" w:rsidRPr="007A617E" w:rsidRDefault="006D0E83" w:rsidP="00617022"/>
        </w:tc>
        <w:tc>
          <w:tcPr>
            <w:tcW w:w="5804" w:type="dxa"/>
          </w:tcPr>
          <w:p w:rsidR="006D0E83" w:rsidRPr="002C75BE" w:rsidRDefault="006D0E83" w:rsidP="00617022">
            <w:pPr>
              <w:autoSpaceDE w:val="0"/>
              <w:autoSpaceDN w:val="0"/>
              <w:adjustRightInd w:val="0"/>
              <w:rPr>
                <w:sz w:val="22"/>
                <w:szCs w:val="22"/>
              </w:rPr>
            </w:pPr>
            <w:r w:rsidRPr="002C75BE">
              <w:rPr>
                <w:sz w:val="22"/>
                <w:szCs w:val="22"/>
              </w:rPr>
              <w:t>At 12 months, 923 of 1785 patients (51.7%) had</w:t>
            </w:r>
          </w:p>
          <w:p w:rsidR="006D0E83" w:rsidRPr="002C75BE" w:rsidRDefault="006D0E83" w:rsidP="00617022">
            <w:pPr>
              <w:autoSpaceDE w:val="0"/>
              <w:autoSpaceDN w:val="0"/>
              <w:adjustRightInd w:val="0"/>
              <w:rPr>
                <w:sz w:val="22"/>
                <w:szCs w:val="22"/>
              </w:rPr>
            </w:pPr>
            <w:r w:rsidRPr="002C75BE">
              <w:rPr>
                <w:sz w:val="22"/>
                <w:szCs w:val="22"/>
              </w:rPr>
              <w:t>discontinued treatment. Compared with continuers, dropouts</w:t>
            </w:r>
          </w:p>
          <w:p w:rsidR="006D0E83" w:rsidRPr="002C75BE" w:rsidRDefault="006D0E83" w:rsidP="00617022">
            <w:pPr>
              <w:autoSpaceDE w:val="0"/>
              <w:autoSpaceDN w:val="0"/>
              <w:adjustRightInd w:val="0"/>
              <w:rPr>
                <w:sz w:val="22"/>
                <w:szCs w:val="22"/>
              </w:rPr>
            </w:pPr>
            <w:r w:rsidRPr="002C75BE">
              <w:rPr>
                <w:sz w:val="22"/>
                <w:szCs w:val="22"/>
              </w:rPr>
              <w:t>had a significantly lower age, a lower age at first</w:t>
            </w:r>
          </w:p>
          <w:p w:rsidR="006D0E83" w:rsidRPr="002C75BE" w:rsidRDefault="006D0E83" w:rsidP="00617022">
            <w:pPr>
              <w:autoSpaceDE w:val="0"/>
              <w:autoSpaceDN w:val="0"/>
              <w:adjustRightInd w:val="0"/>
              <w:rPr>
                <w:sz w:val="22"/>
                <w:szCs w:val="22"/>
              </w:rPr>
            </w:pPr>
            <w:r w:rsidRPr="002C75BE">
              <w:rPr>
                <w:sz w:val="22"/>
                <w:szCs w:val="22"/>
              </w:rPr>
              <w:t>dieting, lower dream BMI, a higher expected 1-year BMI</w:t>
            </w:r>
          </w:p>
          <w:p w:rsidR="006D0E83" w:rsidRPr="002C75BE" w:rsidRDefault="006D0E83" w:rsidP="00617022">
            <w:pPr>
              <w:autoSpaceDE w:val="0"/>
              <w:autoSpaceDN w:val="0"/>
              <w:adjustRightInd w:val="0"/>
              <w:rPr>
                <w:sz w:val="22"/>
                <w:szCs w:val="22"/>
              </w:rPr>
            </w:pPr>
            <w:r w:rsidRPr="002C75BE">
              <w:rPr>
                <w:sz w:val="22"/>
                <w:szCs w:val="22"/>
              </w:rPr>
              <w:t>loss, and a higher weight phobia. At logistic regression</w:t>
            </w:r>
          </w:p>
          <w:p w:rsidR="006D0E83" w:rsidRPr="002C75BE" w:rsidRDefault="006D0E83" w:rsidP="00617022">
            <w:pPr>
              <w:autoSpaceDE w:val="0"/>
              <w:autoSpaceDN w:val="0"/>
              <w:adjustRightInd w:val="0"/>
              <w:rPr>
                <w:sz w:val="22"/>
                <w:szCs w:val="22"/>
              </w:rPr>
            </w:pPr>
            <w:r w:rsidRPr="002C75BE">
              <w:rPr>
                <w:sz w:val="22"/>
                <w:szCs w:val="22"/>
              </w:rPr>
              <w:t>analysis, the strongest predictors of attrition at 12 months</w:t>
            </w:r>
          </w:p>
          <w:p w:rsidR="006D0E83" w:rsidRPr="002C75BE" w:rsidRDefault="006D0E83" w:rsidP="00617022">
            <w:pPr>
              <w:autoSpaceDE w:val="0"/>
              <w:autoSpaceDN w:val="0"/>
              <w:adjustRightInd w:val="0"/>
              <w:rPr>
                <w:sz w:val="22"/>
                <w:szCs w:val="22"/>
              </w:rPr>
            </w:pPr>
            <w:r w:rsidRPr="002C75BE">
              <w:rPr>
                <w:sz w:val="22"/>
                <w:szCs w:val="22"/>
              </w:rPr>
              <w:t>were lower age and higher expected 1-year BMI loss. The</w:t>
            </w:r>
          </w:p>
          <w:p w:rsidR="006D0E83" w:rsidRPr="002C75BE" w:rsidRDefault="006D0E83" w:rsidP="00617022">
            <w:pPr>
              <w:autoSpaceDE w:val="0"/>
              <w:autoSpaceDN w:val="0"/>
              <w:adjustRightInd w:val="0"/>
              <w:rPr>
                <w:sz w:val="22"/>
                <w:szCs w:val="22"/>
              </w:rPr>
            </w:pPr>
            <w:r w:rsidRPr="002C75BE">
              <w:rPr>
                <w:sz w:val="22"/>
                <w:szCs w:val="22"/>
              </w:rPr>
              <w:t>risk of drop-out increased systematically for unit increase in</w:t>
            </w:r>
          </w:p>
          <w:p w:rsidR="006D0E83" w:rsidRPr="002C75BE" w:rsidRDefault="006D0E83" w:rsidP="00617022">
            <w:pPr>
              <w:autoSpaceDE w:val="0"/>
              <w:autoSpaceDN w:val="0"/>
              <w:adjustRightInd w:val="0"/>
              <w:rPr>
                <w:sz w:val="22"/>
                <w:szCs w:val="22"/>
              </w:rPr>
            </w:pPr>
            <w:r w:rsidRPr="002C75BE">
              <w:rPr>
                <w:sz w:val="22"/>
                <w:szCs w:val="22"/>
              </w:rPr>
              <w:t>expected BMI loss at 12 months (hazard ratio, 1.12; 95%</w:t>
            </w:r>
          </w:p>
          <w:p w:rsidR="006D0E83" w:rsidRPr="002C75BE" w:rsidRDefault="006D0E83" w:rsidP="00617022">
            <w:pPr>
              <w:autoSpaceDE w:val="0"/>
              <w:autoSpaceDN w:val="0"/>
              <w:adjustRightInd w:val="0"/>
              <w:rPr>
                <w:sz w:val="22"/>
                <w:szCs w:val="22"/>
              </w:rPr>
            </w:pPr>
            <w:r w:rsidRPr="002C75BE">
              <w:rPr>
                <w:sz w:val="22"/>
                <w:szCs w:val="22"/>
              </w:rPr>
              <w:t xml:space="preserve">confidence interval, 1.04 to 1.20; </w:t>
            </w:r>
            <w:r w:rsidRPr="002C75BE">
              <w:rPr>
                <w:i/>
                <w:iCs/>
                <w:sz w:val="22"/>
                <w:szCs w:val="22"/>
              </w:rPr>
              <w:t xml:space="preserve">p </w:t>
            </w:r>
            <w:r w:rsidRPr="002C75BE">
              <w:rPr>
                <w:sz w:val="22"/>
                <w:szCs w:val="22"/>
              </w:rPr>
              <w:t>_ 0.0018). The risk was</w:t>
            </w:r>
          </w:p>
          <w:p w:rsidR="006D0E83" w:rsidRPr="002C75BE" w:rsidRDefault="006D0E83" w:rsidP="00617022">
            <w:pPr>
              <w:rPr>
                <w:sz w:val="22"/>
                <w:szCs w:val="22"/>
              </w:rPr>
            </w:pPr>
            <w:r w:rsidRPr="002C75BE">
              <w:rPr>
                <w:sz w:val="22"/>
                <w:szCs w:val="22"/>
              </w:rPr>
              <w:t>particularly elevated in the first 6 months.</w:t>
            </w:r>
          </w:p>
          <w:p w:rsidR="006D0E83" w:rsidRPr="002C75BE" w:rsidRDefault="006D0E83" w:rsidP="00617022">
            <w:pPr>
              <w:rPr>
                <w:sz w:val="22"/>
                <w:szCs w:val="22"/>
              </w:rPr>
            </w:pPr>
            <w:r w:rsidRPr="002C75BE">
              <w:rPr>
                <w:sz w:val="22"/>
                <w:szCs w:val="22"/>
              </w:rPr>
              <w:t>The strong association between unrealistic weight loss expectations and dropout indicates that the problem of weight loss goals should be addressed both in the initial interview and during the entire course of the treatment. This would help to detect and to address promptly any warning sign of weight loss dissatisfaction, thus minimizing the risk of attrition.</w:t>
            </w:r>
          </w:p>
          <w:p w:rsidR="006D0E83" w:rsidRPr="002C75BE" w:rsidRDefault="006D0E83" w:rsidP="00617022">
            <w:pPr>
              <w:autoSpaceDE w:val="0"/>
              <w:autoSpaceDN w:val="0"/>
              <w:adjustRightInd w:val="0"/>
              <w:rPr>
                <w:sz w:val="22"/>
                <w:szCs w:val="22"/>
              </w:rPr>
            </w:pPr>
            <w:r w:rsidRPr="002C75BE">
              <w:rPr>
                <w:sz w:val="22"/>
                <w:szCs w:val="22"/>
              </w:rPr>
              <w:t>In this respect,</w:t>
            </w:r>
            <w:r>
              <w:rPr>
                <w:sz w:val="22"/>
                <w:szCs w:val="22"/>
              </w:rPr>
              <w:t xml:space="preserve"> </w:t>
            </w:r>
            <w:r w:rsidRPr="002C75BE">
              <w:rPr>
                <w:sz w:val="22"/>
                <w:szCs w:val="22"/>
              </w:rPr>
              <w:t>young obese subjects with early age of first dieting, high</w:t>
            </w:r>
            <w:r>
              <w:rPr>
                <w:sz w:val="22"/>
                <w:szCs w:val="22"/>
              </w:rPr>
              <w:t xml:space="preserve"> </w:t>
            </w:r>
            <w:r w:rsidRPr="002C75BE">
              <w:rPr>
                <w:sz w:val="22"/>
                <w:szCs w:val="22"/>
              </w:rPr>
              <w:t>weight loss expectations, and subjects seeking treatment for</w:t>
            </w:r>
            <w:r>
              <w:rPr>
                <w:sz w:val="22"/>
                <w:szCs w:val="22"/>
              </w:rPr>
              <w:t xml:space="preserve"> </w:t>
            </w:r>
            <w:r w:rsidRPr="002C75BE">
              <w:rPr>
                <w:sz w:val="22"/>
                <w:szCs w:val="22"/>
              </w:rPr>
              <w:t>appearance concern represent a high-risk group. This population</w:t>
            </w:r>
            <w:r>
              <w:rPr>
                <w:sz w:val="22"/>
                <w:szCs w:val="22"/>
              </w:rPr>
              <w:t xml:space="preserve"> </w:t>
            </w:r>
            <w:r w:rsidRPr="002C75BE">
              <w:rPr>
                <w:sz w:val="22"/>
                <w:szCs w:val="22"/>
              </w:rPr>
              <w:t>needs assistance to reduce unrealistic goals, a task</w:t>
            </w:r>
            <w:r>
              <w:rPr>
                <w:sz w:val="22"/>
                <w:szCs w:val="22"/>
              </w:rPr>
              <w:t xml:space="preserve"> </w:t>
            </w:r>
            <w:r w:rsidRPr="002C75BE">
              <w:rPr>
                <w:sz w:val="22"/>
                <w:szCs w:val="22"/>
              </w:rPr>
              <w:t>that may be particularly difficult in subjects with body</w:t>
            </w:r>
          </w:p>
          <w:p w:rsidR="006D0E83" w:rsidRPr="002C75BE" w:rsidRDefault="006D0E83" w:rsidP="00617022">
            <w:pPr>
              <w:autoSpaceDE w:val="0"/>
              <w:autoSpaceDN w:val="0"/>
              <w:adjustRightInd w:val="0"/>
              <w:rPr>
                <w:sz w:val="22"/>
                <w:szCs w:val="22"/>
              </w:rPr>
            </w:pPr>
            <w:r w:rsidRPr="002C75BE">
              <w:rPr>
                <w:sz w:val="22"/>
                <w:szCs w:val="22"/>
              </w:rPr>
              <w:t>image dissatisfaction, seeking treatment for appearance</w:t>
            </w:r>
          </w:p>
          <w:p w:rsidR="006D0E83" w:rsidRPr="00DA5191" w:rsidRDefault="006D0E83" w:rsidP="00617022">
            <w:pPr>
              <w:rPr>
                <w:sz w:val="22"/>
                <w:szCs w:val="22"/>
              </w:rPr>
            </w:pPr>
            <w:r w:rsidRPr="002C75BE">
              <w:rPr>
                <w:sz w:val="22"/>
                <w:szCs w:val="22"/>
              </w:rPr>
              <w:t>concern</w:t>
            </w:r>
            <w:r>
              <w:rPr>
                <w:sz w:val="22"/>
                <w:szCs w:val="22"/>
              </w:rPr>
              <w:t>.</w:t>
            </w:r>
          </w:p>
        </w:tc>
      </w:tr>
      <w:tr w:rsidR="006D0E83" w:rsidRPr="007A617E" w:rsidTr="00617022">
        <w:tc>
          <w:tcPr>
            <w:tcW w:w="2044" w:type="dxa"/>
          </w:tcPr>
          <w:p w:rsidR="006D0E83" w:rsidRDefault="006D0E83" w:rsidP="00617022">
            <w:r w:rsidRPr="007A617E">
              <w:t>Pataki 2011</w:t>
            </w:r>
          </w:p>
          <w:p w:rsidR="006D0E83" w:rsidRDefault="006D0E83" w:rsidP="00617022"/>
          <w:p w:rsidR="006D0E83" w:rsidRDefault="006D0E83" w:rsidP="00617022">
            <w:r>
              <w:t>Vaatlusuuring</w:t>
            </w:r>
          </w:p>
          <w:p w:rsidR="006D0E83" w:rsidRDefault="006D0E83" w:rsidP="00617022"/>
          <w:p w:rsidR="006D0E83" w:rsidRPr="002C75BE" w:rsidRDefault="006D0E83" w:rsidP="00617022">
            <w:pPr>
              <w:rPr>
                <w:b/>
              </w:rPr>
            </w:pPr>
            <w:r w:rsidRPr="002C75BE">
              <w:rPr>
                <w:b/>
              </w:rPr>
              <w:t>TK - Madal</w:t>
            </w:r>
          </w:p>
          <w:p w:rsidR="006D0E83" w:rsidRPr="007A617E" w:rsidRDefault="006D0E83" w:rsidP="00617022"/>
        </w:tc>
        <w:tc>
          <w:tcPr>
            <w:tcW w:w="5804" w:type="dxa"/>
          </w:tcPr>
          <w:p w:rsidR="006D0E83" w:rsidRPr="00DA5191" w:rsidRDefault="006D0E83" w:rsidP="00617022">
            <w:pPr>
              <w:autoSpaceDE w:val="0"/>
              <w:autoSpaceDN w:val="0"/>
              <w:adjustRightInd w:val="0"/>
              <w:rPr>
                <w:sz w:val="22"/>
                <w:szCs w:val="22"/>
              </w:rPr>
            </w:pPr>
            <w:r w:rsidRPr="00DA5191">
              <w:rPr>
                <w:sz w:val="22"/>
                <w:szCs w:val="22"/>
              </w:rPr>
              <w:t>Unrealistic expectancies</w:t>
            </w:r>
          </w:p>
          <w:p w:rsidR="006D0E83" w:rsidRPr="00DA5191" w:rsidRDefault="006D0E83" w:rsidP="00617022">
            <w:pPr>
              <w:autoSpaceDE w:val="0"/>
              <w:autoSpaceDN w:val="0"/>
              <w:adjustRightInd w:val="0"/>
              <w:rPr>
                <w:sz w:val="22"/>
                <w:szCs w:val="22"/>
              </w:rPr>
            </w:pPr>
            <w:r w:rsidRPr="00DA5191">
              <w:rPr>
                <w:sz w:val="22"/>
                <w:szCs w:val="22"/>
              </w:rPr>
              <w:t>regarding bariatric surgery effects on the patient’s life</w:t>
            </w:r>
          </w:p>
          <w:p w:rsidR="006D0E83" w:rsidRPr="00DA5191" w:rsidRDefault="006D0E83" w:rsidP="00617022">
            <w:pPr>
              <w:autoSpaceDE w:val="0"/>
              <w:autoSpaceDN w:val="0"/>
              <w:adjustRightInd w:val="0"/>
              <w:rPr>
                <w:sz w:val="22"/>
                <w:szCs w:val="22"/>
              </w:rPr>
            </w:pPr>
            <w:r w:rsidRPr="00DA5191">
              <w:rPr>
                <w:sz w:val="22"/>
                <w:szCs w:val="22"/>
              </w:rPr>
              <w:t>and weight loss have to be discussed to guarantee an</w:t>
            </w:r>
          </w:p>
          <w:p w:rsidR="006D0E83" w:rsidRPr="00DA5191" w:rsidRDefault="006D0E83" w:rsidP="00617022">
            <w:pPr>
              <w:autoSpaceDE w:val="0"/>
              <w:autoSpaceDN w:val="0"/>
              <w:adjustRightInd w:val="0"/>
              <w:rPr>
                <w:sz w:val="22"/>
                <w:szCs w:val="22"/>
              </w:rPr>
            </w:pPr>
            <w:r w:rsidRPr="00DA5191">
              <w:rPr>
                <w:sz w:val="22"/>
                <w:szCs w:val="22"/>
              </w:rPr>
              <w:t>informed decision about surgery. Bariatric surgery can be</w:t>
            </w:r>
          </w:p>
          <w:p w:rsidR="006D0E83" w:rsidRPr="00DA5191" w:rsidRDefault="006D0E83" w:rsidP="00617022">
            <w:pPr>
              <w:autoSpaceDE w:val="0"/>
              <w:autoSpaceDN w:val="0"/>
              <w:adjustRightInd w:val="0"/>
              <w:rPr>
                <w:sz w:val="22"/>
                <w:szCs w:val="22"/>
              </w:rPr>
            </w:pPr>
            <w:r w:rsidRPr="00DA5191">
              <w:rPr>
                <w:sz w:val="22"/>
                <w:szCs w:val="22"/>
              </w:rPr>
              <w:t>seen by patients as a magical solution to ‘cure’ their</w:t>
            </w:r>
          </w:p>
          <w:p w:rsidR="006D0E83" w:rsidRPr="00DA5191" w:rsidRDefault="006D0E83" w:rsidP="00617022">
            <w:pPr>
              <w:autoSpaceDE w:val="0"/>
              <w:autoSpaceDN w:val="0"/>
              <w:adjustRightInd w:val="0"/>
              <w:rPr>
                <w:sz w:val="22"/>
                <w:szCs w:val="22"/>
              </w:rPr>
            </w:pPr>
            <w:r w:rsidRPr="00DA5191">
              <w:rPr>
                <w:sz w:val="22"/>
                <w:szCs w:val="22"/>
              </w:rPr>
              <w:t>obesity, without understanding the behavioral changes</w:t>
            </w:r>
          </w:p>
          <w:p w:rsidR="006D0E83" w:rsidRPr="00DA5191" w:rsidRDefault="006D0E83" w:rsidP="00617022">
            <w:pPr>
              <w:autoSpaceDE w:val="0"/>
              <w:autoSpaceDN w:val="0"/>
              <w:adjustRightInd w:val="0"/>
              <w:rPr>
                <w:sz w:val="22"/>
                <w:szCs w:val="22"/>
              </w:rPr>
            </w:pPr>
            <w:r w:rsidRPr="00DA5191">
              <w:rPr>
                <w:sz w:val="22"/>
                <w:szCs w:val="22"/>
              </w:rPr>
              <w:t>that will be necessary. This belief would increase the risk</w:t>
            </w:r>
          </w:p>
          <w:p w:rsidR="006D0E83" w:rsidRPr="00DA5191" w:rsidRDefault="006D0E83" w:rsidP="00617022">
            <w:pPr>
              <w:rPr>
                <w:sz w:val="22"/>
                <w:szCs w:val="22"/>
              </w:rPr>
            </w:pPr>
            <w:r w:rsidRPr="00DA5191">
              <w:rPr>
                <w:sz w:val="22"/>
                <w:szCs w:val="22"/>
              </w:rPr>
              <w:t>of weight regain</w:t>
            </w:r>
          </w:p>
        </w:tc>
      </w:tr>
      <w:tr w:rsidR="006D0E83" w:rsidRPr="007A617E" w:rsidTr="00617022">
        <w:tc>
          <w:tcPr>
            <w:tcW w:w="2044" w:type="dxa"/>
          </w:tcPr>
          <w:p w:rsidR="006D0E83" w:rsidRPr="007A617E" w:rsidRDefault="006D0E83" w:rsidP="00617022">
            <w:r w:rsidRPr="007A617E">
              <w:t>Bauchowitz et al</w:t>
            </w:r>
          </w:p>
          <w:p w:rsidR="006D0E83" w:rsidRPr="007A617E" w:rsidRDefault="006D0E83" w:rsidP="00617022">
            <w:r w:rsidRPr="007A617E">
              <w:t>2007</w:t>
            </w:r>
          </w:p>
          <w:p w:rsidR="006D0E83" w:rsidRDefault="006D0E83" w:rsidP="00617022">
            <w:r w:rsidRPr="007A617E">
              <w:t>Vaatlusuuring</w:t>
            </w:r>
          </w:p>
          <w:p w:rsidR="006D0E83" w:rsidRDefault="006D0E83" w:rsidP="00617022"/>
          <w:p w:rsidR="006D0E83" w:rsidRDefault="006D0E83" w:rsidP="00617022"/>
          <w:p w:rsidR="006D0E83" w:rsidRPr="002C75BE" w:rsidRDefault="006D0E83" w:rsidP="00617022">
            <w:pPr>
              <w:rPr>
                <w:b/>
              </w:rPr>
            </w:pPr>
            <w:r w:rsidRPr="002C75BE">
              <w:rPr>
                <w:b/>
              </w:rPr>
              <w:t>TK - Madal</w:t>
            </w:r>
          </w:p>
          <w:p w:rsidR="006D0E83" w:rsidRPr="007A617E" w:rsidRDefault="006D0E83" w:rsidP="00617022"/>
        </w:tc>
        <w:tc>
          <w:tcPr>
            <w:tcW w:w="5804" w:type="dxa"/>
          </w:tcPr>
          <w:p w:rsidR="006D0E83" w:rsidRPr="00DA5191" w:rsidRDefault="006D0E83" w:rsidP="00617022">
            <w:pPr>
              <w:rPr>
                <w:color w:val="0A0905"/>
                <w:sz w:val="22"/>
                <w:szCs w:val="22"/>
              </w:rPr>
            </w:pPr>
            <w:r w:rsidRPr="00DA5191">
              <w:rPr>
                <w:color w:val="0A0905"/>
                <w:sz w:val="22"/>
                <w:szCs w:val="22"/>
              </w:rPr>
              <w:t>The data on weight loss expectations from 217 preoperative patients indicated that, compared with the average weight loss data presented in published reports, 65% of patients overestimated the degree of weight loss and only 25% of patients maintained accurate expectations of weight loss. Knowledge data on the nutritional, medical, and behavioral components of the surgery were available for 96 patients. The items frequently answered incorrectly included expected weight loss and the utility of surgery in increasing the ability to make changes in diet and exercise. The mean body mass index differences were observed to determine the accuracy of weight loss expectations.</w:t>
            </w:r>
          </w:p>
          <w:p w:rsidR="006D0E83" w:rsidRPr="00DA5191" w:rsidRDefault="006D0E83" w:rsidP="00617022">
            <w:pPr>
              <w:rPr>
                <w:sz w:val="22"/>
                <w:szCs w:val="22"/>
              </w:rPr>
            </w:pPr>
            <w:r w:rsidRPr="00DA5191">
              <w:rPr>
                <w:color w:val="0A0905"/>
                <w:sz w:val="22"/>
                <w:szCs w:val="22"/>
              </w:rPr>
              <w:t>The results of our study have shown that a significant number of bariatric surgery patients present with misconceptions about weight loss. The preoperative psychosocial evaluation can be used as an intervention to use psychoeducation, cognitive restructuring, and behavioral interventions to improve patients' knowledge and expectations.</w:t>
            </w:r>
          </w:p>
        </w:tc>
      </w:tr>
      <w:tr w:rsidR="006D0E83" w:rsidRPr="007A617E" w:rsidTr="00617022">
        <w:tc>
          <w:tcPr>
            <w:tcW w:w="2044" w:type="dxa"/>
          </w:tcPr>
          <w:p w:rsidR="006D0E83" w:rsidRDefault="006D0E83" w:rsidP="00617022">
            <w:r>
              <w:t>Libeton et al.</w:t>
            </w:r>
          </w:p>
          <w:p w:rsidR="006D0E83" w:rsidRDefault="006D0E83" w:rsidP="00617022">
            <w:r>
              <w:t>2004</w:t>
            </w:r>
          </w:p>
          <w:p w:rsidR="006D0E83" w:rsidRDefault="006D0E83" w:rsidP="00617022">
            <w:r>
              <w:t>Vaatlusuuring</w:t>
            </w:r>
          </w:p>
          <w:p w:rsidR="006D0E83" w:rsidRDefault="006D0E83" w:rsidP="00617022"/>
          <w:p w:rsidR="006D0E83" w:rsidRPr="002C75BE" w:rsidRDefault="006D0E83" w:rsidP="00617022">
            <w:pPr>
              <w:rPr>
                <w:b/>
              </w:rPr>
            </w:pPr>
            <w:r w:rsidRPr="002C75BE">
              <w:rPr>
                <w:b/>
              </w:rPr>
              <w:t>TK - Madal</w:t>
            </w:r>
          </w:p>
          <w:p w:rsidR="006D0E83" w:rsidRPr="007A617E" w:rsidRDefault="006D0E83" w:rsidP="00617022"/>
        </w:tc>
        <w:tc>
          <w:tcPr>
            <w:tcW w:w="5804" w:type="dxa"/>
          </w:tcPr>
          <w:p w:rsidR="006D0E83" w:rsidRPr="00DA5191" w:rsidRDefault="006D0E83" w:rsidP="00617022">
            <w:pPr>
              <w:autoSpaceDE w:val="0"/>
              <w:autoSpaceDN w:val="0"/>
              <w:adjustRightInd w:val="0"/>
              <w:rPr>
                <w:sz w:val="22"/>
                <w:szCs w:val="22"/>
              </w:rPr>
            </w:pPr>
            <w:r w:rsidRPr="00DA5191">
              <w:rPr>
                <w:sz w:val="22"/>
                <w:szCs w:val="22"/>
              </w:rPr>
              <w:t>Weight outcomes after Lap-Band® surgery do not</w:t>
            </w:r>
          </w:p>
          <w:p w:rsidR="006D0E83" w:rsidRPr="00DA5191" w:rsidRDefault="006D0E83" w:rsidP="00617022">
            <w:pPr>
              <w:autoSpaceDE w:val="0"/>
              <w:autoSpaceDN w:val="0"/>
              <w:adjustRightInd w:val="0"/>
              <w:rPr>
                <w:sz w:val="22"/>
                <w:szCs w:val="22"/>
              </w:rPr>
            </w:pPr>
            <w:r w:rsidRPr="00DA5191">
              <w:rPr>
                <w:sz w:val="22"/>
                <w:szCs w:val="22"/>
              </w:rPr>
              <w:t>appear to be affected by the patient’s primary motivating</w:t>
            </w:r>
          </w:p>
          <w:p w:rsidR="006D0E83" w:rsidRPr="00DA5191" w:rsidRDefault="006D0E83" w:rsidP="00617022">
            <w:pPr>
              <w:autoSpaceDE w:val="0"/>
              <w:autoSpaceDN w:val="0"/>
              <w:adjustRightInd w:val="0"/>
              <w:rPr>
                <w:sz w:val="22"/>
                <w:szCs w:val="22"/>
              </w:rPr>
            </w:pPr>
            <w:r w:rsidRPr="00DA5191">
              <w:rPr>
                <w:sz w:val="22"/>
                <w:szCs w:val="22"/>
              </w:rPr>
              <w:t>factor. We have not found any studies looking</w:t>
            </w:r>
          </w:p>
          <w:p w:rsidR="006D0E83" w:rsidRPr="00DA5191" w:rsidRDefault="006D0E83" w:rsidP="00617022">
            <w:pPr>
              <w:rPr>
                <w:color w:val="0A0905"/>
                <w:sz w:val="22"/>
                <w:szCs w:val="22"/>
              </w:rPr>
            </w:pPr>
            <w:r w:rsidRPr="00DA5191">
              <w:rPr>
                <w:sz w:val="22"/>
                <w:szCs w:val="22"/>
              </w:rPr>
              <w:t>at motivation and the outcome of bariatric surgery</w:t>
            </w:r>
          </w:p>
        </w:tc>
      </w:tr>
      <w:tr w:rsidR="006D0E83" w:rsidRPr="007A617E" w:rsidTr="00617022">
        <w:tc>
          <w:tcPr>
            <w:tcW w:w="2044" w:type="dxa"/>
          </w:tcPr>
          <w:p w:rsidR="006D0E83" w:rsidRDefault="006D0E83" w:rsidP="00617022">
            <w:r>
              <w:t>Kaly et al.</w:t>
            </w:r>
          </w:p>
          <w:p w:rsidR="006D0E83" w:rsidRDefault="006D0E83" w:rsidP="00617022">
            <w:r>
              <w:t>2008</w:t>
            </w:r>
          </w:p>
          <w:p w:rsidR="006D0E83" w:rsidRDefault="006D0E83" w:rsidP="00617022">
            <w:r>
              <w:t>Vaatlusuuring</w:t>
            </w:r>
          </w:p>
          <w:p w:rsidR="006D0E83" w:rsidRDefault="006D0E83" w:rsidP="00617022"/>
          <w:p w:rsidR="006D0E83" w:rsidRDefault="006D0E83" w:rsidP="00617022">
            <w:r>
              <w:t>TK- Madal</w:t>
            </w:r>
          </w:p>
        </w:tc>
        <w:tc>
          <w:tcPr>
            <w:tcW w:w="5804" w:type="dxa"/>
          </w:tcPr>
          <w:p w:rsidR="006D0E83" w:rsidRPr="00DA5191" w:rsidRDefault="006D0E83" w:rsidP="00617022">
            <w:pPr>
              <w:autoSpaceDE w:val="0"/>
              <w:autoSpaceDN w:val="0"/>
              <w:adjustRightInd w:val="0"/>
              <w:rPr>
                <w:sz w:val="22"/>
                <w:szCs w:val="22"/>
              </w:rPr>
            </w:pPr>
            <w:r>
              <w:rPr>
                <w:rFonts w:ascii="Arial" w:hAnsi="Arial" w:cs="Arial"/>
                <w:color w:val="000000"/>
                <w:shd w:val="clear" w:color="auto" w:fill="FFFFFF"/>
              </w:rPr>
              <w:t>Of the 284 patients, 230 were women and 54 were men (age 45 +/- 10 years; body mass index 50 +/- 8 kg/m(2)). These patients stated that their "dream" weight would be 89% +/- 8% excess body weight loss and that 77% +/- 9%, 67% +/- 10%, 49% +/- 14% excess body weight loss would be their "happy," "acceptable," and "disappointed" weight, respectively. Participants ranked health, fitness, body image, work performance, and self-confidence as the most important benefits of bariatric surgery. Women had greater "happy" and "acceptable" weight loss expectations and put more emphasis on physical presence (r = .17-.33, P &lt;.01). Younger patients put more emphasis on attractiveness and improvements in social and sex life after bariatric surgery (r = .15-.19, P &lt;.01).</w:t>
            </w:r>
          </w:p>
        </w:tc>
      </w:tr>
    </w:tbl>
    <w:p w:rsidR="006D0E83" w:rsidRDefault="006D0E83">
      <w:pPr>
        <w:rPr>
          <w:rFonts w:cs="ITC Garamond Std Lt"/>
          <w:color w:val="000000"/>
          <w:sz w:val="21"/>
          <w:szCs w:val="21"/>
        </w:rPr>
      </w:pPr>
    </w:p>
    <w:p w:rsidR="006D0E83" w:rsidRDefault="006D0E83">
      <w:pPr>
        <w:rPr>
          <w:rFonts w:cs="ITC Garamond Std Lt"/>
          <w:color w:val="000000"/>
          <w:sz w:val="21"/>
          <w:szCs w:val="21"/>
        </w:rPr>
      </w:pPr>
    </w:p>
    <w:p w:rsidR="006D0E83" w:rsidRDefault="006D0E83">
      <w:pPr>
        <w:rPr>
          <w:rFonts w:cs="ITC Garamond Std Lt"/>
          <w:color w:val="000000"/>
          <w:sz w:val="21"/>
          <w:szCs w:val="21"/>
        </w:rPr>
      </w:pPr>
    </w:p>
    <w:p w:rsidR="006D0E83" w:rsidRPr="00B92E14" w:rsidRDefault="006D0E83">
      <w:pPr>
        <w:rPr>
          <w:rFonts w:ascii="Times New Roman" w:hAnsi="Times New Roman"/>
          <w:b/>
          <w:color w:val="000000"/>
        </w:rPr>
      </w:pPr>
      <w:r w:rsidRPr="00B92E14">
        <w:rPr>
          <w:rFonts w:ascii="Times New Roman" w:hAnsi="Times New Roman"/>
          <w:b/>
          <w:color w:val="000000"/>
        </w:rPr>
        <w:t>Ravijuhendid</w:t>
      </w:r>
    </w:p>
    <w:p w:rsidR="006D0E83" w:rsidRPr="00066B61" w:rsidRDefault="006D0E83">
      <w:pPr>
        <w:rPr>
          <w:rFonts w:ascii="Times New Roman" w:hAnsi="Times New Roman"/>
          <w:color w:val="000000"/>
        </w:rPr>
      </w:pPr>
    </w:p>
    <w:p w:rsidR="006D0E83" w:rsidRPr="00066B61" w:rsidRDefault="006D0E83">
      <w:pPr>
        <w:rPr>
          <w:rFonts w:ascii="Times New Roman" w:hAnsi="Times New Roman"/>
          <w:b/>
          <w:color w:val="000000"/>
        </w:rPr>
      </w:pPr>
      <w:r w:rsidRPr="00066B61">
        <w:rPr>
          <w:rFonts w:ascii="Times New Roman" w:hAnsi="Times New Roman"/>
          <w:b/>
          <w:color w:val="000000"/>
        </w:rPr>
        <w:t>NICE 2006 Soovituse tugevus D</w:t>
      </w:r>
    </w:p>
    <w:p w:rsidR="006D0E83" w:rsidRPr="00066B61" w:rsidRDefault="006D0E83">
      <w:pPr>
        <w:rPr>
          <w:rFonts w:ascii="Times New Roman" w:hAnsi="Times New Roman"/>
          <w:color w:val="000000"/>
        </w:rPr>
      </w:pPr>
      <w:r w:rsidRPr="00066B61">
        <w:rPr>
          <w:rFonts w:ascii="Times New Roman" w:hAnsi="Times New Roman"/>
          <w:color w:val="000000"/>
        </w:rPr>
        <w:t>Soovitab enne ravi (nii konservatiivset kui ka operatiivset) hinnata patsiendi motiveeritust.</w:t>
      </w:r>
    </w:p>
    <w:p w:rsidR="006D0E83" w:rsidRPr="00066B61" w:rsidRDefault="006D0E83" w:rsidP="00B92E14">
      <w:pPr>
        <w:autoSpaceDE w:val="0"/>
        <w:autoSpaceDN w:val="0"/>
        <w:adjustRightInd w:val="0"/>
        <w:spacing w:after="0" w:line="240" w:lineRule="auto"/>
        <w:rPr>
          <w:rFonts w:ascii="Times New Roman" w:hAnsi="Times New Roman"/>
          <w:b/>
          <w:color w:val="000000"/>
        </w:rPr>
      </w:pPr>
      <w:r w:rsidRPr="00066B61">
        <w:rPr>
          <w:rFonts w:ascii="Times New Roman" w:hAnsi="Times New Roman"/>
          <w:b/>
          <w:color w:val="000000"/>
        </w:rPr>
        <w:t>SIGN 2010 – Soovituse tugevus D</w:t>
      </w:r>
    </w:p>
    <w:p w:rsidR="006D0E83" w:rsidRPr="00066B61" w:rsidRDefault="006D0E83" w:rsidP="00066B61">
      <w:pPr>
        <w:autoSpaceDE w:val="0"/>
        <w:autoSpaceDN w:val="0"/>
        <w:adjustRightInd w:val="0"/>
        <w:spacing w:after="0" w:line="240" w:lineRule="auto"/>
        <w:rPr>
          <w:rFonts w:ascii="Times New Roman" w:hAnsi="Times New Roman"/>
          <w:bCs/>
          <w:lang w:val="en-US"/>
        </w:rPr>
      </w:pPr>
      <w:r w:rsidRPr="00066B61">
        <w:rPr>
          <w:rFonts w:ascii="Times New Roman" w:hAnsi="Times New Roman"/>
          <w:bCs/>
          <w:lang w:val="en-US"/>
        </w:rPr>
        <w:t>Healthcare professionals should discuss willingness to change with patients and then target weight loss interventions according to patient willingness around each component of behaviour required for weight loss, eg specific dietary and/or activity changes.</w:t>
      </w:r>
    </w:p>
    <w:p w:rsidR="006D0E83" w:rsidRPr="00066B61" w:rsidRDefault="006D0E83" w:rsidP="00066B61">
      <w:pPr>
        <w:autoSpaceDE w:val="0"/>
        <w:autoSpaceDN w:val="0"/>
        <w:adjustRightInd w:val="0"/>
        <w:spacing w:after="0" w:line="240" w:lineRule="auto"/>
        <w:rPr>
          <w:rFonts w:ascii="Times New Roman" w:hAnsi="Times New Roman"/>
          <w:bCs/>
          <w:lang w:val="en-US"/>
        </w:rPr>
      </w:pPr>
    </w:p>
    <w:p w:rsidR="006D0E83" w:rsidRPr="00066B61" w:rsidRDefault="006D0E83" w:rsidP="00066B61">
      <w:pPr>
        <w:autoSpaceDE w:val="0"/>
        <w:autoSpaceDN w:val="0"/>
        <w:adjustRightInd w:val="0"/>
        <w:spacing w:after="0" w:line="240" w:lineRule="auto"/>
        <w:rPr>
          <w:rFonts w:ascii="Times New Roman" w:hAnsi="Times New Roman"/>
          <w:b/>
          <w:color w:val="000000"/>
        </w:rPr>
      </w:pPr>
      <w:r w:rsidRPr="00066B61">
        <w:rPr>
          <w:rFonts w:ascii="Times New Roman" w:hAnsi="Times New Roman"/>
          <w:b/>
          <w:color w:val="000000"/>
        </w:rPr>
        <w:t>USA 2013 Soovituse tugevus D</w:t>
      </w:r>
    </w:p>
    <w:p w:rsidR="006D0E83" w:rsidRDefault="006D0E83" w:rsidP="00066B61">
      <w:pPr>
        <w:autoSpaceDE w:val="0"/>
        <w:autoSpaceDN w:val="0"/>
        <w:adjustRightInd w:val="0"/>
        <w:spacing w:after="0" w:line="240" w:lineRule="auto"/>
        <w:rPr>
          <w:rFonts w:ascii="Times New Roman" w:hAnsi="Times New Roman"/>
        </w:rPr>
      </w:pPr>
      <w:r w:rsidRPr="00066B61">
        <w:rPr>
          <w:rFonts w:ascii="Times New Roman" w:hAnsi="Times New Roman"/>
        </w:rPr>
        <w:t>Patients should also be provided with educa- tional materials and access to preoperative educational sessions at prospective bariatric surgery centers</w:t>
      </w:r>
    </w:p>
    <w:p w:rsidR="006D0E83" w:rsidRDefault="006D0E83" w:rsidP="00066B61">
      <w:pPr>
        <w:autoSpaceDE w:val="0"/>
        <w:autoSpaceDN w:val="0"/>
        <w:adjustRightInd w:val="0"/>
        <w:spacing w:after="0" w:line="240" w:lineRule="auto"/>
        <w:rPr>
          <w:rFonts w:ascii="Times New Roman" w:hAnsi="Times New Roman"/>
        </w:rPr>
      </w:pPr>
    </w:p>
    <w:p w:rsidR="006D0E83" w:rsidRPr="003F7655" w:rsidRDefault="006D0E83" w:rsidP="003F7655">
      <w:pPr>
        <w:autoSpaceDE w:val="0"/>
        <w:autoSpaceDN w:val="0"/>
        <w:adjustRightInd w:val="0"/>
        <w:spacing w:after="0" w:line="240" w:lineRule="auto"/>
        <w:rPr>
          <w:rFonts w:ascii="Times New Roman" w:hAnsi="Times New Roman"/>
          <w:b/>
        </w:rPr>
      </w:pPr>
      <w:r w:rsidRPr="003F7655">
        <w:rPr>
          <w:rFonts w:ascii="Times New Roman" w:hAnsi="Times New Roman"/>
          <w:b/>
        </w:rPr>
        <w:t xml:space="preserve">ASPEN 2008 </w:t>
      </w:r>
      <w:r>
        <w:rPr>
          <w:rFonts w:ascii="Times New Roman" w:hAnsi="Times New Roman"/>
          <w:b/>
        </w:rPr>
        <w:t>Soovituse tugevus D</w:t>
      </w:r>
    </w:p>
    <w:p w:rsidR="006D0E83" w:rsidRPr="003F7655" w:rsidRDefault="006D0E83" w:rsidP="003F7655">
      <w:pPr>
        <w:autoSpaceDE w:val="0"/>
        <w:autoSpaceDN w:val="0"/>
        <w:adjustRightInd w:val="0"/>
        <w:spacing w:after="0" w:line="240" w:lineRule="auto"/>
        <w:rPr>
          <w:rFonts w:ascii="Times-Roman" w:hAnsi="Times-Roman" w:cs="Times-Roman"/>
          <w:sz w:val="20"/>
          <w:szCs w:val="20"/>
          <w:lang w:val="en-US"/>
        </w:rPr>
      </w:pPr>
      <w:r w:rsidRPr="003F7655">
        <w:rPr>
          <w:rFonts w:ascii="Times-Roman" w:hAnsi="Times-Roman" w:cs="Times-Roman"/>
          <w:sz w:val="20"/>
          <w:szCs w:val="20"/>
          <w:lang w:val="en-US"/>
        </w:rPr>
        <w:t>Bariatric surgical candidates expect, on average, a 44% loss  of preoperative weight. In contrast, a loss of only 27.3% was considered “disappointing,” although losses of that magnitude are typically judged as successful by bariatric surgeons. Before bariatric surgery is scheduled, it is helpful for patients to read the program’s information packet carefully,  attend an orientation session, and speak to other patients</w:t>
      </w:r>
    </w:p>
    <w:p w:rsidR="006D0E83" w:rsidRDefault="006D0E83" w:rsidP="003F7655">
      <w:pPr>
        <w:autoSpaceDE w:val="0"/>
        <w:autoSpaceDN w:val="0"/>
        <w:adjustRightInd w:val="0"/>
        <w:spacing w:after="0" w:line="240" w:lineRule="auto"/>
        <w:rPr>
          <w:rFonts w:ascii="Times-Roman" w:hAnsi="Times-Roman" w:cs="Times-Roman"/>
          <w:sz w:val="20"/>
          <w:szCs w:val="20"/>
          <w:lang w:val="en-US"/>
        </w:rPr>
      </w:pPr>
      <w:r w:rsidRPr="003F7655">
        <w:rPr>
          <w:rFonts w:ascii="Times-Roman" w:hAnsi="Times-Roman" w:cs="Times-Roman"/>
          <w:sz w:val="20"/>
          <w:szCs w:val="20"/>
          <w:lang w:val="en-US"/>
        </w:rPr>
        <w:t>who have undergone bariatric surgery at the hospital</w:t>
      </w:r>
    </w:p>
    <w:p w:rsidR="006D0E83" w:rsidRDefault="006D0E83" w:rsidP="003F7655">
      <w:pPr>
        <w:autoSpaceDE w:val="0"/>
        <w:autoSpaceDN w:val="0"/>
        <w:adjustRightInd w:val="0"/>
        <w:spacing w:after="0" w:line="240" w:lineRule="auto"/>
        <w:rPr>
          <w:rFonts w:ascii="Times-Roman" w:hAnsi="Times-Roman" w:cs="Times-Roman"/>
          <w:sz w:val="20"/>
          <w:szCs w:val="20"/>
          <w:lang w:val="en-US"/>
        </w:rPr>
      </w:pPr>
    </w:p>
    <w:p w:rsidR="006D0E83" w:rsidRPr="003F7655" w:rsidRDefault="006D0E83" w:rsidP="003F7655">
      <w:pPr>
        <w:autoSpaceDE w:val="0"/>
        <w:autoSpaceDN w:val="0"/>
        <w:adjustRightInd w:val="0"/>
        <w:spacing w:after="0" w:line="240" w:lineRule="auto"/>
        <w:rPr>
          <w:rFonts w:ascii="Times New Roman" w:hAnsi="Times New Roman"/>
          <w:b/>
          <w:lang w:val="en-US"/>
        </w:rPr>
      </w:pPr>
      <w:r w:rsidRPr="003F7655">
        <w:rPr>
          <w:rFonts w:ascii="Times New Roman" w:hAnsi="Times New Roman"/>
          <w:b/>
          <w:lang w:val="en-US"/>
        </w:rPr>
        <w:t>Austraalia 2013 Soovituse tugevus D</w:t>
      </w:r>
    </w:p>
    <w:p w:rsidR="006D0E83" w:rsidRPr="003F7655" w:rsidRDefault="006D0E83" w:rsidP="003F7655">
      <w:pPr>
        <w:pStyle w:val="Pa50"/>
        <w:spacing w:after="80"/>
        <w:rPr>
          <w:rFonts w:ascii="Times New Roman" w:hAnsi="Times New Roman"/>
          <w:sz w:val="22"/>
          <w:szCs w:val="22"/>
        </w:rPr>
      </w:pPr>
      <w:r w:rsidRPr="003F7655">
        <w:rPr>
          <w:rFonts w:ascii="Times New Roman" w:hAnsi="Times New Roman"/>
          <w:color w:val="000000"/>
          <w:sz w:val="22"/>
          <w:szCs w:val="22"/>
        </w:rPr>
        <w:t xml:space="preserve">Long-term weight management may be more successful if it involves a self-management approach, continuing contact with healthcare professionals and behavioural strategies for maintaining motivation. </w:t>
      </w:r>
    </w:p>
    <w:p w:rsidR="006D0E83" w:rsidRPr="003F7655" w:rsidRDefault="006D0E83" w:rsidP="003F7655">
      <w:pPr>
        <w:autoSpaceDE w:val="0"/>
        <w:autoSpaceDN w:val="0"/>
        <w:adjustRightInd w:val="0"/>
        <w:spacing w:after="0" w:line="240" w:lineRule="auto"/>
        <w:rPr>
          <w:rFonts w:ascii="Times New Roman" w:hAnsi="Times New Roman"/>
          <w:color w:val="000000"/>
        </w:rPr>
      </w:pPr>
    </w:p>
    <w:sectPr w:rsidR="006D0E83" w:rsidRPr="003F7655" w:rsidSect="00015262">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E83" w:rsidRDefault="006D0E83" w:rsidP="00DF0EC5">
      <w:pPr>
        <w:spacing w:after="0" w:line="240" w:lineRule="auto"/>
      </w:pPr>
      <w:r>
        <w:separator/>
      </w:r>
    </w:p>
  </w:endnote>
  <w:endnote w:type="continuationSeparator" w:id="0">
    <w:p w:rsidR="006D0E83" w:rsidRDefault="006D0E83" w:rsidP="00DF0E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HelveticaNeueLT Std Me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1">
    <w:altName w:val="Times New Roman"/>
    <w:panose1 w:val="00000000000000000000"/>
    <w:charset w:val="00"/>
    <w:family w:val="roman"/>
    <w:notTrueType/>
    <w:pitch w:val="variable"/>
    <w:sig w:usb0="00000003" w:usb1="00000000" w:usb2="00000000" w:usb3="00000000" w:csb0="00000001" w:csb1="00000000"/>
  </w:font>
  <w:font w:name="HelveticaNeueLT Std Lt Cn">
    <w:altName w:val="Arial"/>
    <w:panose1 w:val="00000000000000000000"/>
    <w:charset w:val="00"/>
    <w:family w:val="swiss"/>
    <w:notTrueType/>
    <w:pitch w:val="default"/>
    <w:sig w:usb0="00000003" w:usb1="00000000" w:usb2="00000000" w:usb3="00000000" w:csb0="00000001" w:csb1="00000000"/>
  </w:font>
  <w:font w:name="ITC Garamond Std L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E83" w:rsidRDefault="006D0E83" w:rsidP="002E6A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0E83" w:rsidRDefault="006D0E83" w:rsidP="00A061A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E83" w:rsidRDefault="006D0E83" w:rsidP="002E6A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6D0E83" w:rsidRDefault="006D0E83" w:rsidP="00A061A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E83" w:rsidRDefault="006D0E83" w:rsidP="00DF0EC5">
      <w:pPr>
        <w:spacing w:after="0" w:line="240" w:lineRule="auto"/>
      </w:pPr>
      <w:r>
        <w:separator/>
      </w:r>
    </w:p>
  </w:footnote>
  <w:footnote w:type="continuationSeparator" w:id="0">
    <w:p w:rsidR="006D0E83" w:rsidRDefault="006D0E83" w:rsidP="00DF0E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69B3DB"/>
    <w:multiLevelType w:val="hybridMultilevel"/>
    <w:tmpl w:val="ED92C07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5DB15606"/>
    <w:multiLevelType w:val="hybridMultilevel"/>
    <w:tmpl w:val="D51A2D2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696E608E"/>
    <w:multiLevelType w:val="hybridMultilevel"/>
    <w:tmpl w:val="55ECAED6"/>
    <w:lvl w:ilvl="0" w:tplc="1262AB76">
      <w:numFmt w:val="bullet"/>
      <w:lvlText w:val="-"/>
      <w:lvlJc w:val="left"/>
      <w:pPr>
        <w:tabs>
          <w:tab w:val="num" w:pos="720"/>
        </w:tabs>
        <w:ind w:left="720" w:hanging="360"/>
      </w:pPr>
      <w:rPr>
        <w:rFonts w:ascii="Times New Roman" w:eastAsia="Times New Roman" w:hAnsi="Times New Roman"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27CF"/>
    <w:rsid w:val="0000370C"/>
    <w:rsid w:val="00014F7C"/>
    <w:rsid w:val="00015262"/>
    <w:rsid w:val="00047445"/>
    <w:rsid w:val="00066B61"/>
    <w:rsid w:val="00071094"/>
    <w:rsid w:val="0009735F"/>
    <w:rsid w:val="000A25CC"/>
    <w:rsid w:val="000C53C2"/>
    <w:rsid w:val="000D2D17"/>
    <w:rsid w:val="000E3C8D"/>
    <w:rsid w:val="001223F2"/>
    <w:rsid w:val="00126167"/>
    <w:rsid w:val="00150988"/>
    <w:rsid w:val="001B72B6"/>
    <w:rsid w:val="001C0554"/>
    <w:rsid w:val="0022026B"/>
    <w:rsid w:val="002B468A"/>
    <w:rsid w:val="002B616F"/>
    <w:rsid w:val="002C12A0"/>
    <w:rsid w:val="002C75BE"/>
    <w:rsid w:val="002E6AAD"/>
    <w:rsid w:val="002F3F29"/>
    <w:rsid w:val="00305F24"/>
    <w:rsid w:val="0034359B"/>
    <w:rsid w:val="00344F76"/>
    <w:rsid w:val="003475FC"/>
    <w:rsid w:val="00387E55"/>
    <w:rsid w:val="003B497D"/>
    <w:rsid w:val="003C51FD"/>
    <w:rsid w:val="003D2806"/>
    <w:rsid w:val="003F7655"/>
    <w:rsid w:val="004411E6"/>
    <w:rsid w:val="004F481D"/>
    <w:rsid w:val="005153AA"/>
    <w:rsid w:val="005200FE"/>
    <w:rsid w:val="00561152"/>
    <w:rsid w:val="005A2F11"/>
    <w:rsid w:val="005B27CF"/>
    <w:rsid w:val="00604670"/>
    <w:rsid w:val="00617022"/>
    <w:rsid w:val="0063007A"/>
    <w:rsid w:val="00633A75"/>
    <w:rsid w:val="006707C7"/>
    <w:rsid w:val="006A2945"/>
    <w:rsid w:val="006B025F"/>
    <w:rsid w:val="006B5811"/>
    <w:rsid w:val="006C5FA7"/>
    <w:rsid w:val="006D0E83"/>
    <w:rsid w:val="006D6573"/>
    <w:rsid w:val="006F7129"/>
    <w:rsid w:val="007172E8"/>
    <w:rsid w:val="00734DFC"/>
    <w:rsid w:val="0075466B"/>
    <w:rsid w:val="007A410A"/>
    <w:rsid w:val="007A617E"/>
    <w:rsid w:val="007D6342"/>
    <w:rsid w:val="007F6D86"/>
    <w:rsid w:val="0084068F"/>
    <w:rsid w:val="00843350"/>
    <w:rsid w:val="008B0DB9"/>
    <w:rsid w:val="008F64B7"/>
    <w:rsid w:val="00916E02"/>
    <w:rsid w:val="00926415"/>
    <w:rsid w:val="009404C2"/>
    <w:rsid w:val="00964E40"/>
    <w:rsid w:val="009B4A5B"/>
    <w:rsid w:val="009D7480"/>
    <w:rsid w:val="00A061A4"/>
    <w:rsid w:val="00A2621F"/>
    <w:rsid w:val="00A51C8A"/>
    <w:rsid w:val="00A602C5"/>
    <w:rsid w:val="00A6750D"/>
    <w:rsid w:val="00A763F1"/>
    <w:rsid w:val="00A85866"/>
    <w:rsid w:val="00AB39B2"/>
    <w:rsid w:val="00AC6CBF"/>
    <w:rsid w:val="00AC7E72"/>
    <w:rsid w:val="00B508DE"/>
    <w:rsid w:val="00B61213"/>
    <w:rsid w:val="00B62927"/>
    <w:rsid w:val="00B92E14"/>
    <w:rsid w:val="00BA66A6"/>
    <w:rsid w:val="00BD0348"/>
    <w:rsid w:val="00BF0E37"/>
    <w:rsid w:val="00C06E49"/>
    <w:rsid w:val="00C2087C"/>
    <w:rsid w:val="00C4544A"/>
    <w:rsid w:val="00C664BD"/>
    <w:rsid w:val="00C774DA"/>
    <w:rsid w:val="00C817F0"/>
    <w:rsid w:val="00C92356"/>
    <w:rsid w:val="00C93785"/>
    <w:rsid w:val="00CC1713"/>
    <w:rsid w:val="00CD1039"/>
    <w:rsid w:val="00CD61D7"/>
    <w:rsid w:val="00CE6F6A"/>
    <w:rsid w:val="00CF6DBE"/>
    <w:rsid w:val="00D13533"/>
    <w:rsid w:val="00D1362C"/>
    <w:rsid w:val="00D36C47"/>
    <w:rsid w:val="00D637DA"/>
    <w:rsid w:val="00D70720"/>
    <w:rsid w:val="00D7680F"/>
    <w:rsid w:val="00D82608"/>
    <w:rsid w:val="00DA5191"/>
    <w:rsid w:val="00DA71FE"/>
    <w:rsid w:val="00DA74AD"/>
    <w:rsid w:val="00DE2E4B"/>
    <w:rsid w:val="00DF0EC5"/>
    <w:rsid w:val="00E0758C"/>
    <w:rsid w:val="00E11269"/>
    <w:rsid w:val="00E15913"/>
    <w:rsid w:val="00E82F1D"/>
    <w:rsid w:val="00E95AEB"/>
    <w:rsid w:val="00EA6044"/>
    <w:rsid w:val="00F05CED"/>
    <w:rsid w:val="00F77368"/>
    <w:rsid w:val="00F91B24"/>
    <w:rsid w:val="00FA1E20"/>
    <w:rsid w:val="00FA3652"/>
    <w:rsid w:val="00FE37EB"/>
    <w:rsid w:val="00FF086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262"/>
    <w:pPr>
      <w:spacing w:after="200" w:line="276" w:lineRule="auto"/>
    </w:pPr>
    <w:rPr>
      <w:lang w:val="et-EE"/>
    </w:rPr>
  </w:style>
  <w:style w:type="paragraph" w:styleId="Heading1">
    <w:name w:val="heading 1"/>
    <w:basedOn w:val="Normal"/>
    <w:next w:val="Normal"/>
    <w:link w:val="Heading1Char"/>
    <w:uiPriority w:val="99"/>
    <w:qFormat/>
    <w:rsid w:val="006B025F"/>
    <w:pPr>
      <w:keepNext/>
      <w:keepLines/>
      <w:spacing w:before="480" w:after="0"/>
      <w:outlineLvl w:val="0"/>
    </w:pPr>
    <w:rPr>
      <w:rFonts w:ascii="Cambria" w:eastAsia="Times New Roman" w:hAnsi="Cambria"/>
      <w:b/>
      <w:bCs/>
      <w:color w:val="365F91"/>
      <w:sz w:val="28"/>
      <w:szCs w:val="28"/>
      <w:lang w:val="en-US"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025F"/>
    <w:rPr>
      <w:rFonts w:ascii="Cambria" w:hAnsi="Cambria" w:cs="Times New Roman"/>
      <w:b/>
      <w:bCs/>
      <w:color w:val="365F91"/>
      <w:sz w:val="28"/>
      <w:szCs w:val="28"/>
      <w:lang w:val="en-US" w:eastAsia="ja-JP"/>
    </w:rPr>
  </w:style>
  <w:style w:type="paragraph" w:customStyle="1" w:styleId="Default">
    <w:name w:val="Default"/>
    <w:uiPriority w:val="99"/>
    <w:rsid w:val="00126167"/>
    <w:pPr>
      <w:autoSpaceDE w:val="0"/>
      <w:autoSpaceDN w:val="0"/>
      <w:adjustRightInd w:val="0"/>
    </w:pPr>
    <w:rPr>
      <w:rFonts w:ascii="HelveticaNeueLT Std Med" w:hAnsi="HelveticaNeueLT Std Med" w:cs="HelveticaNeueLT Std Med"/>
      <w:color w:val="000000"/>
      <w:sz w:val="24"/>
      <w:szCs w:val="24"/>
      <w:lang w:val="et-EE"/>
    </w:rPr>
  </w:style>
  <w:style w:type="paragraph" w:customStyle="1" w:styleId="Pa10">
    <w:name w:val="Pa10"/>
    <w:basedOn w:val="Default"/>
    <w:next w:val="Default"/>
    <w:uiPriority w:val="99"/>
    <w:rsid w:val="00126167"/>
    <w:pPr>
      <w:spacing w:line="211" w:lineRule="atLeast"/>
    </w:pPr>
    <w:rPr>
      <w:rFonts w:cs="Times New Roman"/>
      <w:color w:val="auto"/>
    </w:rPr>
  </w:style>
  <w:style w:type="paragraph" w:styleId="FootnoteText">
    <w:name w:val="footnote text"/>
    <w:basedOn w:val="Normal"/>
    <w:link w:val="FootnoteTextChar"/>
    <w:uiPriority w:val="99"/>
    <w:semiHidden/>
    <w:rsid w:val="00DF0EC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DF0EC5"/>
    <w:rPr>
      <w:rFonts w:cs="Times New Roman"/>
      <w:sz w:val="20"/>
      <w:szCs w:val="20"/>
    </w:rPr>
  </w:style>
  <w:style w:type="character" w:styleId="FootnoteReference">
    <w:name w:val="footnote reference"/>
    <w:basedOn w:val="DefaultParagraphFont"/>
    <w:uiPriority w:val="99"/>
    <w:semiHidden/>
    <w:rsid w:val="00DF0EC5"/>
    <w:rPr>
      <w:rFonts w:cs="Times New Roman"/>
      <w:vertAlign w:val="superscript"/>
    </w:rPr>
  </w:style>
  <w:style w:type="paragraph" w:styleId="BalloonText">
    <w:name w:val="Balloon Text"/>
    <w:basedOn w:val="Normal"/>
    <w:link w:val="BalloonTextChar"/>
    <w:uiPriority w:val="99"/>
    <w:semiHidden/>
    <w:rsid w:val="00DF0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0EC5"/>
    <w:rPr>
      <w:rFonts w:ascii="Tahoma" w:hAnsi="Tahoma" w:cs="Tahoma"/>
      <w:sz w:val="16"/>
      <w:szCs w:val="16"/>
    </w:rPr>
  </w:style>
  <w:style w:type="paragraph" w:styleId="Bibliography">
    <w:name w:val="Bibliography"/>
    <w:basedOn w:val="Normal"/>
    <w:next w:val="Normal"/>
    <w:uiPriority w:val="99"/>
    <w:rsid w:val="006B025F"/>
  </w:style>
  <w:style w:type="paragraph" w:styleId="Footer">
    <w:name w:val="footer"/>
    <w:basedOn w:val="Normal"/>
    <w:link w:val="FooterChar"/>
    <w:uiPriority w:val="99"/>
    <w:rsid w:val="00A061A4"/>
    <w:pPr>
      <w:tabs>
        <w:tab w:val="center" w:pos="4703"/>
        <w:tab w:val="right" w:pos="9406"/>
      </w:tabs>
    </w:pPr>
  </w:style>
  <w:style w:type="character" w:customStyle="1" w:styleId="FooterChar">
    <w:name w:val="Footer Char"/>
    <w:basedOn w:val="DefaultParagraphFont"/>
    <w:link w:val="Footer"/>
    <w:uiPriority w:val="99"/>
    <w:semiHidden/>
    <w:rsid w:val="00031C69"/>
    <w:rPr>
      <w:lang w:val="et-EE"/>
    </w:rPr>
  </w:style>
  <w:style w:type="character" w:styleId="PageNumber">
    <w:name w:val="page number"/>
    <w:basedOn w:val="DefaultParagraphFont"/>
    <w:uiPriority w:val="99"/>
    <w:rsid w:val="00A061A4"/>
    <w:rPr>
      <w:rFonts w:cs="Times New Roman"/>
    </w:rPr>
  </w:style>
  <w:style w:type="table" w:styleId="TableGrid">
    <w:name w:val="Table Grid"/>
    <w:basedOn w:val="TableNormal"/>
    <w:uiPriority w:val="99"/>
    <w:locked/>
    <w:rsid w:val="00CD61D7"/>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9">
    <w:name w:val="P9"/>
    <w:basedOn w:val="Normal"/>
    <w:hidden/>
    <w:uiPriority w:val="99"/>
    <w:rsid w:val="00CD61D7"/>
    <w:pPr>
      <w:widowControl w:val="0"/>
      <w:adjustRightInd w:val="0"/>
      <w:spacing w:after="0" w:line="240" w:lineRule="auto"/>
      <w:jc w:val="center"/>
    </w:pPr>
    <w:rPr>
      <w:rFonts w:ascii="Arial1" w:eastAsia="Times New Roman" w:hAnsi="Arial1" w:cs="Arial1"/>
      <w:b/>
      <w:sz w:val="24"/>
      <w:szCs w:val="20"/>
      <w:lang w:val="en-US"/>
    </w:rPr>
  </w:style>
  <w:style w:type="paragraph" w:customStyle="1" w:styleId="P44">
    <w:name w:val="P44"/>
    <w:basedOn w:val="Normal"/>
    <w:hidden/>
    <w:uiPriority w:val="99"/>
    <w:rsid w:val="00CD61D7"/>
    <w:pPr>
      <w:widowControl w:val="0"/>
      <w:adjustRightInd w:val="0"/>
      <w:spacing w:after="0" w:line="240" w:lineRule="auto"/>
    </w:pPr>
    <w:rPr>
      <w:rFonts w:ascii="Arial1" w:eastAsia="Times New Roman" w:hAnsi="Arial1" w:cs="Arial1"/>
      <w:b/>
      <w:sz w:val="24"/>
      <w:szCs w:val="20"/>
      <w:lang w:val="en-US"/>
    </w:rPr>
  </w:style>
  <w:style w:type="paragraph" w:customStyle="1" w:styleId="Pa50">
    <w:name w:val="Pa50"/>
    <w:basedOn w:val="Default"/>
    <w:next w:val="Default"/>
    <w:uiPriority w:val="99"/>
    <w:rsid w:val="003F7655"/>
    <w:pPr>
      <w:spacing w:line="191" w:lineRule="atLeast"/>
    </w:pPr>
    <w:rPr>
      <w:rFonts w:ascii="HelveticaNeueLT Std Lt Cn" w:hAnsi="HelveticaNeueLT Std Lt Cn" w:cs="Times New Roman"/>
      <w:color w:val="auto"/>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1141</Words>
  <Characters>6507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 patsiendi ravimotivatsiooni hindamine preoperatiivselt mõjutab ravitulemusi või mitte</dc:title>
  <dc:subject/>
  <dc:creator>Edgar</dc:creator>
  <cp:keywords/>
  <dc:description/>
  <cp:lastModifiedBy>KL</cp:lastModifiedBy>
  <cp:revision>2</cp:revision>
  <dcterms:created xsi:type="dcterms:W3CDTF">2014-07-31T03:19:00Z</dcterms:created>
  <dcterms:modified xsi:type="dcterms:W3CDTF">2014-07-31T03:19:00Z</dcterms:modified>
</cp:coreProperties>
</file>