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AC" w:rsidRDefault="006A3BAC" w:rsidP="003276D8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spellStart"/>
      <w:proofErr w:type="gramStart"/>
      <w:r w:rsidRPr="00BB7799">
        <w:rPr>
          <w:rFonts w:ascii="Times-Roman" w:hAnsi="Times-Roman" w:cs="Times-Roman"/>
          <w:b/>
        </w:rPr>
        <w:t>Kliiniline</w:t>
      </w:r>
      <w:proofErr w:type="spellEnd"/>
      <w:r w:rsidRPr="00BB7799">
        <w:rPr>
          <w:rFonts w:ascii="Times-Roman" w:hAnsi="Times-Roman" w:cs="Times-Roman"/>
          <w:b/>
        </w:rPr>
        <w:t xml:space="preserve"> </w:t>
      </w:r>
      <w:proofErr w:type="spellStart"/>
      <w:r w:rsidRPr="00BB7799">
        <w:rPr>
          <w:rFonts w:ascii="Times-Roman" w:hAnsi="Times-Roman" w:cs="Times-Roman"/>
          <w:b/>
        </w:rPr>
        <w:t>küsimus</w:t>
      </w:r>
      <w:proofErr w:type="spellEnd"/>
      <w:r>
        <w:rPr>
          <w:rFonts w:ascii="Times-Roman" w:hAnsi="Times-Roman" w:cs="Times-Roman"/>
          <w:b/>
        </w:rPr>
        <w:t xml:space="preserve"> nr.</w:t>
      </w:r>
      <w:bookmarkStart w:id="0" w:name="_GoBack"/>
      <w:bookmarkEnd w:id="0"/>
      <w:proofErr w:type="gramEnd"/>
      <w:r>
        <w:rPr>
          <w:rFonts w:ascii="Times-Roman" w:hAnsi="Times-Roman" w:cs="Times-Roman"/>
          <w:b/>
        </w:rPr>
        <w:t xml:space="preserve"> 5</w:t>
      </w:r>
      <w:r w:rsidRPr="00BB7799">
        <w:rPr>
          <w:rFonts w:ascii="Times-Roman" w:hAnsi="Times-Roman" w:cs="Times-Roman"/>
          <w:b/>
        </w:rPr>
        <w:t>:</w:t>
      </w:r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enne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kirurgilist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proofErr w:type="gramStart"/>
      <w:r>
        <w:rPr>
          <w:rFonts w:ascii="Times-Roman" w:hAnsi="Times-Roman" w:cs="Times-Roman"/>
        </w:rPr>
        <w:t>ravi</w:t>
      </w:r>
      <w:proofErr w:type="spellEnd"/>
      <w:proofErr w:type="gram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kasutada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patsiendi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psüühilise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seisundi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hindamise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meetodeid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vs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mitte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kasutada</w:t>
      </w:r>
      <w:proofErr w:type="spellEnd"/>
      <w:r>
        <w:rPr>
          <w:rFonts w:ascii="Times-Roman" w:hAnsi="Times-Roman" w:cs="Times-Roman"/>
        </w:rPr>
        <w:t xml:space="preserve">, et </w:t>
      </w:r>
      <w:proofErr w:type="spellStart"/>
      <w:r>
        <w:rPr>
          <w:rFonts w:ascii="Times-Roman" w:hAnsi="Times-Roman" w:cs="Times-Roman"/>
        </w:rPr>
        <w:t>sõeluda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välja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kirurgiliseks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raviks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mittesobivad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patsiendid</w:t>
      </w:r>
      <w:proofErr w:type="spellEnd"/>
      <w:r>
        <w:rPr>
          <w:rFonts w:ascii="Times-Roman" w:hAnsi="Times-Roman" w:cs="Times-Roman"/>
        </w:rPr>
        <w:t xml:space="preserve">? </w:t>
      </w:r>
    </w:p>
    <w:p w:rsidR="006A3BAC" w:rsidRDefault="006A3BAC" w:rsidP="003276D8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proofErr w:type="spellStart"/>
      <w:r>
        <w:rPr>
          <w:rFonts w:ascii="Times-Bold" w:hAnsi="Times-Bold" w:cs="Times-Bold"/>
          <w:b/>
          <w:bCs/>
        </w:rPr>
        <w:t>Tulemusnäitajad</w:t>
      </w:r>
      <w:proofErr w:type="spellEnd"/>
      <w:r>
        <w:rPr>
          <w:rFonts w:ascii="Times-Bold" w:hAnsi="Times-Bold" w:cs="Times-Bold"/>
          <w:b/>
          <w:bCs/>
        </w:rPr>
        <w:t xml:space="preserve">: </w:t>
      </w:r>
      <w:proofErr w:type="spellStart"/>
      <w:r>
        <w:rPr>
          <w:rFonts w:ascii="Times-Italic" w:hAnsi="Times-Italic" w:cs="Times-Italic"/>
          <w:i/>
          <w:iCs/>
        </w:rPr>
        <w:t>Liigse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kehakaalu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proofErr w:type="gramStart"/>
      <w:r>
        <w:rPr>
          <w:rFonts w:ascii="Times-Italic" w:hAnsi="Times-Italic" w:cs="Times-Italic"/>
          <w:i/>
          <w:iCs/>
        </w:rPr>
        <w:t>ja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KMI </w:t>
      </w:r>
      <w:proofErr w:type="spellStart"/>
      <w:r>
        <w:rPr>
          <w:rFonts w:ascii="Times-Italic" w:hAnsi="Times-Italic" w:cs="Times-Italic"/>
          <w:i/>
          <w:iCs/>
        </w:rPr>
        <w:t>langus</w:t>
      </w:r>
      <w:proofErr w:type="spellEnd"/>
      <w:r>
        <w:rPr>
          <w:rFonts w:ascii="Times-Italic" w:hAnsi="Times-Italic" w:cs="Times-Italic"/>
          <w:i/>
          <w:iCs/>
        </w:rPr>
        <w:t xml:space="preserve"> 5 </w:t>
      </w:r>
      <w:proofErr w:type="spellStart"/>
      <w:r>
        <w:rPr>
          <w:rFonts w:ascii="Times-Italic" w:hAnsi="Times-Italic" w:cs="Times-Italic"/>
          <w:i/>
          <w:iCs/>
        </w:rPr>
        <w:t>ja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enam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aastat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pärast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bariaatrilist</w:t>
      </w:r>
      <w:proofErr w:type="spellEnd"/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proofErr w:type="spellStart"/>
      <w:proofErr w:type="gramStart"/>
      <w:r>
        <w:rPr>
          <w:rFonts w:ascii="Times-Italic" w:hAnsi="Times-Italic" w:cs="Times-Italic"/>
          <w:i/>
          <w:iCs/>
        </w:rPr>
        <w:t>operatsiooni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(excess weight loss), </w:t>
      </w:r>
      <w:proofErr w:type="spellStart"/>
      <w:r>
        <w:rPr>
          <w:rFonts w:ascii="Times-Italic" w:hAnsi="Times-Italic" w:cs="Times-Italic"/>
          <w:i/>
          <w:iCs/>
        </w:rPr>
        <w:t>patsiendi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rahulolu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raviga</w:t>
      </w:r>
      <w:proofErr w:type="spellEnd"/>
      <w:r>
        <w:rPr>
          <w:rFonts w:ascii="Times-Italic" w:hAnsi="Times-Italic" w:cs="Times-Italic"/>
          <w:i/>
          <w:iCs/>
        </w:rPr>
        <w:t>/</w:t>
      </w:r>
      <w:proofErr w:type="spellStart"/>
      <w:r>
        <w:rPr>
          <w:rFonts w:ascii="Times-Italic" w:hAnsi="Times-Italic" w:cs="Times-Italic"/>
          <w:i/>
          <w:iCs/>
        </w:rPr>
        <w:t>tulemusega</w:t>
      </w:r>
      <w:proofErr w:type="spellEnd"/>
      <w:r>
        <w:rPr>
          <w:rFonts w:ascii="Times-Italic" w:hAnsi="Times-Italic" w:cs="Times-Italic"/>
          <w:i/>
          <w:iCs/>
        </w:rPr>
        <w:t xml:space="preserve">, </w:t>
      </w:r>
      <w:proofErr w:type="spellStart"/>
      <w:r>
        <w:rPr>
          <w:rFonts w:ascii="Times-Italic" w:hAnsi="Times-Italic" w:cs="Times-Italic"/>
          <w:i/>
          <w:iCs/>
        </w:rPr>
        <w:t>kvaliteetselt</w:t>
      </w:r>
      <w:proofErr w:type="spellEnd"/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proofErr w:type="spellStart"/>
      <w:proofErr w:type="gramStart"/>
      <w:r>
        <w:rPr>
          <w:rFonts w:ascii="Times-Italic" w:hAnsi="Times-Italic" w:cs="Times-Italic"/>
          <w:i/>
          <w:iCs/>
        </w:rPr>
        <w:t>elatud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eluaastate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lisandumine</w:t>
      </w:r>
      <w:proofErr w:type="spellEnd"/>
      <w:r>
        <w:rPr>
          <w:rFonts w:ascii="Times-Italic" w:hAnsi="Times-Italic" w:cs="Times-Italic"/>
          <w:i/>
          <w:iCs/>
        </w:rPr>
        <w:t xml:space="preserve"> (QALY), </w:t>
      </w:r>
      <w:proofErr w:type="spellStart"/>
      <w:r>
        <w:rPr>
          <w:rFonts w:ascii="Times-Italic" w:hAnsi="Times-Italic" w:cs="Times-Italic"/>
          <w:i/>
          <w:iCs/>
        </w:rPr>
        <w:t>hilisemate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kirurgiliste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ja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mittekirurgiliste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tüsistuste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esinemissagedus</w:t>
      </w:r>
      <w:proofErr w:type="spellEnd"/>
      <w:r>
        <w:rPr>
          <w:rFonts w:ascii="Times-Italic" w:hAnsi="Times-Italic" w:cs="Times-Italic"/>
          <w:i/>
          <w:iCs/>
        </w:rPr>
        <w:t>.</w:t>
      </w:r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:rsidR="006A3BAC" w:rsidRPr="005D792F" w:rsidRDefault="006A3BAC" w:rsidP="003276D8">
      <w:pPr>
        <w:pBdr>
          <w:bottom w:val="single" w:sz="18" w:space="4" w:color="E5E5E5"/>
        </w:pBdr>
        <w:spacing w:after="300"/>
        <w:rPr>
          <w:b/>
        </w:rPr>
      </w:pPr>
      <w:proofErr w:type="spellStart"/>
      <w:r w:rsidRPr="005D792F">
        <w:rPr>
          <w:b/>
          <w:lang w:eastAsia="et-EE"/>
        </w:rPr>
        <w:t>Kokkuvõte</w:t>
      </w:r>
      <w:proofErr w:type="spellEnd"/>
      <w:r w:rsidRPr="005D792F">
        <w:rPr>
          <w:b/>
          <w:lang w:eastAsia="et-EE"/>
        </w:rPr>
        <w:t>:</w:t>
      </w:r>
      <w:r w:rsidRPr="005D792F">
        <w:rPr>
          <w:b/>
        </w:rPr>
        <w:t xml:space="preserve"> </w:t>
      </w:r>
    </w:p>
    <w:p w:rsidR="006A3BAC" w:rsidRPr="00D23C41" w:rsidRDefault="006A3BAC" w:rsidP="003276D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et-EE"/>
        </w:rPr>
      </w:pPr>
      <w:proofErr w:type="spellStart"/>
      <w:r w:rsidRPr="009272BF">
        <w:t>Kõik</w:t>
      </w:r>
      <w:proofErr w:type="spellEnd"/>
      <w:r w:rsidRPr="009272BF">
        <w:t xml:space="preserve"> </w:t>
      </w:r>
      <w:proofErr w:type="spellStart"/>
      <w:r>
        <w:t>rahvusvahelised</w:t>
      </w:r>
      <w:proofErr w:type="spellEnd"/>
      <w:r>
        <w:t xml:space="preserve"> </w:t>
      </w:r>
      <w:proofErr w:type="spellStart"/>
      <w:r w:rsidRPr="009272BF">
        <w:t>ravijuhised</w:t>
      </w:r>
      <w:proofErr w:type="spellEnd"/>
      <w:r w:rsidRPr="00BB7799">
        <w:t xml:space="preserve"> (USA, SIGN, NICE</w:t>
      </w:r>
      <w:r>
        <w:t>, AUS</w:t>
      </w:r>
      <w:r w:rsidRPr="00BB7799">
        <w:t xml:space="preserve">) </w:t>
      </w:r>
      <w:proofErr w:type="spellStart"/>
      <w:r w:rsidRPr="009272BF">
        <w:t>s</w:t>
      </w:r>
      <w:r>
        <w:t>oovitavad</w:t>
      </w:r>
      <w:proofErr w:type="spellEnd"/>
      <w:r>
        <w:t xml:space="preserve"> </w:t>
      </w:r>
      <w:proofErr w:type="spellStart"/>
      <w:r>
        <w:t>kasutada</w:t>
      </w:r>
      <w:proofErr w:type="spellEnd"/>
      <w:r w:rsidRPr="009272BF">
        <w:t xml:space="preserve"> </w:t>
      </w:r>
      <w:proofErr w:type="spellStart"/>
      <w:r w:rsidRPr="009272BF">
        <w:t>psühholoogilist</w:t>
      </w:r>
      <w:proofErr w:type="spellEnd"/>
      <w:r w:rsidRPr="009272BF">
        <w:t xml:space="preserve"> </w:t>
      </w:r>
      <w:proofErr w:type="spellStart"/>
      <w:r w:rsidRPr="009272BF">
        <w:t>hindamist</w:t>
      </w:r>
      <w:proofErr w:type="spellEnd"/>
      <w:r>
        <w:t>, mille</w:t>
      </w:r>
      <w:r w:rsidRPr="009272BF">
        <w:t xml:space="preserve"> </w:t>
      </w:r>
      <w:proofErr w:type="spellStart"/>
      <w:r w:rsidRPr="009272BF">
        <w:t>käigus</w:t>
      </w:r>
      <w:proofErr w:type="spellEnd"/>
      <w:r w:rsidRPr="009272BF">
        <w:t xml:space="preserve"> peaks </w:t>
      </w:r>
      <w:proofErr w:type="spellStart"/>
      <w:r w:rsidRPr="009272BF">
        <w:t>välja</w:t>
      </w:r>
      <w:proofErr w:type="spellEnd"/>
      <w:r w:rsidRPr="009272BF">
        <w:t xml:space="preserve"> </w:t>
      </w:r>
      <w:proofErr w:type="spellStart"/>
      <w:r w:rsidRPr="009272BF">
        <w:t>sõeluma</w:t>
      </w:r>
      <w:proofErr w:type="spellEnd"/>
      <w:r w:rsidRPr="009272BF">
        <w:t xml:space="preserve"> </w:t>
      </w:r>
      <w:proofErr w:type="spellStart"/>
      <w:r>
        <w:t>psühhiaatrilised</w:t>
      </w:r>
      <w:proofErr w:type="spellEnd"/>
      <w:r>
        <w:t xml:space="preserve"> </w:t>
      </w:r>
      <w:proofErr w:type="spellStart"/>
      <w:r w:rsidRPr="009272BF">
        <w:t>patsiendid</w:t>
      </w:r>
      <w:proofErr w:type="spellEnd"/>
      <w:r w:rsidRPr="009272BF">
        <w:t xml:space="preserve">, </w:t>
      </w:r>
      <w:proofErr w:type="spellStart"/>
      <w:r w:rsidRPr="009272BF">
        <w:t>k</w:t>
      </w:r>
      <w:r>
        <w:t>ellele</w:t>
      </w:r>
      <w:proofErr w:type="spellEnd"/>
      <w:r>
        <w:t xml:space="preserve"> </w:t>
      </w:r>
      <w:proofErr w:type="spellStart"/>
      <w:r>
        <w:t>kirurgiline</w:t>
      </w:r>
      <w:proofErr w:type="spellEnd"/>
      <w:r>
        <w:t xml:space="preserve"> </w:t>
      </w:r>
      <w:proofErr w:type="spellStart"/>
      <w:r>
        <w:t>sekkumine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vastunäidustatud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Pr="009272BF">
        <w:t>määratlema</w:t>
      </w:r>
      <w:proofErr w:type="spellEnd"/>
      <w:r w:rsidRPr="009272BF">
        <w:t xml:space="preserve"> </w:t>
      </w:r>
      <w:r>
        <w:t xml:space="preserve">ka </w:t>
      </w:r>
      <w:proofErr w:type="spellStart"/>
      <w:r w:rsidRPr="009272BF">
        <w:t>psühhosotsiaalsed</w:t>
      </w:r>
      <w:proofErr w:type="spellEnd"/>
      <w:r w:rsidRPr="009272BF">
        <w:t xml:space="preserve"> </w:t>
      </w:r>
      <w:proofErr w:type="spellStart"/>
      <w:r w:rsidRPr="009272BF">
        <w:t>tegurid</w:t>
      </w:r>
      <w:proofErr w:type="spellEnd"/>
      <w:r>
        <w:t xml:space="preserve"> (</w:t>
      </w:r>
      <w:proofErr w:type="spellStart"/>
      <w:r w:rsidRPr="009272BF">
        <w:t>psühhosotsiaalne</w:t>
      </w:r>
      <w:proofErr w:type="spellEnd"/>
      <w:r w:rsidRPr="009272BF">
        <w:t xml:space="preserve"> </w:t>
      </w:r>
      <w:r>
        <w:t>distress;</w:t>
      </w:r>
      <w:r w:rsidRPr="009272BF">
        <w:t xml:space="preserve"> </w:t>
      </w:r>
      <w:proofErr w:type="spellStart"/>
      <w:r w:rsidRPr="009272BF">
        <w:t>keskkondlikud</w:t>
      </w:r>
      <w:proofErr w:type="spellEnd"/>
      <w:r w:rsidRPr="009272BF">
        <w:t xml:space="preserve">, </w:t>
      </w:r>
      <w:proofErr w:type="spellStart"/>
      <w:r w:rsidRPr="009272BF">
        <w:t>sotsiaalsed</w:t>
      </w:r>
      <w:proofErr w:type="spellEnd"/>
      <w:r w:rsidRPr="009272BF">
        <w:t xml:space="preserve"> </w:t>
      </w:r>
      <w:proofErr w:type="spellStart"/>
      <w:proofErr w:type="gramStart"/>
      <w:r w:rsidRPr="009272BF">
        <w:t>ja</w:t>
      </w:r>
      <w:proofErr w:type="spellEnd"/>
      <w:proofErr w:type="gramEnd"/>
      <w:r w:rsidRPr="009272BF">
        <w:t xml:space="preserve"> </w:t>
      </w:r>
      <w:proofErr w:type="spellStart"/>
      <w:r w:rsidRPr="009272BF">
        <w:t>pere</w:t>
      </w:r>
      <w:r>
        <w:t>kondlikud</w:t>
      </w:r>
      <w:proofErr w:type="spellEnd"/>
      <w:r>
        <w:t xml:space="preserve"> </w:t>
      </w:r>
      <w:proofErr w:type="spellStart"/>
      <w:r>
        <w:t>faktorid</w:t>
      </w:r>
      <w:proofErr w:type="spellEnd"/>
      <w:r>
        <w:t>)</w:t>
      </w:r>
      <w:r w:rsidRPr="009272BF">
        <w:t xml:space="preserve">, </w:t>
      </w:r>
      <w:proofErr w:type="spellStart"/>
      <w:r w:rsidRPr="009272BF">
        <w:t>mi</w:t>
      </w:r>
      <w:r>
        <w:t>s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ravitulemusi</w:t>
      </w:r>
      <w:proofErr w:type="spellEnd"/>
      <w:r>
        <w:t xml:space="preserve"> </w:t>
      </w:r>
      <w:proofErr w:type="spellStart"/>
      <w:r>
        <w:t>ohustada</w:t>
      </w:r>
      <w:proofErr w:type="spellEnd"/>
      <w:r>
        <w:t>.</w:t>
      </w:r>
      <w:r w:rsidRPr="003B516E">
        <w:rPr>
          <w:color w:val="000000"/>
        </w:rPr>
        <w:t xml:space="preserve"> </w:t>
      </w:r>
      <w:proofErr w:type="spellStart"/>
      <w:r w:rsidRPr="009272BF">
        <w:rPr>
          <w:color w:val="000000"/>
        </w:rPr>
        <w:t>Häirunud</w:t>
      </w:r>
      <w:proofErr w:type="spellEnd"/>
      <w:r w:rsidRPr="009272BF">
        <w:rPr>
          <w:color w:val="000000"/>
        </w:rPr>
        <w:t xml:space="preserve"> </w:t>
      </w:r>
      <w:proofErr w:type="spellStart"/>
      <w:r w:rsidRPr="009272BF">
        <w:rPr>
          <w:color w:val="000000"/>
        </w:rPr>
        <w:t>söömiskäitumine</w:t>
      </w:r>
      <w:proofErr w:type="spellEnd"/>
      <w:r w:rsidRPr="009272BF">
        <w:rPr>
          <w:color w:val="000000"/>
        </w:rPr>
        <w:t xml:space="preserve">, </w:t>
      </w:r>
      <w:proofErr w:type="spellStart"/>
      <w:r>
        <w:rPr>
          <w:color w:val="000000"/>
        </w:rPr>
        <w:t>ülesöömistüüpi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söömi</w:t>
      </w:r>
      <w:r w:rsidRPr="009272BF">
        <w:rPr>
          <w:color w:val="000000"/>
        </w:rPr>
        <w:t>shäire</w:t>
      </w:r>
      <w:r>
        <w:rPr>
          <w:color w:val="000000"/>
        </w:rPr>
        <w:t>d</w:t>
      </w:r>
      <w:proofErr w:type="spellEnd"/>
      <w:r>
        <w:rPr>
          <w:color w:val="000000"/>
        </w:rPr>
        <w:t xml:space="preserve"> (</w:t>
      </w:r>
      <w:r w:rsidRPr="00F87669">
        <w:rPr>
          <w:i/>
          <w:color w:val="000000"/>
        </w:rPr>
        <w:t>bulimia nervosa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liigsöömishäire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depressioon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ja</w:t>
      </w:r>
      <w:proofErr w:type="spellEnd"/>
      <w:proofErr w:type="gramEnd"/>
      <w:r w:rsidRPr="009272BF">
        <w:rPr>
          <w:color w:val="000000"/>
        </w:rPr>
        <w:t xml:space="preserve"> </w:t>
      </w:r>
      <w:proofErr w:type="spellStart"/>
      <w:r w:rsidRPr="009272BF">
        <w:rPr>
          <w:color w:val="000000"/>
        </w:rPr>
        <w:t>psühhoaktiivsete</w:t>
      </w:r>
      <w:proofErr w:type="spellEnd"/>
      <w:r w:rsidRPr="009272BF">
        <w:rPr>
          <w:color w:val="000000"/>
        </w:rPr>
        <w:t xml:space="preserve"> </w:t>
      </w:r>
      <w:proofErr w:type="spellStart"/>
      <w:r w:rsidRPr="009272BF">
        <w:rPr>
          <w:color w:val="000000"/>
        </w:rPr>
        <w:t>ainete</w:t>
      </w:r>
      <w:proofErr w:type="spellEnd"/>
      <w:r w:rsidRPr="009272BF">
        <w:rPr>
          <w:color w:val="000000"/>
        </w:rPr>
        <w:t xml:space="preserve"> </w:t>
      </w:r>
      <w:proofErr w:type="spellStart"/>
      <w:r w:rsidRPr="009272BF">
        <w:rPr>
          <w:color w:val="000000"/>
        </w:rPr>
        <w:t>kuritarvitamine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vastunäidustused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kirurgiliseks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sekkumiseks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alustada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preoperatiivselt</w:t>
      </w:r>
      <w:proofErr w:type="spellEnd"/>
      <w:r>
        <w:rPr>
          <w:color w:val="000000"/>
        </w:rPr>
        <w:t xml:space="preserve">. </w:t>
      </w:r>
      <w:r>
        <w:rPr>
          <w:lang w:val="et-EE"/>
        </w:rPr>
        <w:t>Psühhootilised</w:t>
      </w:r>
      <w:r w:rsidRPr="00244695">
        <w:rPr>
          <w:lang w:val="et-EE"/>
        </w:rPr>
        <w:t xml:space="preserve"> häired, raske depressioon, isiksus- ja söömishäired, alkoholi kuritarvitamine ja sõltuvus psüh</w:t>
      </w:r>
      <w:r>
        <w:rPr>
          <w:lang w:val="et-EE"/>
        </w:rPr>
        <w:t xml:space="preserve">hoaktiivsetest ainetest mõjutavad operatsioonijärgset ravisoostumust. Eelkõige </w:t>
      </w:r>
      <w:proofErr w:type="spellStart"/>
      <w:r>
        <w:rPr>
          <w:color w:val="000000"/>
        </w:rPr>
        <w:t>söömishäired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komplitseerivad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ravitulemust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peamiselt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-Italic" w:hAnsi="Times-Italic" w:cs="Times-Italic"/>
          <w:iCs/>
        </w:rPr>
        <w:t>l</w:t>
      </w:r>
      <w:r w:rsidRPr="00D23C41">
        <w:rPr>
          <w:rFonts w:ascii="Times-Italic" w:hAnsi="Times-Italic" w:cs="Times-Italic"/>
          <w:iCs/>
        </w:rPr>
        <w:t>iigse</w:t>
      </w:r>
      <w:proofErr w:type="spellEnd"/>
      <w:r w:rsidRPr="00D23C41">
        <w:rPr>
          <w:rFonts w:ascii="Times-Italic" w:hAnsi="Times-Italic" w:cs="Times-Italic"/>
          <w:iCs/>
        </w:rPr>
        <w:t xml:space="preserve"> </w:t>
      </w:r>
      <w:proofErr w:type="spellStart"/>
      <w:r w:rsidRPr="00D23C41">
        <w:rPr>
          <w:rFonts w:ascii="Times-Italic" w:hAnsi="Times-Italic" w:cs="Times-Italic"/>
          <w:iCs/>
        </w:rPr>
        <w:t>kehakaalu</w:t>
      </w:r>
      <w:proofErr w:type="spellEnd"/>
      <w:r w:rsidRPr="00D23C41">
        <w:rPr>
          <w:rFonts w:ascii="Times-Italic" w:hAnsi="Times-Italic" w:cs="Times-Italic"/>
          <w:iCs/>
        </w:rPr>
        <w:t xml:space="preserve"> </w:t>
      </w:r>
      <w:proofErr w:type="spellStart"/>
      <w:r w:rsidRPr="00D23C41">
        <w:rPr>
          <w:rFonts w:ascii="Times-Italic" w:hAnsi="Times-Italic" w:cs="Times-Italic"/>
          <w:iCs/>
        </w:rPr>
        <w:t>ja</w:t>
      </w:r>
      <w:proofErr w:type="spellEnd"/>
      <w:r w:rsidRPr="00D23C41">
        <w:rPr>
          <w:rFonts w:ascii="Times-Italic" w:hAnsi="Times-Italic" w:cs="Times-Italic"/>
          <w:iCs/>
        </w:rPr>
        <w:t xml:space="preserve"> KMI </w:t>
      </w:r>
      <w:proofErr w:type="spellStart"/>
      <w:r w:rsidRPr="00D23C41">
        <w:rPr>
          <w:rFonts w:ascii="Times-Italic" w:hAnsi="Times-Italic" w:cs="Times-Italic"/>
          <w:iCs/>
        </w:rPr>
        <w:t>langus</w:t>
      </w:r>
      <w:r>
        <w:rPr>
          <w:rFonts w:ascii="Times-Italic" w:hAnsi="Times-Italic" w:cs="Times-Italic"/>
          <w:iCs/>
        </w:rPr>
        <w:t>t</w:t>
      </w:r>
      <w:proofErr w:type="spellEnd"/>
      <w:r>
        <w:rPr>
          <w:rFonts w:ascii="Times-Italic" w:hAnsi="Times-Italic" w:cs="Times-Italic"/>
          <w:iCs/>
        </w:rPr>
        <w:t>.</w:t>
      </w:r>
    </w:p>
    <w:p w:rsidR="006A3BAC" w:rsidRDefault="006A3BAC" w:rsidP="003276D8">
      <w:pPr>
        <w:pBdr>
          <w:bottom w:val="single" w:sz="18" w:space="4" w:color="E5E5E5"/>
        </w:pBdr>
        <w:spacing w:after="300"/>
      </w:pPr>
    </w:p>
    <w:p w:rsidR="006A3BAC" w:rsidRPr="009A564A" w:rsidRDefault="006A3BAC" w:rsidP="003276D8">
      <w:pPr>
        <w:pBdr>
          <w:bottom w:val="single" w:sz="18" w:space="4" w:color="E5E5E5"/>
        </w:pBdr>
        <w:spacing w:after="300"/>
        <w:rPr>
          <w:b/>
          <w:lang w:eastAsia="et-EE"/>
        </w:rPr>
      </w:pPr>
      <w:proofErr w:type="spellStart"/>
      <w:r w:rsidRPr="009A564A">
        <w:rPr>
          <w:b/>
          <w:lang w:eastAsia="et-EE"/>
        </w:rPr>
        <w:t>Soovitused</w:t>
      </w:r>
      <w:proofErr w:type="spellEnd"/>
      <w:r w:rsidRPr="009A564A">
        <w:rPr>
          <w:b/>
          <w:lang w:eastAsia="et-EE"/>
        </w:rPr>
        <w:t xml:space="preserve">: </w:t>
      </w:r>
    </w:p>
    <w:p w:rsidR="006A3BAC" w:rsidRDefault="006A3BAC" w:rsidP="003276D8">
      <w:pPr>
        <w:autoSpaceDE w:val="0"/>
        <w:autoSpaceDN w:val="0"/>
        <w:adjustRightInd w:val="0"/>
        <w:rPr>
          <w:color w:val="131413"/>
          <w:lang w:val="et-EE"/>
        </w:rPr>
      </w:pPr>
      <w:r>
        <w:rPr>
          <w:color w:val="131413"/>
          <w:lang w:val="et-EE"/>
        </w:rPr>
        <w:t>Psüühikahäireid (eelkõige psühhootilisi häireid, meeleolu-, ärevus- ja söömishäireid ning sõltuvust psühhoaktiivsetest ainetest) on soovitav operatsioonieelselt hinnata standardiseeritud ja valideeritud hindamisvahenditega ning nende mõju kirurgilise sekkumise eelselt ja pärast arvesse võtta.</w:t>
      </w:r>
    </w:p>
    <w:p w:rsidR="006A3BAC" w:rsidRPr="003276D8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</w:p>
    <w:p w:rsidR="006A3BAC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  <w:r w:rsidRPr="003276D8">
        <w:rPr>
          <w:b/>
          <w:color w:val="131413"/>
          <w:lang w:val="et-EE"/>
        </w:rPr>
        <w:t>Kokkuvõte tõendustest</w:t>
      </w:r>
      <w:r>
        <w:rPr>
          <w:b/>
          <w:color w:val="131413"/>
          <w:lang w:val="et-EE"/>
        </w:rPr>
        <w:t>:</w:t>
      </w:r>
    </w:p>
    <w:p w:rsidR="006A3BAC" w:rsidRPr="003276D8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:rsidR="006A3BAC" w:rsidRDefault="006A3BAC" w:rsidP="003276D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976"/>
      </w:tblGrid>
      <w:tr w:rsidR="006A3BAC" w:rsidTr="002A40AC">
        <w:tc>
          <w:tcPr>
            <w:tcW w:w="6204" w:type="dxa"/>
          </w:tcPr>
          <w:p w:rsidR="006A3BAC" w:rsidRPr="002A40AC" w:rsidRDefault="006A3BAC" w:rsidP="002A40A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2A40AC">
              <w:rPr>
                <w:b/>
                <w:sz w:val="22"/>
                <w:szCs w:val="22"/>
              </w:rPr>
              <w:t>Kokkuvõtted</w:t>
            </w:r>
            <w:proofErr w:type="spellEnd"/>
            <w:r w:rsidRPr="002A40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b/>
                <w:sz w:val="22"/>
                <w:szCs w:val="22"/>
              </w:rPr>
              <w:t>ülevaateartiklitest</w:t>
            </w:r>
            <w:proofErr w:type="spellEnd"/>
          </w:p>
        </w:tc>
        <w:tc>
          <w:tcPr>
            <w:tcW w:w="2976" w:type="dxa"/>
          </w:tcPr>
          <w:p w:rsidR="006A3BAC" w:rsidRPr="002A40AC" w:rsidRDefault="006A3BAC" w:rsidP="009774FE">
            <w:pPr>
              <w:rPr>
                <w:b/>
              </w:rPr>
            </w:pPr>
            <w:proofErr w:type="spellStart"/>
            <w:r w:rsidRPr="002A40AC">
              <w:rPr>
                <w:b/>
                <w:sz w:val="22"/>
                <w:szCs w:val="22"/>
              </w:rPr>
              <w:t>Viide</w:t>
            </w:r>
            <w:proofErr w:type="spellEnd"/>
          </w:p>
        </w:tc>
      </w:tr>
      <w:tr w:rsidR="006A3BAC" w:rsidTr="002A40AC">
        <w:tc>
          <w:tcPr>
            <w:tcW w:w="6204" w:type="dxa"/>
          </w:tcPr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131413"/>
                <w:lang w:val="et-EE"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>Söömishäired ei ole vastunäidustused operatsiooniks, aga võivad komplitseerida ravitulemust (liigse kehakaalu langus), ning sellest tuleks patsienti informeerida. (tõenduspõhisuse tase C).</w:t>
            </w:r>
          </w:p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131413"/>
                <w:lang w:val="et-EE"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>Öise söömise sündroom ja emotsionaalne söömine ei ole vastunäidustused operatsiooniks, aga võivad komplitseerida ravitulemust (tõenduspõhisuse tase D).</w:t>
            </w:r>
          </w:p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131413"/>
                <w:lang w:val="et-EE"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>Alkoholi või psühhoaktiivsete ainete kuritarvitamise ja sõltuvuse mõjust ravitulemusele ei ole piisavalt tõendeid, ent käesolev alkoholi või psühhoaktiivsete ainete kuritarvitamine ja sõltuvus võib komplitseerida ravitulemust (tõenduspõhisuse tase D).</w:t>
            </w:r>
          </w:p>
          <w:p w:rsidR="006A3BAC" w:rsidRPr="002A40AC" w:rsidRDefault="006A3BAC" w:rsidP="009774FE">
            <w:pPr>
              <w:rPr>
                <w:b/>
              </w:rPr>
            </w:pPr>
          </w:p>
        </w:tc>
        <w:tc>
          <w:tcPr>
            <w:tcW w:w="2976" w:type="dxa"/>
          </w:tcPr>
          <w:p w:rsidR="006A3BAC" w:rsidRPr="002A40AC" w:rsidRDefault="006A3BAC" w:rsidP="009774FE">
            <w:pPr>
              <w:rPr>
                <w:b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 xml:space="preserve">Greenberg, I., Sogg, S., &amp; Perna, F.M. (2009). Behavioral and Psychological Care in Weight Loss Surgery: Best Practice update. </w:t>
            </w:r>
            <w:r w:rsidRPr="002A40AC">
              <w:rPr>
                <w:i/>
                <w:color w:val="131413"/>
                <w:sz w:val="22"/>
                <w:szCs w:val="22"/>
                <w:lang w:val="et-EE"/>
              </w:rPr>
              <w:t>Obesity</w:t>
            </w:r>
            <w:r w:rsidRPr="002A40AC">
              <w:rPr>
                <w:color w:val="131413"/>
                <w:sz w:val="22"/>
                <w:szCs w:val="22"/>
                <w:lang w:val="et-EE"/>
              </w:rPr>
              <w:t xml:space="preserve"> 17, 880-884.</w:t>
            </w:r>
          </w:p>
        </w:tc>
      </w:tr>
      <w:tr w:rsidR="006A3BAC" w:rsidTr="002A40AC">
        <w:tc>
          <w:tcPr>
            <w:tcW w:w="6204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lang w:val="et-EE"/>
              </w:rPr>
            </w:pPr>
          </w:p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2A40AC">
              <w:rPr>
                <w:sz w:val="22"/>
                <w:szCs w:val="22"/>
                <w:lang w:val="et-EE"/>
              </w:rPr>
              <w:t>Psühhootilised häired, raske depressioon, isiksus- ja söömishäired, alkoholi kuritarvitamine ja sõltuvus psühhoaktiivsetest ainetest mõjutavad operatsioonijärgset ravisoostumust (</w:t>
            </w:r>
            <w:proofErr w:type="spellStart"/>
            <w:r w:rsidRPr="002A40AC">
              <w:rPr>
                <w:color w:val="000000"/>
                <w:sz w:val="22"/>
                <w:szCs w:val="22"/>
              </w:rPr>
              <w:t>tõenduspõhisuse</w:t>
            </w:r>
            <w:proofErr w:type="spellEnd"/>
            <w:r w:rsidRPr="002A40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color w:val="000000"/>
                <w:sz w:val="22"/>
                <w:szCs w:val="22"/>
              </w:rPr>
              <w:t>tase</w:t>
            </w:r>
            <w:proofErr w:type="spellEnd"/>
            <w:r w:rsidRPr="002A40AC">
              <w:rPr>
                <w:color w:val="000000"/>
                <w:sz w:val="22"/>
                <w:szCs w:val="22"/>
              </w:rPr>
              <w:t xml:space="preserve"> C).</w:t>
            </w:r>
          </w:p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2A40AC">
              <w:rPr>
                <w:sz w:val="22"/>
                <w:szCs w:val="22"/>
                <w:lang w:val="et-EE"/>
              </w:rPr>
              <w:t>Söömishäired seostuvad väiksema liigse kehakaalu languse ja hilisema kaalutõusuga (</w:t>
            </w:r>
            <w:proofErr w:type="spellStart"/>
            <w:r w:rsidRPr="002A40AC">
              <w:rPr>
                <w:color w:val="000000"/>
                <w:sz w:val="22"/>
                <w:szCs w:val="22"/>
              </w:rPr>
              <w:t>tõenduspõhisuse</w:t>
            </w:r>
            <w:proofErr w:type="spellEnd"/>
            <w:r w:rsidRPr="002A40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color w:val="000000"/>
                <w:sz w:val="22"/>
                <w:szCs w:val="22"/>
              </w:rPr>
              <w:t>tase</w:t>
            </w:r>
            <w:proofErr w:type="spellEnd"/>
            <w:r w:rsidRPr="002A40AC">
              <w:rPr>
                <w:color w:val="000000"/>
                <w:sz w:val="22"/>
                <w:szCs w:val="22"/>
              </w:rPr>
              <w:t xml:space="preserve"> C).</w:t>
            </w:r>
          </w:p>
          <w:p w:rsidR="006A3BAC" w:rsidRPr="002A40AC" w:rsidRDefault="006A3BAC" w:rsidP="002A40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2A40AC">
              <w:rPr>
                <w:sz w:val="22"/>
                <w:szCs w:val="22"/>
                <w:lang w:val="et-EE"/>
              </w:rPr>
              <w:t>Kahe või enama psühhiaatrilise häire esinemine vähendab liigse kehakaalu langust (tõenduspõhisus B).</w:t>
            </w:r>
          </w:p>
        </w:tc>
        <w:tc>
          <w:tcPr>
            <w:tcW w:w="2976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rFonts w:ascii="AdvTTb8864ccf.B" w:hAnsi="AdvTTb8864ccf.B" w:cs="AdvTTb8864ccf.B"/>
                <w:color w:val="131413"/>
                <w:lang w:val="et-EE"/>
              </w:rPr>
            </w:pP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rFonts w:ascii="AdvP0005" w:hAnsi="AdvP0005" w:cs="AdvP0005"/>
                <w:color w:val="131413"/>
                <w:lang w:val="et-EE"/>
              </w:rPr>
            </w:pPr>
            <w:r w:rsidRPr="002A40AC">
              <w:rPr>
                <w:rFonts w:ascii="AdvTTb8864ccf.B" w:hAnsi="AdvTTb8864ccf.B" w:cs="AdvTTb8864ccf.B"/>
                <w:color w:val="131413"/>
                <w:sz w:val="22"/>
                <w:szCs w:val="22"/>
                <w:lang w:val="et-EE"/>
              </w:rPr>
              <w:t xml:space="preserve">Fried, M., Yumuk, V., Oppert, J.M., Scopinaro, N </w:t>
            </w:r>
            <w:r w:rsidRPr="002A40AC">
              <w:rPr>
                <w:rFonts w:ascii="AdvP0005" w:hAnsi="AdvP0005" w:cs="AdvP0005"/>
                <w:color w:val="131413"/>
                <w:sz w:val="22"/>
                <w:szCs w:val="22"/>
                <w:lang w:val="et-EE"/>
              </w:rPr>
              <w:t xml:space="preserve">, </w:t>
            </w:r>
            <w:r w:rsidRPr="002A40AC">
              <w:rPr>
                <w:rFonts w:ascii="AdvTTb8864ccf.B" w:hAnsi="AdvTTb8864ccf.B" w:cs="AdvTTb8864ccf.B"/>
                <w:color w:val="131413"/>
                <w:sz w:val="22"/>
                <w:szCs w:val="22"/>
                <w:lang w:val="et-EE"/>
              </w:rPr>
              <w:t xml:space="preserve">Torres, A. Weiner  R., Yashkov, Y., Frühbeck, G. (2014). </w:t>
            </w:r>
            <w:r w:rsidRPr="002A40AC">
              <w:rPr>
                <w:color w:val="131413"/>
                <w:sz w:val="22"/>
                <w:szCs w:val="22"/>
                <w:lang w:val="et-EE"/>
              </w:rPr>
              <w:t>Interdisciplinary European Guidelines on Metabolic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color w:val="131413"/>
                <w:lang w:val="et-EE"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 xml:space="preserve">and Bariatric Surgery. </w:t>
            </w:r>
            <w:r w:rsidRPr="002A40AC">
              <w:rPr>
                <w:i/>
                <w:color w:val="131413"/>
                <w:sz w:val="22"/>
                <w:szCs w:val="22"/>
                <w:lang w:val="et-EE"/>
              </w:rPr>
              <w:t>Obesity Surgery</w:t>
            </w:r>
            <w:r w:rsidRPr="002A40AC">
              <w:rPr>
                <w:color w:val="131413"/>
                <w:sz w:val="22"/>
                <w:szCs w:val="22"/>
                <w:lang w:val="et-EE"/>
              </w:rPr>
              <w:t xml:space="preserve">, 24, 42-55. </w:t>
            </w:r>
          </w:p>
          <w:p w:rsidR="006A3BAC" w:rsidRPr="002A40AC" w:rsidRDefault="006A3BAC" w:rsidP="009774FE">
            <w:pPr>
              <w:rPr>
                <w:b/>
              </w:rPr>
            </w:pPr>
          </w:p>
        </w:tc>
      </w:tr>
      <w:tr w:rsidR="006A3BAC" w:rsidTr="002A40AC">
        <w:tc>
          <w:tcPr>
            <w:tcW w:w="6204" w:type="dxa"/>
          </w:tcPr>
          <w:p w:rsidR="006A3BAC" w:rsidRPr="002A40AC" w:rsidRDefault="006A3BAC" w:rsidP="002A40AC">
            <w:pPr>
              <w:shd w:val="clear" w:color="auto" w:fill="FFFFFF"/>
              <w:outlineLvl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  </w:t>
            </w:r>
          </w:p>
          <w:p w:rsidR="006A3BAC" w:rsidRPr="002A40AC" w:rsidRDefault="006A3BAC" w:rsidP="002A40AC">
            <w:pPr>
              <w:shd w:val="clear" w:color="auto" w:fill="FFFFFF"/>
              <w:outlineLvl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>- Psühhiaatrilised häired (v.a tõsised seisundid)  ja psühhosotsiaalne stress ei tähenda absoluutset vastunäidustust, eeldusel, et psühholoogiline nõustamine on operatsiooni eelselt ja järgselt võimalik.</w:t>
            </w:r>
          </w:p>
          <w:p w:rsidR="006A3BAC" w:rsidRPr="002A40AC" w:rsidRDefault="006A3BAC" w:rsidP="002A40AC">
            <w:pPr>
              <w:shd w:val="clear" w:color="auto" w:fill="FFFFFF"/>
              <w:outlineLvl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>-  Liigse kaalu vähenemine seostus kõrgema enesehinnangu, madalama rigiidsuse, kõrgema enesekriitilisuse ja aktiivsete toimetulekuoskustega.</w:t>
            </w:r>
          </w:p>
          <w:p w:rsidR="006A3BAC" w:rsidRPr="002A40AC" w:rsidRDefault="006A3BAC" w:rsidP="002A40AC">
            <w:pPr>
              <w:shd w:val="clear" w:color="auto" w:fill="FFFFFF"/>
              <w:outlineLvl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 - Häirunud söömiskäitumine (näksimine, kõrge kalorsusega toitude ja jookide tarbimine) ennustab väiksemat kaalulangust.</w:t>
            </w:r>
          </w:p>
          <w:p w:rsidR="006A3BAC" w:rsidRPr="002A40AC" w:rsidRDefault="006A3BAC" w:rsidP="009774FE">
            <w:pPr>
              <w:rPr>
                <w:b/>
              </w:rPr>
            </w:pPr>
          </w:p>
        </w:tc>
        <w:tc>
          <w:tcPr>
            <w:tcW w:w="2976" w:type="dxa"/>
          </w:tcPr>
          <w:p w:rsidR="006A3BAC" w:rsidRPr="002A40AC" w:rsidRDefault="006A3BAC" w:rsidP="002A40AC">
            <w:pPr>
              <w:shd w:val="clear" w:color="auto" w:fill="FFFFFF"/>
              <w:spacing w:before="240" w:after="120"/>
              <w:outlineLvl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color w:val="131413"/>
                <w:sz w:val="22"/>
                <w:szCs w:val="22"/>
                <w:lang w:val="et-EE"/>
              </w:rPr>
              <w:t xml:space="preserve">van Hout, G.C.M., Verschure, S.K.M. / van Heck, G.L. (2005). </w:t>
            </w: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Psychosocial predictors of success following bariatric surgery. </w:t>
            </w:r>
            <w:r w:rsidRPr="002A40AC">
              <w:rPr>
                <w:bCs/>
                <w:i/>
                <w:color w:val="000000"/>
                <w:kern w:val="36"/>
                <w:sz w:val="22"/>
                <w:szCs w:val="22"/>
                <w:lang w:val="et-EE" w:eastAsia="et-EE"/>
              </w:rPr>
              <w:t>Obesity Surgery</w:t>
            </w: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>, 15, 552-560.</w:t>
            </w:r>
          </w:p>
          <w:p w:rsidR="006A3BAC" w:rsidRPr="002A40AC" w:rsidRDefault="006A3BAC" w:rsidP="009774FE">
            <w:pPr>
              <w:rPr>
                <w:b/>
              </w:rPr>
            </w:pPr>
          </w:p>
        </w:tc>
      </w:tr>
      <w:tr w:rsidR="006A3BAC" w:rsidTr="002A40AC">
        <w:tc>
          <w:tcPr>
            <w:tcW w:w="6204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bCs/>
                <w:color w:val="000000"/>
                <w:kern w:val="36"/>
                <w:lang w:val="et-EE" w:eastAsia="et-EE"/>
              </w:rPr>
            </w:pP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>- Operatsioonijärgselt paraneb psühhosotsiaalne funktsioneerimine ja elukvaliteet (tõenduspõhisuse tase B)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bCs/>
                <w:color w:val="000000"/>
                <w:kern w:val="36"/>
                <w:lang w:val="et-EE" w:eastAsia="et-EE"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 - Operatsioonijärgselt vähenevad meeleoluhäired (tõenduspõhisuse tase B)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 - Liigsöömishäire korral liigsöömishood vähenevad, aga püsib ülesöömine ja sellest tulenevalt toidu väljutamine (tõenduspõhisuse tase B)</w:t>
            </w:r>
          </w:p>
          <w:p w:rsidR="006A3BAC" w:rsidRPr="002A40AC" w:rsidRDefault="006A3BAC" w:rsidP="009774FE">
            <w:pPr>
              <w:rPr>
                <w:b/>
              </w:rPr>
            </w:pPr>
          </w:p>
        </w:tc>
        <w:tc>
          <w:tcPr>
            <w:tcW w:w="2976" w:type="dxa"/>
          </w:tcPr>
          <w:p w:rsidR="006A3BAC" w:rsidRPr="002A40AC" w:rsidRDefault="006A3BAC" w:rsidP="009774FE">
            <w:pPr>
              <w:rPr>
                <w:bCs/>
                <w:color w:val="000000"/>
                <w:kern w:val="36"/>
                <w:lang w:val="et-EE" w:eastAsia="et-EE"/>
              </w:rPr>
            </w:pPr>
          </w:p>
          <w:p w:rsidR="006A3BAC" w:rsidRPr="002A40AC" w:rsidRDefault="006A3BAC" w:rsidP="009774FE">
            <w:pPr>
              <w:rPr>
                <w:b/>
              </w:rPr>
            </w:pP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 xml:space="preserve">Herpertz, S. et al. (2003). Does surgery improve psychosocial functioning? A systematic review. </w:t>
            </w:r>
            <w:r w:rsidRPr="002A40AC">
              <w:rPr>
                <w:bCs/>
                <w:i/>
                <w:color w:val="000000"/>
                <w:kern w:val="36"/>
                <w:sz w:val="22"/>
                <w:szCs w:val="22"/>
                <w:lang w:val="et-EE" w:eastAsia="et-EE"/>
              </w:rPr>
              <w:t>International Journal of Obesity</w:t>
            </w:r>
            <w:r w:rsidRPr="002A40AC">
              <w:rPr>
                <w:bCs/>
                <w:color w:val="000000"/>
                <w:kern w:val="36"/>
                <w:sz w:val="22"/>
                <w:szCs w:val="22"/>
                <w:lang w:val="et-EE" w:eastAsia="et-EE"/>
              </w:rPr>
              <w:t>, 27, 1300-1314.</w:t>
            </w:r>
          </w:p>
        </w:tc>
      </w:tr>
    </w:tbl>
    <w:p w:rsidR="006A3BAC" w:rsidRPr="00BB7799" w:rsidRDefault="006A3BAC" w:rsidP="003276D8">
      <w:pPr>
        <w:rPr>
          <w:b/>
        </w:rPr>
      </w:pPr>
    </w:p>
    <w:p w:rsidR="006A3BAC" w:rsidRDefault="006A3BAC" w:rsidP="003276D8">
      <w:pPr>
        <w:shd w:val="clear" w:color="auto" w:fill="FFFFFF"/>
        <w:outlineLvl w:val="0"/>
        <w:rPr>
          <w:bCs/>
          <w:color w:val="000000"/>
          <w:kern w:val="36"/>
          <w:lang w:val="et-EE" w:eastAsia="et-EE"/>
        </w:rPr>
      </w:pPr>
    </w:p>
    <w:p w:rsidR="006A3BAC" w:rsidRDefault="006A3BAC" w:rsidP="003276D8">
      <w:pPr>
        <w:shd w:val="clear" w:color="auto" w:fill="FFFFFF"/>
        <w:spacing w:before="240" w:after="120"/>
        <w:outlineLvl w:val="0"/>
        <w:rPr>
          <w:b/>
          <w:bCs/>
          <w:color w:val="000000"/>
          <w:kern w:val="36"/>
          <w:lang w:val="et-EE" w:eastAsia="et-EE"/>
        </w:rPr>
      </w:pPr>
    </w:p>
    <w:p w:rsidR="006A3BAC" w:rsidRPr="00A41DDE" w:rsidRDefault="006A3BAC" w:rsidP="00A41DDE">
      <w:pPr>
        <w:pStyle w:val="ListParagraph"/>
        <w:numPr>
          <w:ilvl w:val="0"/>
          <w:numId w:val="5"/>
        </w:numPr>
        <w:shd w:val="clear" w:color="auto" w:fill="FFFFFF"/>
        <w:spacing w:before="240" w:after="120"/>
        <w:outlineLvl w:val="0"/>
        <w:rPr>
          <w:b/>
          <w:bCs/>
          <w:color w:val="000000"/>
          <w:kern w:val="36"/>
          <w:lang w:val="et-EE" w:eastAsia="et-EE"/>
        </w:rPr>
      </w:pPr>
      <w:r w:rsidRPr="00A41DDE">
        <w:rPr>
          <w:b/>
          <w:bCs/>
          <w:color w:val="000000"/>
          <w:kern w:val="36"/>
          <w:lang w:val="et-EE" w:eastAsia="et-EE"/>
        </w:rPr>
        <w:t>Empiirilised uuringud, mida ravijuhised ei kajastanud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6A3BAC" w:rsidTr="002A40AC">
        <w:tc>
          <w:tcPr>
            <w:tcW w:w="4606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40AC">
              <w:rPr>
                <w:sz w:val="22"/>
                <w:szCs w:val="22"/>
                <w:lang w:eastAsia="et-EE"/>
              </w:rPr>
              <w:t>Kontrollides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demograafilisi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ja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biomeditsiinilisi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faktoreid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,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esines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kahe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või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enama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diagnoosiga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patsientidel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üks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aasta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pärast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operatsiooni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sagedamini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kaalutõusu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(OR = 6.4, 95% CI = 1.3-12.4)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võrreldes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nendega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,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kel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puudus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psühhiaatriline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häire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või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esines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üks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psühhiaatriline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häire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(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tõenduspõhisuse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tase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C).</w:t>
            </w:r>
            <w:r w:rsidRPr="002A40AC">
              <w:rPr>
                <w:sz w:val="22"/>
                <w:szCs w:val="22"/>
                <w:lang w:eastAsia="et-EE"/>
              </w:rPr>
              <w:br/>
            </w:r>
          </w:p>
        </w:tc>
        <w:tc>
          <w:tcPr>
            <w:tcW w:w="4606" w:type="dxa"/>
          </w:tcPr>
          <w:p w:rsidR="006A3BAC" w:rsidRPr="002A40AC" w:rsidRDefault="00B340D5" w:rsidP="002A40AC">
            <w:pPr>
              <w:pStyle w:val="ListParagraph"/>
              <w:numPr>
                <w:ilvl w:val="0"/>
                <w:numId w:val="7"/>
              </w:numPr>
              <w:rPr>
                <w:lang w:eastAsia="et-EE"/>
              </w:rPr>
            </w:pPr>
            <w:hyperlink r:id="rId5" w:tooltip="Search for Rutledge T" w:history="1">
              <w:r w:rsidR="006A3BAC" w:rsidRPr="002A40AC">
                <w:rPr>
                  <w:sz w:val="22"/>
                  <w:szCs w:val="22"/>
                  <w:lang w:eastAsia="et-EE"/>
                </w:rPr>
                <w:t>Rutledge, T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6" w:tooltip="Search for Groesz LM" w:history="1"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Groesz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L.M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7" w:tooltip="Search for Savu M" w:history="1"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Savu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M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>. (2011).</w:t>
            </w:r>
            <w:r w:rsidR="006A3BAC" w:rsidRPr="002A40AC">
              <w:rPr>
                <w:rFonts w:ascii="Georgia" w:hAnsi="Georgia"/>
                <w:b/>
                <w:bCs/>
                <w:sz w:val="29"/>
                <w:szCs w:val="29"/>
                <w:lang w:eastAsia="et-EE"/>
              </w:rPr>
              <w:t xml:space="preserve">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Psychiatric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factors and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weight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loss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patterns following gastric bypass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surgery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in a veteran population.</w:t>
            </w:r>
            <w:r w:rsidR="006A3BAC" w:rsidRPr="002A40AC">
              <w:rPr>
                <w:sz w:val="22"/>
                <w:szCs w:val="22"/>
              </w:rPr>
              <w:t xml:space="preserve"> </w:t>
            </w:r>
            <w:r w:rsidR="006A3BAC" w:rsidRPr="002A40AC">
              <w:rPr>
                <w:sz w:val="22"/>
                <w:szCs w:val="22"/>
                <w:lang w:eastAsia="et-EE"/>
              </w:rPr>
              <w:t>Obesity Surgery, 21, 29-35.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A3BAC" w:rsidTr="002A40AC">
        <w:tc>
          <w:tcPr>
            <w:tcW w:w="4606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Psühhiaatrilised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patsiendid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võtsid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kaalus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juurde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9.4%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esialgsest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liigsest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kehakaalu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kaotusest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vahemikul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18-36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kuud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pärast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operatsiooni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,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vastupidiselt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mittepsühhiaatrilistele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patsientidele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,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kel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samal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vahemikul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kaalutõus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oli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0,2%.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Grupid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erinesid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märkimisväärselt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hilisemate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tüsistuste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määras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: 52.9%-l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psühhiaatrilistest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patsientidest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oli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vähemalt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üks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hilisem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tüsistus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võrrelduna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19.6% </w:t>
            </w:r>
            <w:proofErr w:type="spellStart"/>
            <w:proofErr w:type="gramStart"/>
            <w:r w:rsidRPr="002A40AC">
              <w:rPr>
                <w:sz w:val="22"/>
                <w:szCs w:val="22"/>
                <w:lang w:eastAsia="et-EE"/>
              </w:rPr>
              <w:t>mittepsühhiaatriliste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patsientidega</w:t>
            </w:r>
            <w:proofErr w:type="spellEnd"/>
            <w:proofErr w:type="gram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r w:rsidRPr="002A40AC">
              <w:rPr>
                <w:sz w:val="22"/>
                <w:szCs w:val="22"/>
                <w:lang w:eastAsia="et-EE"/>
              </w:rPr>
              <w:lastRenderedPageBreak/>
              <w:t>(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tõenduspõhisuse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tase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C).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4606" w:type="dxa"/>
          </w:tcPr>
          <w:p w:rsidR="006A3BAC" w:rsidRPr="002A40AC" w:rsidRDefault="00B340D5" w:rsidP="002A40A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sz w:val="18"/>
                <w:szCs w:val="18"/>
                <w:lang w:eastAsia="et-EE"/>
              </w:rPr>
            </w:pPr>
            <w:hyperlink r:id="rId8" w:tooltip="Search for Botella Romero F" w:history="1"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Botella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 xml:space="preserve"> Romero, F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9" w:tooltip="Search for Alfaro Martínez JJ" w:history="1">
              <w:r w:rsidR="006A3BAC" w:rsidRPr="002A40AC">
                <w:rPr>
                  <w:sz w:val="22"/>
                  <w:szCs w:val="22"/>
                  <w:lang w:eastAsia="et-EE"/>
                </w:rPr>
                <w:t xml:space="preserve">Alfaro </w:t>
              </w:r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Martínez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J.J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10" w:tooltip="Search for Molina Pacheco E" w:history="1">
              <w:r w:rsidR="006A3BAC" w:rsidRPr="002A40AC">
                <w:rPr>
                  <w:sz w:val="22"/>
                  <w:szCs w:val="22"/>
                  <w:lang w:eastAsia="et-EE"/>
                </w:rPr>
                <w:t>Molina Pacheco, E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11" w:tooltip="Search for Lomas Meneses A" w:history="1">
              <w:r w:rsidR="006A3BAC" w:rsidRPr="002A40AC">
                <w:rPr>
                  <w:sz w:val="22"/>
                  <w:szCs w:val="22"/>
                  <w:lang w:eastAsia="et-EE"/>
                </w:rPr>
                <w:t xml:space="preserve">Lomas </w:t>
              </w:r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Meneses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A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12" w:tooltip="Search for Salas Saiz MA" w:history="1">
              <w:r w:rsidR="006A3BAC" w:rsidRPr="002A40AC">
                <w:rPr>
                  <w:sz w:val="22"/>
                  <w:szCs w:val="22"/>
                  <w:lang w:eastAsia="et-EE"/>
                </w:rPr>
                <w:t xml:space="preserve">Salas </w:t>
              </w:r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Saiz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M.A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13" w:tooltip="Search for García Gómez A" w:history="1"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García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 xml:space="preserve"> </w:t>
              </w:r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Gómez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A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., </w:t>
            </w:r>
            <w:hyperlink r:id="rId14" w:tooltip="Search for García Arce L" w:history="1"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García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 xml:space="preserve"> </w:t>
              </w:r>
              <w:proofErr w:type="spellStart"/>
              <w:r w:rsidR="006A3BAC" w:rsidRPr="002A40AC">
                <w:rPr>
                  <w:sz w:val="22"/>
                  <w:szCs w:val="22"/>
                  <w:lang w:eastAsia="et-EE"/>
                </w:rPr>
                <w:t>Arce</w:t>
              </w:r>
              <w:proofErr w:type="spellEnd"/>
              <w:r w:rsidR="006A3BAC" w:rsidRPr="002A40AC">
                <w:rPr>
                  <w:sz w:val="22"/>
                  <w:szCs w:val="22"/>
                  <w:lang w:eastAsia="et-EE"/>
                </w:rPr>
                <w:t>, L</w:t>
              </w:r>
            </w:hyperlink>
            <w:r w:rsidR="006A3BAC" w:rsidRPr="002A40AC">
              <w:rPr>
                <w:sz w:val="22"/>
                <w:szCs w:val="22"/>
                <w:lang w:eastAsia="et-EE"/>
              </w:rPr>
              <w:t xml:space="preserve">. (2010). Influence of previous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psychiatric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disorders on postoperative course in patients undergoing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bariatric</w:t>
            </w:r>
            <w:r w:rsidR="006A3BAC" w:rsidRPr="002A40AC">
              <w:rPr>
                <w:sz w:val="22"/>
                <w:szCs w:val="22"/>
                <w:lang w:eastAsia="et-EE"/>
              </w:rPr>
              <w:t xml:space="preserve"> </w:t>
            </w:r>
            <w:r w:rsidR="006A3BAC" w:rsidRPr="002A40AC">
              <w:rPr>
                <w:bCs/>
                <w:sz w:val="22"/>
                <w:szCs w:val="22"/>
                <w:lang w:eastAsia="et-EE"/>
              </w:rPr>
              <w:t>surgery.</w:t>
            </w:r>
            <w:r w:rsidR="006A3BAC" w:rsidRPr="002A40AC">
              <w:rPr>
                <w:sz w:val="22"/>
                <w:szCs w:val="22"/>
              </w:rPr>
              <w:t xml:space="preserve"> </w:t>
            </w:r>
            <w:proofErr w:type="spellStart"/>
            <w:r w:rsidR="006A3BAC" w:rsidRPr="002A40AC">
              <w:rPr>
                <w:bCs/>
                <w:sz w:val="22"/>
                <w:szCs w:val="22"/>
                <w:lang w:eastAsia="et-EE"/>
              </w:rPr>
              <w:t>Endocrinología</w:t>
            </w:r>
            <w:proofErr w:type="spellEnd"/>
            <w:r w:rsidR="006A3BAC" w:rsidRPr="002A40AC">
              <w:rPr>
                <w:bCs/>
                <w:sz w:val="22"/>
                <w:szCs w:val="22"/>
                <w:lang w:eastAsia="et-EE"/>
              </w:rPr>
              <w:t xml:space="preserve"> Y </w:t>
            </w:r>
            <w:proofErr w:type="spellStart"/>
            <w:r w:rsidR="006A3BAC" w:rsidRPr="002A40AC">
              <w:rPr>
                <w:bCs/>
                <w:sz w:val="22"/>
                <w:szCs w:val="22"/>
                <w:lang w:eastAsia="et-EE"/>
              </w:rPr>
              <w:t>Nutrición</w:t>
            </w:r>
            <w:proofErr w:type="spellEnd"/>
            <w:r w:rsidR="006A3BAC" w:rsidRPr="002A40AC">
              <w:rPr>
                <w:bCs/>
                <w:sz w:val="22"/>
                <w:szCs w:val="22"/>
                <w:lang w:eastAsia="et-EE"/>
              </w:rPr>
              <w:t xml:space="preserve"> </w:t>
            </w:r>
            <w:r w:rsidR="006A3BAC" w:rsidRPr="002A40AC">
              <w:rPr>
                <w:sz w:val="22"/>
                <w:szCs w:val="22"/>
                <w:lang w:eastAsia="et-EE"/>
              </w:rPr>
              <w:t>[</w:t>
            </w:r>
            <w:proofErr w:type="spellStart"/>
            <w:r w:rsidR="006A3BAC" w:rsidRPr="002A40AC">
              <w:rPr>
                <w:sz w:val="22"/>
                <w:szCs w:val="22"/>
                <w:lang w:eastAsia="et-EE"/>
              </w:rPr>
              <w:t>Endocrinol</w:t>
            </w:r>
            <w:proofErr w:type="spellEnd"/>
            <w:r w:rsidR="006A3BAC"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="006A3BAC" w:rsidRPr="002A40AC">
              <w:rPr>
                <w:sz w:val="22"/>
                <w:szCs w:val="22"/>
                <w:lang w:eastAsia="et-EE"/>
              </w:rPr>
              <w:t>Nutr</w:t>
            </w:r>
            <w:proofErr w:type="spellEnd"/>
            <w:r w:rsidR="006A3BAC" w:rsidRPr="002A40AC">
              <w:rPr>
                <w:sz w:val="22"/>
                <w:szCs w:val="22"/>
                <w:lang w:eastAsia="et-EE"/>
              </w:rPr>
              <w:t>] 57, 9-15</w:t>
            </w:r>
            <w:r w:rsidR="006A3BAC" w:rsidRPr="002A40AC">
              <w:rPr>
                <w:rFonts w:ascii="Helvetica" w:hAnsi="Helvetica"/>
                <w:sz w:val="18"/>
                <w:szCs w:val="18"/>
                <w:lang w:eastAsia="et-EE"/>
              </w:rPr>
              <w:t>.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A3BAC" w:rsidTr="002A40AC">
        <w:tc>
          <w:tcPr>
            <w:tcW w:w="4606" w:type="dxa"/>
          </w:tcPr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  <w:r w:rsidRPr="002A40AC">
              <w:rPr>
                <w:bCs/>
                <w:kern w:val="36"/>
                <w:sz w:val="22"/>
                <w:szCs w:val="22"/>
                <w:lang w:val="et-EE" w:eastAsia="et-EE"/>
              </w:rPr>
              <w:lastRenderedPageBreak/>
              <w:t xml:space="preserve">Kirurgilise ravi eelne psühholoogiline hindamine ei seostunud 2 a pärast sekkumist liigse kehakaalu langusega, aga aitas määratleda faktoreid, mis ennustasid </w:t>
            </w:r>
            <w:proofErr w:type="spellStart"/>
            <w:r w:rsidRPr="002A40AC">
              <w:rPr>
                <w:iCs/>
                <w:sz w:val="22"/>
                <w:szCs w:val="22"/>
              </w:rPr>
              <w:t>kvaliteetselt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elatud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eluaastate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lisandumist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ja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psühhosotsiaalset</w:t>
            </w:r>
            <w:proofErr w:type="spellEnd"/>
            <w:r w:rsidRPr="002A40A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40AC">
              <w:rPr>
                <w:iCs/>
                <w:sz w:val="22"/>
                <w:szCs w:val="22"/>
              </w:rPr>
              <w:t>funktsioneerimist</w:t>
            </w:r>
            <w:proofErr w:type="spellEnd"/>
            <w:r w:rsidRPr="002A40AC">
              <w:rPr>
                <w:iCs/>
                <w:sz w:val="22"/>
                <w:szCs w:val="22"/>
              </w:rPr>
              <w:t>.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4606" w:type="dxa"/>
          </w:tcPr>
          <w:p w:rsidR="006A3BAC" w:rsidRPr="002A40AC" w:rsidRDefault="006A3BAC" w:rsidP="002A40A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240" w:after="120"/>
              <w:outlineLvl w:val="0"/>
              <w:rPr>
                <w:bCs/>
                <w:kern w:val="36"/>
                <w:lang w:val="et-EE" w:eastAsia="et-EE"/>
              </w:rPr>
            </w:pPr>
            <w:r w:rsidRPr="002A40AC">
              <w:rPr>
                <w:sz w:val="22"/>
                <w:szCs w:val="22"/>
                <w:lang w:val="et-EE"/>
              </w:rPr>
              <w:t xml:space="preserve">van Hout, G.C.M., </w:t>
            </w:r>
            <w:hyperlink r:id="rId15" w:tooltip="Search for Hagendoren CA" w:history="1">
              <w:proofErr w:type="spellStart"/>
              <w:r w:rsidRPr="002A40AC">
                <w:rPr>
                  <w:sz w:val="22"/>
                  <w:szCs w:val="22"/>
                  <w:lang w:eastAsia="et-EE"/>
                </w:rPr>
                <w:t>Hagendoren</w:t>
              </w:r>
              <w:proofErr w:type="spellEnd"/>
              <w:r w:rsidRPr="002A40AC">
                <w:rPr>
                  <w:sz w:val="22"/>
                  <w:szCs w:val="22"/>
                  <w:lang w:eastAsia="et-EE"/>
                </w:rPr>
                <w:t xml:space="preserve"> CA</w:t>
              </w:r>
            </w:hyperlink>
            <w:r w:rsidRPr="002A40AC">
              <w:rPr>
                <w:sz w:val="22"/>
                <w:szCs w:val="22"/>
                <w:lang w:eastAsia="et-EE"/>
              </w:rPr>
              <w:t xml:space="preserve">, </w:t>
            </w:r>
            <w:r w:rsidRPr="002A40AC">
              <w:rPr>
                <w:sz w:val="22"/>
                <w:szCs w:val="22"/>
                <w:lang w:val="et-EE"/>
              </w:rPr>
              <w:t xml:space="preserve">Verschure, S.K.M., van Heck, G.L. (2009). </w:t>
            </w:r>
            <w:r w:rsidRPr="002A40AC">
              <w:rPr>
                <w:sz w:val="22"/>
                <w:szCs w:val="22"/>
                <w:lang w:eastAsia="et-EE"/>
              </w:rPr>
              <w:t xml:space="preserve">Psychosocial predictors of success after vertical banded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gastroplasty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>.</w:t>
            </w:r>
            <w:r w:rsidRPr="002A40AC">
              <w:rPr>
                <w:bCs/>
                <w:i/>
                <w:kern w:val="36"/>
                <w:sz w:val="22"/>
                <w:szCs w:val="22"/>
                <w:lang w:val="et-EE" w:eastAsia="et-EE"/>
              </w:rPr>
              <w:t xml:space="preserve"> Obesity Surgery</w:t>
            </w:r>
            <w:r w:rsidRPr="002A40AC">
              <w:rPr>
                <w:bCs/>
                <w:kern w:val="36"/>
                <w:sz w:val="22"/>
                <w:szCs w:val="22"/>
                <w:lang w:val="et-EE" w:eastAsia="et-EE"/>
              </w:rPr>
              <w:t>, 19, 701-707.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A3BAC" w:rsidTr="002A40AC">
        <w:tc>
          <w:tcPr>
            <w:tcW w:w="4606" w:type="dxa"/>
          </w:tcPr>
          <w:p w:rsidR="006A3BAC" w:rsidRPr="002A40AC" w:rsidRDefault="006A3BAC" w:rsidP="003276D8">
            <w:proofErr w:type="spellStart"/>
            <w:r w:rsidRPr="002A40AC">
              <w:rPr>
                <w:sz w:val="22"/>
                <w:szCs w:val="22"/>
                <w:lang w:eastAsia="et-EE"/>
              </w:rPr>
              <w:t>Ei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leitud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seoseid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psühhiaatrilise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diagnoosi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esinemise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ja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operatsiooni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järgse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liigse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kehakaalu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languse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ning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vaime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tervise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seisundi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vahel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5,7 a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pärast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operatsiooni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(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tõenduspõhisuse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2A40AC">
              <w:rPr>
                <w:sz w:val="22"/>
                <w:szCs w:val="22"/>
                <w:lang w:eastAsia="et-EE"/>
              </w:rPr>
              <w:t>tase</w:t>
            </w:r>
            <w:proofErr w:type="spellEnd"/>
            <w:r w:rsidRPr="002A40AC">
              <w:rPr>
                <w:sz w:val="22"/>
                <w:szCs w:val="22"/>
                <w:lang w:eastAsia="et-EE"/>
              </w:rPr>
              <w:t xml:space="preserve"> C)</w:t>
            </w:r>
          </w:p>
          <w:p w:rsidR="006A3BAC" w:rsidRPr="002A40AC" w:rsidRDefault="006A3BAC" w:rsidP="002A40A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4606" w:type="dxa"/>
          </w:tcPr>
          <w:p w:rsidR="006A3BAC" w:rsidRPr="002A40AC" w:rsidRDefault="006A3BAC" w:rsidP="002A40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2A40AC">
              <w:rPr>
                <w:iCs/>
                <w:sz w:val="22"/>
                <w:szCs w:val="22"/>
              </w:rPr>
              <w:t xml:space="preserve">Powers, P.S., </w:t>
            </w:r>
            <w:proofErr w:type="spellStart"/>
            <w:r w:rsidRPr="002A40AC">
              <w:rPr>
                <w:iCs/>
                <w:sz w:val="22"/>
                <w:szCs w:val="22"/>
              </w:rPr>
              <w:t>Rosemurgy</w:t>
            </w:r>
            <w:proofErr w:type="spellEnd"/>
            <w:r w:rsidRPr="002A40AC">
              <w:rPr>
                <w:iCs/>
                <w:sz w:val="22"/>
                <w:szCs w:val="22"/>
              </w:rPr>
              <w:t>, A., Boyd, F., Perez, A. (1997). Outcome of gastric restriction procedures: weight, psychiatric diagnoses, and satisfaction. Obesity Surgery, 7, 471-477.</w:t>
            </w:r>
          </w:p>
        </w:tc>
      </w:tr>
    </w:tbl>
    <w:p w:rsidR="006A3BAC" w:rsidRPr="005501B3" w:rsidRDefault="006A3BAC" w:rsidP="003276D8">
      <w:pPr>
        <w:autoSpaceDE w:val="0"/>
        <w:autoSpaceDN w:val="0"/>
        <w:adjustRightInd w:val="0"/>
        <w:rPr>
          <w:iCs/>
        </w:rPr>
      </w:pPr>
    </w:p>
    <w:p w:rsidR="006A3BAC" w:rsidRDefault="006A3BAC" w:rsidP="003276D8">
      <w:pPr>
        <w:rPr>
          <w:rFonts w:ascii="Helvetica" w:hAnsi="Helvetica"/>
          <w:color w:val="333333"/>
          <w:sz w:val="18"/>
          <w:szCs w:val="18"/>
          <w:lang w:eastAsia="et-EE"/>
        </w:rPr>
      </w:pPr>
    </w:p>
    <w:p w:rsidR="006A3BAC" w:rsidRPr="00484209" w:rsidRDefault="006A3BAC" w:rsidP="003276D8">
      <w:pPr>
        <w:rPr>
          <w:lang w:eastAsia="et-EE"/>
        </w:rPr>
      </w:pPr>
    </w:p>
    <w:p w:rsidR="006A3BAC" w:rsidRPr="005A7DD3" w:rsidRDefault="006A3BAC" w:rsidP="003276D8">
      <w:pPr>
        <w:ind w:firstLine="708"/>
        <w:rPr>
          <w:rFonts w:ascii="Helvetica" w:hAnsi="Helvetica"/>
          <w:color w:val="333333"/>
          <w:sz w:val="18"/>
          <w:szCs w:val="18"/>
          <w:lang w:eastAsia="et-EE"/>
        </w:rPr>
      </w:pPr>
    </w:p>
    <w:p w:rsidR="006A3BAC" w:rsidRPr="00291DDA" w:rsidRDefault="006A3BAC" w:rsidP="003276D8">
      <w:pPr>
        <w:pStyle w:val="ListParagraph"/>
        <w:autoSpaceDE w:val="0"/>
        <w:autoSpaceDN w:val="0"/>
        <w:adjustRightInd w:val="0"/>
        <w:rPr>
          <w:iCs/>
        </w:rPr>
      </w:pPr>
    </w:p>
    <w:p w:rsidR="00D853D3" w:rsidRPr="003276D8" w:rsidRDefault="00D853D3" w:rsidP="00D853D3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Ravijuhendid</w:t>
      </w:r>
      <w:proofErr w:type="spellEnd"/>
    </w:p>
    <w:p w:rsidR="00D853D3" w:rsidRDefault="00D853D3" w:rsidP="00D853D3">
      <w:proofErr w:type="spellStart"/>
      <w:r>
        <w:t>Kõik</w:t>
      </w:r>
      <w:proofErr w:type="spellEnd"/>
      <w:r>
        <w:t xml:space="preserve"> </w:t>
      </w:r>
      <w:proofErr w:type="spellStart"/>
      <w:r>
        <w:t>ravijuhised</w:t>
      </w:r>
      <w:proofErr w:type="spellEnd"/>
      <w:r>
        <w:t xml:space="preserve"> (USA, SIGN, NICE, AUS) </w:t>
      </w:r>
      <w:proofErr w:type="spellStart"/>
      <w:r>
        <w:t>soovitavad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mingis</w:t>
      </w:r>
      <w:proofErr w:type="spellEnd"/>
      <w:r>
        <w:t xml:space="preserve"> </w:t>
      </w:r>
      <w:proofErr w:type="spellStart"/>
      <w:r>
        <w:t>vormis</w:t>
      </w:r>
      <w:proofErr w:type="spellEnd"/>
      <w:r>
        <w:t xml:space="preserve"> </w:t>
      </w:r>
      <w:proofErr w:type="spellStart"/>
      <w:r>
        <w:t>psühholoogilist</w:t>
      </w:r>
      <w:proofErr w:type="spellEnd"/>
      <w:r>
        <w:t xml:space="preserve"> </w:t>
      </w:r>
      <w:proofErr w:type="spellStart"/>
      <w:r>
        <w:t>hindamist</w:t>
      </w:r>
      <w:proofErr w:type="spellEnd"/>
      <w:r>
        <w:t xml:space="preserve">, </w:t>
      </w:r>
      <w:proofErr w:type="spellStart"/>
      <w:proofErr w:type="gramStart"/>
      <w:r>
        <w:t>ent</w:t>
      </w:r>
      <w:proofErr w:type="spellEnd"/>
      <w:proofErr w:type="gramEnd"/>
      <w:r>
        <w:t xml:space="preserve"> </w:t>
      </w:r>
      <w:proofErr w:type="spellStart"/>
      <w:r>
        <w:t>ükski</w:t>
      </w:r>
      <w:proofErr w:type="spellEnd"/>
      <w:r>
        <w:t xml:space="preserve"> </w:t>
      </w:r>
      <w:proofErr w:type="spellStart"/>
      <w:r>
        <w:t>neist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juhiseid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</w:t>
      </w:r>
      <w:proofErr w:type="spellStart"/>
      <w:r>
        <w:t>milliseid</w:t>
      </w:r>
      <w:proofErr w:type="spellEnd"/>
      <w:r>
        <w:t xml:space="preserve"> </w:t>
      </w:r>
      <w:proofErr w:type="spellStart"/>
      <w:r>
        <w:t>hindamismeetodeid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. </w:t>
      </w:r>
      <w:proofErr w:type="spellStart"/>
      <w:r>
        <w:t>Kokkuvõtvalt</w:t>
      </w:r>
      <w:proofErr w:type="spellEnd"/>
      <w:r>
        <w:t xml:space="preserve"> </w:t>
      </w:r>
      <w:proofErr w:type="spellStart"/>
      <w:r>
        <w:t>järeldub</w:t>
      </w:r>
      <w:proofErr w:type="spellEnd"/>
      <w:r>
        <w:t xml:space="preserve"> </w:t>
      </w:r>
      <w:proofErr w:type="spellStart"/>
      <w:r>
        <w:t>neist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psühholoogilise</w:t>
      </w:r>
      <w:proofErr w:type="spellEnd"/>
      <w:r>
        <w:t xml:space="preserve"> </w:t>
      </w:r>
      <w:proofErr w:type="spellStart"/>
      <w:r>
        <w:t>hindamise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peaks </w:t>
      </w:r>
      <w:proofErr w:type="spellStart"/>
      <w:r>
        <w:t>määratlema</w:t>
      </w:r>
      <w:proofErr w:type="spellEnd"/>
      <w:r>
        <w:t xml:space="preserve"> ka </w:t>
      </w:r>
      <w:proofErr w:type="spellStart"/>
      <w:r>
        <w:t>psühhosotsiaalsed</w:t>
      </w:r>
      <w:proofErr w:type="spellEnd"/>
      <w:r>
        <w:t xml:space="preserve"> </w:t>
      </w:r>
      <w:proofErr w:type="spellStart"/>
      <w:r>
        <w:t>tegurid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ravitulemusi</w:t>
      </w:r>
      <w:proofErr w:type="spellEnd"/>
      <w:r>
        <w:t xml:space="preserve"> </w:t>
      </w:r>
      <w:proofErr w:type="spellStart"/>
      <w:r>
        <w:t>ohustada</w:t>
      </w:r>
      <w:proofErr w:type="spellEnd"/>
      <w:r>
        <w:t xml:space="preserve">,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sõeluma</w:t>
      </w:r>
      <w:proofErr w:type="spellEnd"/>
      <w:r>
        <w:t xml:space="preserve"> </w:t>
      </w:r>
      <w:proofErr w:type="spellStart"/>
      <w:r>
        <w:t>psühhiaatrilised</w:t>
      </w:r>
      <w:proofErr w:type="spellEnd"/>
      <w:r>
        <w:t xml:space="preserve"> </w:t>
      </w:r>
      <w:proofErr w:type="spellStart"/>
      <w:r>
        <w:t>patsiendid</w:t>
      </w:r>
      <w:proofErr w:type="spellEnd"/>
      <w:r>
        <w:t xml:space="preserve">, </w:t>
      </w:r>
      <w:proofErr w:type="spellStart"/>
      <w:r>
        <w:t>kellele</w:t>
      </w:r>
      <w:proofErr w:type="spellEnd"/>
      <w:r>
        <w:t xml:space="preserve"> </w:t>
      </w:r>
      <w:proofErr w:type="spellStart"/>
      <w:r>
        <w:t>kirurgiline</w:t>
      </w:r>
      <w:proofErr w:type="spellEnd"/>
      <w:r>
        <w:t xml:space="preserve"> </w:t>
      </w:r>
      <w:proofErr w:type="spellStart"/>
      <w:r>
        <w:t>sekkumine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vastunäidustatud</w:t>
      </w:r>
      <w:proofErr w:type="spellEnd"/>
      <w:r>
        <w:t xml:space="preserve">. </w:t>
      </w:r>
      <w:proofErr w:type="spellStart"/>
      <w:r>
        <w:t>Kolm</w:t>
      </w:r>
      <w:proofErr w:type="spellEnd"/>
      <w:r>
        <w:t xml:space="preserve"> </w:t>
      </w:r>
      <w:proofErr w:type="spellStart"/>
      <w:r>
        <w:t>ravijuhist</w:t>
      </w:r>
      <w:proofErr w:type="spellEnd"/>
      <w:r>
        <w:t xml:space="preserve"> </w:t>
      </w:r>
      <w:proofErr w:type="spellStart"/>
      <w:r>
        <w:t>annavad</w:t>
      </w:r>
      <w:proofErr w:type="spellEnd"/>
      <w:r>
        <w:t xml:space="preserve"> </w:t>
      </w:r>
      <w:proofErr w:type="spellStart"/>
      <w:r>
        <w:t>spetsiifilisi</w:t>
      </w:r>
      <w:proofErr w:type="spellEnd"/>
      <w:r>
        <w:t xml:space="preserve"> </w:t>
      </w:r>
      <w:proofErr w:type="spellStart"/>
      <w:r>
        <w:t>soovitusi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hinnata</w:t>
      </w:r>
      <w:proofErr w:type="spellEnd"/>
      <w:r>
        <w:t>:</w:t>
      </w:r>
    </w:p>
    <w:p w:rsidR="00D853D3" w:rsidRDefault="00D853D3" w:rsidP="00D853D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t-EE"/>
        </w:rPr>
      </w:pPr>
      <w:proofErr w:type="spellStart"/>
      <w:r>
        <w:rPr>
          <w:color w:val="000000"/>
        </w:rPr>
        <w:t>Häirunud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söömiskäitumine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ülesöömistüüpi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söömishäired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depressioon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ja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psühhoaktiivsete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kuritarvitamine</w:t>
      </w:r>
      <w:proofErr w:type="spellEnd"/>
      <w:r>
        <w:rPr>
          <w:color w:val="000000"/>
        </w:rPr>
        <w:t xml:space="preserve"> (AUS, USA). Need </w:t>
      </w:r>
      <w:proofErr w:type="spellStart"/>
      <w:r>
        <w:rPr>
          <w:color w:val="000000"/>
        </w:rPr>
        <w:t>häired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ole </w:t>
      </w:r>
      <w:proofErr w:type="spellStart"/>
      <w:r>
        <w:rPr>
          <w:color w:val="000000"/>
        </w:rPr>
        <w:t>vastunäidustused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kirurgiliseks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sekkumiseks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alustada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preoperatiivselt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tõenduspõhisuse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tase</w:t>
      </w:r>
      <w:proofErr w:type="spellEnd"/>
      <w:r>
        <w:rPr>
          <w:color w:val="000000"/>
        </w:rPr>
        <w:t xml:space="preserve"> C).</w:t>
      </w:r>
    </w:p>
    <w:p w:rsidR="00D853D3" w:rsidRDefault="00D853D3" w:rsidP="00D853D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131413"/>
          <w:lang w:val="et-EE"/>
        </w:rPr>
      </w:pPr>
      <w:proofErr w:type="spellStart"/>
      <w:r>
        <w:t>Söömiskäitumine</w:t>
      </w:r>
      <w:proofErr w:type="spellEnd"/>
      <w:r>
        <w:t xml:space="preserve">, </w:t>
      </w:r>
      <w:proofErr w:type="spellStart"/>
      <w:r>
        <w:t>psühhosotsiaalne</w:t>
      </w:r>
      <w:proofErr w:type="spellEnd"/>
      <w:r>
        <w:t xml:space="preserve"> distress </w:t>
      </w:r>
      <w:proofErr w:type="spellStart"/>
      <w:r>
        <w:t>ja</w:t>
      </w:r>
      <w:proofErr w:type="spellEnd"/>
      <w:r>
        <w:t xml:space="preserve"> </w:t>
      </w:r>
      <w:proofErr w:type="spellStart"/>
      <w:r>
        <w:t>keskkondlikud</w:t>
      </w:r>
      <w:proofErr w:type="spellEnd"/>
      <w:r>
        <w:t xml:space="preserve">, </w:t>
      </w:r>
      <w:proofErr w:type="spellStart"/>
      <w:r>
        <w:t>sotsiaalsed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perekondlikud</w:t>
      </w:r>
      <w:proofErr w:type="spellEnd"/>
      <w:r>
        <w:t xml:space="preserve"> </w:t>
      </w:r>
      <w:proofErr w:type="spellStart"/>
      <w:r>
        <w:t>faktorid</w:t>
      </w:r>
      <w:proofErr w:type="spellEnd"/>
      <w:r>
        <w:t xml:space="preserve"> (NICE, 2006)</w:t>
      </w:r>
      <w:r>
        <w:rPr>
          <w:color w:val="000000"/>
        </w:rPr>
        <w:t xml:space="preserve"> </w:t>
      </w:r>
    </w:p>
    <w:p w:rsidR="006A3BAC" w:rsidRPr="00291DDA" w:rsidRDefault="006A3BAC" w:rsidP="003276D8">
      <w:pPr>
        <w:autoSpaceDE w:val="0"/>
        <w:autoSpaceDN w:val="0"/>
        <w:adjustRightInd w:val="0"/>
        <w:rPr>
          <w:iCs/>
        </w:rPr>
      </w:pPr>
    </w:p>
    <w:sectPr w:rsidR="006A3BAC" w:rsidRPr="00291DDA" w:rsidSect="00B8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00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62F"/>
    <w:multiLevelType w:val="hybridMultilevel"/>
    <w:tmpl w:val="807A27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93039"/>
    <w:multiLevelType w:val="hybridMultilevel"/>
    <w:tmpl w:val="1D8009DC"/>
    <w:lvl w:ilvl="0" w:tplc="8758B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931335"/>
    <w:multiLevelType w:val="hybridMultilevel"/>
    <w:tmpl w:val="90A24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073C73"/>
    <w:multiLevelType w:val="hybridMultilevel"/>
    <w:tmpl w:val="1B3E5E56"/>
    <w:lvl w:ilvl="0" w:tplc="59C8C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54ED3"/>
    <w:multiLevelType w:val="hybridMultilevel"/>
    <w:tmpl w:val="A32C3EA6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5AA4885"/>
    <w:multiLevelType w:val="hybridMultilevel"/>
    <w:tmpl w:val="1A3CF50E"/>
    <w:lvl w:ilvl="0" w:tplc="270C4A4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D8"/>
    <w:rsid w:val="00244695"/>
    <w:rsid w:val="00291DDA"/>
    <w:rsid w:val="002A40AC"/>
    <w:rsid w:val="002B4B52"/>
    <w:rsid w:val="003276D8"/>
    <w:rsid w:val="0039517A"/>
    <w:rsid w:val="003B516E"/>
    <w:rsid w:val="00484209"/>
    <w:rsid w:val="005501B3"/>
    <w:rsid w:val="005A7DD3"/>
    <w:rsid w:val="005D792F"/>
    <w:rsid w:val="006A3BAC"/>
    <w:rsid w:val="008965B0"/>
    <w:rsid w:val="00900A38"/>
    <w:rsid w:val="009272BF"/>
    <w:rsid w:val="009774FE"/>
    <w:rsid w:val="009A564A"/>
    <w:rsid w:val="00A41DDE"/>
    <w:rsid w:val="00B340D5"/>
    <w:rsid w:val="00B804D7"/>
    <w:rsid w:val="00BB7799"/>
    <w:rsid w:val="00D23C41"/>
    <w:rsid w:val="00D853D3"/>
    <w:rsid w:val="00D90977"/>
    <w:rsid w:val="00F8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76D8"/>
    <w:pPr>
      <w:ind w:left="720"/>
      <w:contextualSpacing/>
    </w:pPr>
  </w:style>
  <w:style w:type="table" w:styleId="TableGrid">
    <w:name w:val="Table Grid"/>
    <w:basedOn w:val="TableNormal"/>
    <w:uiPriority w:val="99"/>
    <w:rsid w:val="0032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~~AU%20%22Botella%20Romero%20F%22%7C%7Csl~~rl','');" TargetMode="External"/><Relationship Id="rId13" Type="http://schemas.openxmlformats.org/officeDocument/2006/relationships/hyperlink" Target="javascript:__doLinkPostBack('','ss~~AU%20%22Garc&#237;a%20G&#243;mez%20A%22%7C%7Csl~~rl','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LinkPostBack('','ss~~AU%20%22Savu%20M%22%7C%7Csl~~rl','');" TargetMode="External"/><Relationship Id="rId12" Type="http://schemas.openxmlformats.org/officeDocument/2006/relationships/hyperlink" Target="javascript:__doLinkPostBack('','ss~~AU%20%22Salas%20Saiz%20MA%22%7C%7Csl~~rl',''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__doLinkPostBack('','ss~~AU%20%22Groesz%20LM%22%7C%7Csl~~rl','');" TargetMode="External"/><Relationship Id="rId11" Type="http://schemas.openxmlformats.org/officeDocument/2006/relationships/hyperlink" Target="javascript:__doLinkPostBack('','ss~~AU%20%22Lomas%20Meneses%20A%22%7C%7Csl~~rl','');" TargetMode="External"/><Relationship Id="rId5" Type="http://schemas.openxmlformats.org/officeDocument/2006/relationships/hyperlink" Target="javascript:__doLinkPostBack('','ss~~AU%20%22Rutledge%20T%22%7C%7Csl~~rl','');" TargetMode="External"/><Relationship Id="rId15" Type="http://schemas.openxmlformats.org/officeDocument/2006/relationships/hyperlink" Target="javascript:__doLinkPostBack('','ss~~AU%20%22Hagendoren%20CA%22%7C%7Csl~~rl','');" TargetMode="External"/><Relationship Id="rId10" Type="http://schemas.openxmlformats.org/officeDocument/2006/relationships/hyperlink" Target="javascript:__doLinkPostBack('','ss~~AU%20%22Molina%20Pacheco%20E%22%7C%7Csl~~rl','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ss~~AU%20%22Alfaro%20Mart&#237;nez%20JJ%22%7C%7Csl~~rl','');" TargetMode="External"/><Relationship Id="rId14" Type="http://schemas.openxmlformats.org/officeDocument/2006/relationships/hyperlink" Target="javascript:__doLinkPostBack('','ss~~AU%20%22Garc&#237;a%20Arce%20L%22%7C%7Csl~~rl',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7351</Characters>
  <Application>Microsoft Office Word</Application>
  <DocSecurity>0</DocSecurity>
  <Lines>61</Lines>
  <Paragraphs>17</Paragraphs>
  <ScaleCrop>false</ScaleCrop>
  <Company>DELLNBX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Kliiniline küsimus nr</dc:title>
  <dc:subject/>
  <dc:creator>Kirsti</dc:creator>
  <cp:keywords/>
  <dc:description/>
  <cp:lastModifiedBy>Kaur Liivak</cp:lastModifiedBy>
  <cp:revision>3</cp:revision>
  <dcterms:created xsi:type="dcterms:W3CDTF">2014-07-25T03:45:00Z</dcterms:created>
  <dcterms:modified xsi:type="dcterms:W3CDTF">2015-11-29T23:58:00Z</dcterms:modified>
</cp:coreProperties>
</file>