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6F" w:rsidRDefault="004C426F" w:rsidP="002D752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Kliiniline küsimus 6: </w:t>
      </w:r>
    </w:p>
    <w:p w:rsidR="004C426F" w:rsidRPr="0034114D" w:rsidRDefault="004C426F" w:rsidP="002D7520">
      <w:pPr>
        <w:autoSpaceDE w:val="0"/>
        <w:autoSpaceDN w:val="0"/>
        <w:adjustRightInd w:val="0"/>
        <w:spacing w:after="0" w:line="240" w:lineRule="auto"/>
        <w:rPr>
          <w:rFonts w:ascii="Times New Roman" w:hAnsi="Times New Roman"/>
          <w:sz w:val="24"/>
          <w:szCs w:val="24"/>
        </w:rPr>
      </w:pPr>
      <w:r w:rsidRPr="0034114D">
        <w:rPr>
          <w:rFonts w:ascii="Times New Roman" w:hAnsi="Times New Roman"/>
          <w:sz w:val="24"/>
          <w:szCs w:val="24"/>
        </w:rPr>
        <w:t>Kas patsiendi vahetu operatsioonieelne kaalu langetamine (preoperatiivne dieet) vs kaalu hoidmine samal tasemel (püsimine) vs kaalu mittemõjutamine mõjutab</w:t>
      </w:r>
    </w:p>
    <w:p w:rsidR="004C426F" w:rsidRPr="0034114D" w:rsidRDefault="004C426F" w:rsidP="002D7520">
      <w:pPr>
        <w:autoSpaceDE w:val="0"/>
        <w:autoSpaceDN w:val="0"/>
        <w:adjustRightInd w:val="0"/>
        <w:spacing w:after="0" w:line="240" w:lineRule="auto"/>
        <w:rPr>
          <w:rFonts w:ascii="Times New Roman" w:hAnsi="Times New Roman"/>
          <w:sz w:val="24"/>
          <w:szCs w:val="24"/>
        </w:rPr>
      </w:pPr>
      <w:r w:rsidRPr="0034114D">
        <w:rPr>
          <w:rFonts w:ascii="Times New Roman" w:hAnsi="Times New Roman"/>
          <w:sz w:val="24"/>
          <w:szCs w:val="24"/>
        </w:rPr>
        <w:t xml:space="preserve">ravitulemust? </w:t>
      </w:r>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b/>
          <w:sz w:val="24"/>
          <w:szCs w:val="24"/>
        </w:rPr>
        <w:t>Tulemusnäitajad</w:t>
      </w:r>
      <w:r w:rsidRPr="00184B57">
        <w:rPr>
          <w:rFonts w:ascii="Times New Roman" w:hAnsi="Times New Roman"/>
          <w:sz w:val="24"/>
          <w:szCs w:val="24"/>
        </w:rPr>
        <w:t>: Liigse kehakaalu ja KMI langus 5 ja enam aastat pärast bariaatrilist</w:t>
      </w:r>
    </w:p>
    <w:p w:rsidR="004C426F" w:rsidRPr="00184B57"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operatsiooni (excess weight loss), ravikulu vähenemine (5 aasta perspektiivis), hilisemate</w:t>
      </w:r>
    </w:p>
    <w:p w:rsidR="004C426F" w:rsidRPr="00184B57"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kirurgiliste ja mittekirurgiliste tüsistuste esinemissagedus?</w:t>
      </w:r>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Default="004C426F" w:rsidP="002D7520">
      <w:pPr>
        <w:autoSpaceDE w:val="0"/>
        <w:autoSpaceDN w:val="0"/>
        <w:adjustRightInd w:val="0"/>
        <w:spacing w:after="0" w:line="240" w:lineRule="auto"/>
        <w:rPr>
          <w:rFonts w:ascii="Times New Roman" w:hAnsi="Times New Roman"/>
          <w:b/>
          <w:sz w:val="24"/>
          <w:szCs w:val="24"/>
        </w:rPr>
      </w:pPr>
      <w:r w:rsidRPr="00184B57">
        <w:rPr>
          <w:rFonts w:ascii="Times New Roman" w:hAnsi="Times New Roman"/>
          <w:b/>
          <w:sz w:val="24"/>
          <w:szCs w:val="24"/>
        </w:rPr>
        <w:t>Kokkuvõte leitud kirjandusest</w:t>
      </w:r>
    </w:p>
    <w:p w:rsidR="004C426F" w:rsidRPr="00184B57" w:rsidRDefault="004C426F" w:rsidP="002D7520">
      <w:pPr>
        <w:autoSpaceDE w:val="0"/>
        <w:autoSpaceDN w:val="0"/>
        <w:adjustRightInd w:val="0"/>
        <w:spacing w:after="0" w:line="240" w:lineRule="auto"/>
        <w:rPr>
          <w:rFonts w:ascii="Times New Roman" w:hAnsi="Times New Roman"/>
          <w:b/>
          <w:sz w:val="24"/>
          <w:szCs w:val="24"/>
        </w:rPr>
      </w:pPr>
    </w:p>
    <w:p w:rsidR="004C426F"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663ED8" w:rsidP="002D7520">
      <w:pPr>
        <w:autoSpaceDE w:val="0"/>
        <w:autoSpaceDN w:val="0"/>
        <w:adjustRightInd w:val="0"/>
        <w:spacing w:after="0" w:line="240" w:lineRule="auto"/>
        <w:rPr>
          <w:rFonts w:ascii="Times New Roman" w:hAnsi="Times New Roman"/>
          <w:sz w:val="24"/>
          <w:szCs w:val="24"/>
        </w:rPr>
      </w:pPr>
      <w:r w:rsidRPr="00663E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margin-left:-4.1pt;margin-top:5.2pt;width:252.5pt;height:207.75pt;z-index:1;visibility:visible">
            <v:imagedata r:id="rId6" o:title=""/>
            <w10:wrap type="square"/>
          </v:shape>
        </w:pict>
      </w:r>
      <w:r w:rsidR="004C426F" w:rsidRPr="00184B57">
        <w:rPr>
          <w:rFonts w:ascii="Times New Roman" w:hAnsi="Times New Roman"/>
          <w:sz w:val="24"/>
          <w:szCs w:val="24"/>
        </w:rPr>
        <w:t>Operatsioonieelne EBW langetamine on seotud vähemate kirurgiliste komplikatsioonidega bypass operatsioonide  puhul, pöördvõrdeline seos EBW languse ja komplikatsioonide esinemissageduse vahel</w:t>
      </w:r>
      <w:r w:rsidR="004C426F" w:rsidRPr="00184B57">
        <w:rPr>
          <w:rStyle w:val="FootnoteReference"/>
          <w:rFonts w:ascii="Times New Roman" w:hAnsi="Times New Roman"/>
          <w:sz w:val="24"/>
          <w:szCs w:val="24"/>
        </w:rPr>
        <w:footnoteReference w:id="2"/>
      </w:r>
      <w:r w:rsidR="004C426F" w:rsidRPr="00184B57">
        <w:rPr>
          <w:rFonts w:ascii="Times New Roman" w:hAnsi="Times New Roman"/>
          <w:sz w:val="24"/>
          <w:szCs w:val="24"/>
        </w:rPr>
        <w:t>. Jälgitud on komplikatsioonide esinevust 30 POP jooksul.</w:t>
      </w:r>
    </w:p>
    <w:p w:rsidR="004C426F" w:rsidRDefault="004C426F">
      <w:pPr>
        <w:spacing w:after="0" w:line="240" w:lineRule="auto"/>
        <w:rPr>
          <w:rFonts w:ascii="Times New Roman" w:hAnsi="Times New Roman"/>
          <w:sz w:val="24"/>
          <w:szCs w:val="24"/>
        </w:rPr>
      </w:pPr>
      <w:r>
        <w:rPr>
          <w:rFonts w:ascii="Times New Roman" w:hAnsi="Times New Roman"/>
          <w:sz w:val="24"/>
          <w:szCs w:val="24"/>
        </w:rPr>
        <w:br w:type="page"/>
      </w:r>
    </w:p>
    <w:p w:rsidR="004C426F" w:rsidRPr="00184B57"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2011 publitseeritud süstemaatilises ülevaates leiti operatsioonieelne kaalulangetamine positiivse seosega operatsioonijärgse kaalulangusega 39% uuringutest, 62,5% uuringuid seoseid ei leidnud</w:t>
      </w:r>
      <w:r w:rsidRPr="00184B57">
        <w:rPr>
          <w:rStyle w:val="FootnoteReference"/>
          <w:rFonts w:ascii="Times New Roman" w:hAnsi="Times New Roman"/>
          <w:sz w:val="24"/>
          <w:szCs w:val="24"/>
        </w:rPr>
        <w:footnoteReference w:id="3"/>
      </w:r>
      <w:r w:rsidRPr="00184B57">
        <w:rPr>
          <w:rFonts w:ascii="Times New Roman" w:hAnsi="Times New Roman"/>
          <w:sz w:val="24"/>
          <w:szCs w:val="24"/>
        </w:rPr>
        <w:t>.</w:t>
      </w:r>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2012 süstemaatilises ülevaates leitakse, et uuringute tulemused varieeruvad kogu võimalikus ulatuses  ehk operatsioonieelne kaalulangetamine on mõnedes uuringutes positiivselt seotud operatsioonijärgse kaalulangusega, teistes jälle seos puudub või negatiivne – enamike uuringute tulemusi jääb positiivse ja puuduva seose vahele. Samas on paljudes uuringutes täpsustamata preoperatiivse kaalulangetamise kestvus ja ulatus (enamasti 5-10% EBW)</w:t>
      </w:r>
      <w:r w:rsidRPr="00184B57">
        <w:rPr>
          <w:rStyle w:val="FootnoteReference"/>
          <w:rFonts w:ascii="Times New Roman" w:hAnsi="Times New Roman"/>
          <w:sz w:val="24"/>
          <w:szCs w:val="24"/>
        </w:rPr>
        <w:footnoteReference w:id="4"/>
      </w:r>
      <w:r w:rsidRPr="00184B57">
        <w:rPr>
          <w:rFonts w:ascii="Times New Roman" w:hAnsi="Times New Roman"/>
          <w:sz w:val="24"/>
          <w:szCs w:val="24"/>
        </w:rPr>
        <w:t xml:space="preserve">. </w:t>
      </w:r>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4C426F" w:rsidP="002D7520">
      <w:pPr>
        <w:autoSpaceDE w:val="0"/>
        <w:autoSpaceDN w:val="0"/>
        <w:adjustRightInd w:val="0"/>
        <w:spacing w:after="0" w:line="240" w:lineRule="auto"/>
        <w:rPr>
          <w:rFonts w:ascii="Times New Roman" w:hAnsi="Times New Roman"/>
          <w:b/>
          <w:sz w:val="24"/>
          <w:szCs w:val="24"/>
        </w:rPr>
      </w:pPr>
      <w:r w:rsidRPr="00184B57">
        <w:rPr>
          <w:rFonts w:ascii="Times New Roman" w:hAnsi="Times New Roman"/>
          <w:b/>
          <w:sz w:val="24"/>
          <w:szCs w:val="24"/>
        </w:rPr>
        <w:t>Kokkuvõte ja täiendused</w:t>
      </w:r>
    </w:p>
    <w:p w:rsidR="004C426F"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Uuringute tulemused varieeruvad kogu võimalikus ulatuses. Konkreetset trendi ega statistilist olulist seost preoperatiivse kaalulangetamise ja operatsioonijärgse kaalulanguse vahel pole. On üksikud uuringud, mis näitavad mõlemapidist seost. Operatsioonieelsel kaalulangetamisel  on üksikutes uuringutes seos lühema operatsiooniaja ja vähemate kirurgiliste komplikatsioonide vahel.</w:t>
      </w:r>
    </w:p>
    <w:p w:rsidR="006E5748" w:rsidRDefault="006E5748" w:rsidP="002D7520">
      <w:pPr>
        <w:autoSpaceDE w:val="0"/>
        <w:autoSpaceDN w:val="0"/>
        <w:adjustRightInd w:val="0"/>
        <w:spacing w:after="0" w:line="240" w:lineRule="auto"/>
        <w:rPr>
          <w:rFonts w:ascii="Times New Roman" w:hAnsi="Times New Roman"/>
          <w:sz w:val="24"/>
          <w:szCs w:val="24"/>
        </w:rPr>
      </w:pPr>
    </w:p>
    <w:p w:rsidR="006E5748" w:rsidRPr="00184B57" w:rsidRDefault="006E5748" w:rsidP="006E5748">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 xml:space="preserve">2008 ASPEN ravijuhend viitab, et kahes uuringus leiti, et operatsioonieelne kaalulangetamine 10% on seotud suurema kaalulangusega 1 aasta pärast operatsiooni </w:t>
      </w:r>
      <w:r w:rsidRPr="00184B57">
        <w:rPr>
          <w:rStyle w:val="FootnoteReference"/>
          <w:rFonts w:ascii="Times New Roman" w:hAnsi="Times New Roman"/>
          <w:sz w:val="24"/>
          <w:szCs w:val="24"/>
        </w:rPr>
        <w:footnoteReference w:id="5"/>
      </w:r>
      <w:r w:rsidRPr="00184B57">
        <w:rPr>
          <w:rStyle w:val="FootnoteReference"/>
          <w:rFonts w:ascii="Times New Roman" w:hAnsi="Times New Roman"/>
          <w:sz w:val="24"/>
          <w:szCs w:val="24"/>
        </w:rPr>
        <w:footnoteReference w:id="6"/>
      </w:r>
      <w:r w:rsidRPr="00184B57">
        <w:rPr>
          <w:rFonts w:ascii="Times New Roman" w:hAnsi="Times New Roman"/>
          <w:sz w:val="24"/>
          <w:szCs w:val="24"/>
        </w:rPr>
        <w:t>. Alami jt leidsid, et preoperatiivne kaalulangetamine 10% on seotud lühiajalise operatsioonijärgse (6 kuud) suurenenud kaalulangusega, kuid mitte pikas perspektiivis</w:t>
      </w:r>
      <w:r w:rsidRPr="00184B57">
        <w:rPr>
          <w:rStyle w:val="FootnoteReference"/>
          <w:rFonts w:ascii="Times New Roman" w:hAnsi="Times New Roman"/>
          <w:sz w:val="24"/>
          <w:szCs w:val="24"/>
        </w:rPr>
        <w:footnoteReference w:id="7"/>
      </w:r>
      <w:r w:rsidRPr="00184B57">
        <w:rPr>
          <w:rFonts w:ascii="Times New Roman" w:hAnsi="Times New Roman"/>
          <w:sz w:val="24"/>
          <w:szCs w:val="24"/>
        </w:rPr>
        <w:t>. Samas kirjeldab üks uuring, et operatsioonieelne kaalulangetamine ei paranda operatsioonijärgset kaalulangust ja on seotud pigem kehvema ravisoostumisega</w:t>
      </w:r>
      <w:r w:rsidRPr="00184B57">
        <w:rPr>
          <w:rStyle w:val="FootnoteReference"/>
          <w:rFonts w:ascii="Times New Roman" w:hAnsi="Times New Roman"/>
          <w:sz w:val="24"/>
          <w:szCs w:val="24"/>
        </w:rPr>
        <w:footnoteReference w:id="8"/>
      </w:r>
      <w:r w:rsidRPr="00184B57">
        <w:rPr>
          <w:rFonts w:ascii="Times New Roman" w:hAnsi="Times New Roman"/>
          <w:sz w:val="24"/>
          <w:szCs w:val="24"/>
        </w:rPr>
        <w:t xml:space="preserve">. On leitud, et 2 nädalat enne operatsiooni väga madala kalorsusega dieet parandab operatsiooniaegset ligipääsu operatsioonipiirkonnale (maksa suuruse langus) </w:t>
      </w:r>
      <w:r w:rsidRPr="00184B57">
        <w:rPr>
          <w:rStyle w:val="FootnoteReference"/>
          <w:rFonts w:ascii="Times New Roman" w:hAnsi="Times New Roman"/>
          <w:sz w:val="24"/>
          <w:szCs w:val="24"/>
        </w:rPr>
        <w:footnoteReference w:id="9"/>
      </w:r>
      <w:r w:rsidRPr="00184B57">
        <w:rPr>
          <w:rFonts w:ascii="Times New Roman" w:hAnsi="Times New Roman"/>
          <w:sz w:val="24"/>
          <w:szCs w:val="24"/>
        </w:rPr>
        <w:t xml:space="preserve">. </w:t>
      </w:r>
    </w:p>
    <w:p w:rsidR="006E5748" w:rsidRPr="00184B57" w:rsidRDefault="006E5748" w:rsidP="006E5748">
      <w:pPr>
        <w:autoSpaceDE w:val="0"/>
        <w:autoSpaceDN w:val="0"/>
        <w:adjustRightInd w:val="0"/>
        <w:spacing w:after="0" w:line="240" w:lineRule="auto"/>
        <w:rPr>
          <w:rFonts w:ascii="Times New Roman" w:hAnsi="Times New Roman"/>
          <w:sz w:val="24"/>
          <w:szCs w:val="24"/>
        </w:rPr>
      </w:pPr>
    </w:p>
    <w:p w:rsidR="006E5748" w:rsidRPr="00184B57" w:rsidRDefault="006E5748" w:rsidP="006E5748">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2010 SIGN ravijuhen</w:t>
      </w:r>
      <w:r>
        <w:rPr>
          <w:rFonts w:ascii="Times New Roman" w:hAnsi="Times New Roman"/>
          <w:sz w:val="24"/>
          <w:szCs w:val="24"/>
        </w:rPr>
        <w:t>d</w:t>
      </w:r>
      <w:r w:rsidRPr="00184B57">
        <w:rPr>
          <w:rFonts w:ascii="Times New Roman" w:hAnsi="Times New Roman"/>
          <w:sz w:val="24"/>
          <w:szCs w:val="24"/>
        </w:rPr>
        <w:t xml:space="preserve"> väidab selgelt, et bypass operatsiooni puhul patsie</w:t>
      </w:r>
      <w:r>
        <w:rPr>
          <w:rFonts w:ascii="Times New Roman" w:hAnsi="Times New Roman"/>
          <w:sz w:val="24"/>
          <w:szCs w:val="24"/>
        </w:rPr>
        <w:t>ndi osalemine operatsioonieelses</w:t>
      </w:r>
      <w:r w:rsidRPr="00184B57">
        <w:rPr>
          <w:rFonts w:ascii="Times New Roman" w:hAnsi="Times New Roman"/>
          <w:sz w:val="24"/>
          <w:szCs w:val="24"/>
        </w:rPr>
        <w:t xml:space="preserve"> kaalulangetamise programmis ei mõjuta operatsioonijärgset kaalulangust</w:t>
      </w:r>
      <w:r w:rsidRPr="00184B57">
        <w:rPr>
          <w:rStyle w:val="FootnoteReference"/>
          <w:rFonts w:ascii="Times New Roman" w:hAnsi="Times New Roman"/>
          <w:sz w:val="24"/>
          <w:szCs w:val="24"/>
        </w:rPr>
        <w:footnoteReference w:id="10"/>
      </w:r>
      <w:r w:rsidRPr="00184B57">
        <w:rPr>
          <w:rFonts w:ascii="Times New Roman" w:hAnsi="Times New Roman"/>
          <w:sz w:val="24"/>
          <w:szCs w:val="24"/>
        </w:rPr>
        <w:t xml:space="preserve"> </w:t>
      </w:r>
      <w:r w:rsidRPr="00184B57">
        <w:rPr>
          <w:rStyle w:val="FootnoteReference"/>
          <w:rFonts w:ascii="Times New Roman" w:hAnsi="Times New Roman"/>
          <w:sz w:val="24"/>
          <w:szCs w:val="24"/>
        </w:rPr>
        <w:footnoteReference w:id="11"/>
      </w:r>
      <w:r w:rsidRPr="00184B57">
        <w:rPr>
          <w:rFonts w:ascii="Times New Roman" w:hAnsi="Times New Roman"/>
          <w:sz w:val="24"/>
          <w:szCs w:val="24"/>
        </w:rPr>
        <w:t xml:space="preserve">. </w:t>
      </w:r>
    </w:p>
    <w:p w:rsidR="006E5748" w:rsidRDefault="006E5748" w:rsidP="006E5748">
      <w:pPr>
        <w:autoSpaceDE w:val="0"/>
        <w:autoSpaceDN w:val="0"/>
        <w:adjustRightInd w:val="0"/>
        <w:spacing w:after="0" w:line="240" w:lineRule="auto"/>
        <w:rPr>
          <w:rFonts w:ascii="Times New Roman" w:hAnsi="Times New Roman"/>
          <w:sz w:val="24"/>
          <w:szCs w:val="24"/>
        </w:rPr>
      </w:pPr>
    </w:p>
    <w:p w:rsidR="006E5748" w:rsidRDefault="006E5748" w:rsidP="006E5748">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 xml:space="preserve">2009 publitseeritud </w:t>
      </w:r>
      <w:r>
        <w:rPr>
          <w:rFonts w:ascii="Times New Roman" w:hAnsi="Times New Roman"/>
          <w:sz w:val="24"/>
          <w:szCs w:val="24"/>
        </w:rPr>
        <w:t>süstemaatilises ülevaates</w:t>
      </w:r>
      <w:r w:rsidRPr="00184B57">
        <w:rPr>
          <w:rFonts w:ascii="Times New Roman" w:hAnsi="Times New Roman"/>
          <w:sz w:val="24"/>
          <w:szCs w:val="24"/>
        </w:rPr>
        <w:t xml:space="preserve"> leitakse, et operatsioonieelselt kaalulangetamine on seotud suurema kaalulangusega 1 aasta möödudes operatsioonist ja lühema operatsiooniajaga (keskmiselt 23.3 minutit)</w:t>
      </w:r>
      <w:r w:rsidRPr="00184B57">
        <w:rPr>
          <w:rStyle w:val="FootnoteReference"/>
          <w:rFonts w:ascii="Times New Roman" w:hAnsi="Times New Roman"/>
          <w:sz w:val="24"/>
          <w:szCs w:val="24"/>
        </w:rPr>
        <w:footnoteReference w:id="12"/>
      </w:r>
      <w:r w:rsidRPr="00184B57">
        <w:rPr>
          <w:rFonts w:ascii="Times New Roman" w:hAnsi="Times New Roman"/>
          <w:sz w:val="24"/>
          <w:szCs w:val="24"/>
        </w:rPr>
        <w:t xml:space="preserve">. </w:t>
      </w:r>
    </w:p>
    <w:p w:rsidR="006E5748" w:rsidRDefault="006E5748" w:rsidP="002D7520">
      <w:pPr>
        <w:autoSpaceDE w:val="0"/>
        <w:autoSpaceDN w:val="0"/>
        <w:adjustRightInd w:val="0"/>
        <w:spacing w:after="0" w:line="240" w:lineRule="auto"/>
        <w:rPr>
          <w:rFonts w:ascii="Times New Roman" w:hAnsi="Times New Roman"/>
          <w:sz w:val="24"/>
          <w:szCs w:val="24"/>
        </w:rPr>
      </w:pPr>
    </w:p>
    <w:p w:rsidR="006E5748" w:rsidRDefault="006E5748" w:rsidP="002D7520">
      <w:pPr>
        <w:autoSpaceDE w:val="0"/>
        <w:autoSpaceDN w:val="0"/>
        <w:adjustRightInd w:val="0"/>
        <w:spacing w:after="0" w:line="240" w:lineRule="auto"/>
        <w:rPr>
          <w:rFonts w:ascii="Times New Roman" w:hAnsi="Times New Roman"/>
          <w:sz w:val="24"/>
          <w:szCs w:val="24"/>
        </w:rPr>
      </w:pPr>
    </w:p>
    <w:p w:rsidR="006E5748" w:rsidRPr="00184B57" w:rsidRDefault="006E5748" w:rsidP="002D7520">
      <w:pPr>
        <w:autoSpaceDE w:val="0"/>
        <w:autoSpaceDN w:val="0"/>
        <w:adjustRightInd w:val="0"/>
        <w:spacing w:after="0" w:line="240" w:lineRule="auto"/>
        <w:rPr>
          <w:rFonts w:ascii="Times New Roman" w:hAnsi="Times New Roman"/>
          <w:sz w:val="24"/>
          <w:szCs w:val="24"/>
        </w:rPr>
      </w:pPr>
    </w:p>
    <w:p w:rsidR="004C426F" w:rsidRDefault="004C426F" w:rsidP="002D7520">
      <w:pPr>
        <w:autoSpaceDE w:val="0"/>
        <w:autoSpaceDN w:val="0"/>
        <w:adjustRightInd w:val="0"/>
        <w:spacing w:after="0" w:line="240" w:lineRule="auto"/>
        <w:rPr>
          <w:rFonts w:ascii="Times New Roman" w:hAnsi="Times New Roman"/>
          <w:sz w:val="24"/>
          <w:szCs w:val="24"/>
        </w:rPr>
      </w:pPr>
    </w:p>
    <w:p w:rsidR="004C426F" w:rsidRDefault="004C426F" w:rsidP="002D7520">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R="004C426F" w:rsidTr="002010A6">
        <w:tc>
          <w:tcPr>
            <w:tcW w:w="2303" w:type="dxa"/>
          </w:tcPr>
          <w:p w:rsidR="004C426F" w:rsidRPr="002010A6" w:rsidRDefault="004C426F" w:rsidP="002010A6">
            <w:pPr>
              <w:spacing w:after="0" w:line="240" w:lineRule="auto"/>
              <w:rPr>
                <w:rFonts w:ascii="Times New Roman" w:hAnsi="Times New Roman"/>
                <w:sz w:val="24"/>
                <w:szCs w:val="24"/>
              </w:rPr>
            </w:pPr>
            <w:r w:rsidRPr="002010A6">
              <w:rPr>
                <w:rFonts w:ascii="Times New Roman" w:hAnsi="Times New Roman"/>
                <w:sz w:val="24"/>
                <w:szCs w:val="24"/>
              </w:rPr>
              <w:lastRenderedPageBreak/>
              <w:t>Ravijuhend</w:t>
            </w:r>
          </w:p>
        </w:tc>
        <w:tc>
          <w:tcPr>
            <w:tcW w:w="2303" w:type="dxa"/>
          </w:tcPr>
          <w:p w:rsidR="004C426F" w:rsidRPr="002010A6" w:rsidRDefault="004C426F" w:rsidP="002010A6">
            <w:pPr>
              <w:spacing w:after="0" w:line="240" w:lineRule="auto"/>
              <w:rPr>
                <w:rFonts w:ascii="Times New Roman" w:hAnsi="Times New Roman"/>
                <w:sz w:val="24"/>
                <w:szCs w:val="24"/>
              </w:rPr>
            </w:pPr>
            <w:r w:rsidRPr="002010A6">
              <w:rPr>
                <w:rFonts w:ascii="Times New Roman" w:hAnsi="Times New Roman"/>
                <w:sz w:val="24"/>
                <w:szCs w:val="24"/>
              </w:rPr>
              <w:t>Ravijuhendis sisalduv tekst küsimuse kohta</w:t>
            </w:r>
          </w:p>
        </w:tc>
        <w:tc>
          <w:tcPr>
            <w:tcW w:w="2303" w:type="dxa"/>
          </w:tcPr>
          <w:p w:rsidR="004C426F" w:rsidRPr="002010A6" w:rsidRDefault="004C426F" w:rsidP="002010A6">
            <w:pPr>
              <w:spacing w:after="0" w:line="240" w:lineRule="auto"/>
              <w:rPr>
                <w:rFonts w:ascii="Times New Roman" w:hAnsi="Times New Roman"/>
                <w:sz w:val="24"/>
                <w:szCs w:val="24"/>
              </w:rPr>
            </w:pPr>
            <w:r w:rsidRPr="002010A6">
              <w:rPr>
                <w:rFonts w:ascii="Times New Roman" w:hAnsi="Times New Roman"/>
                <w:sz w:val="24"/>
                <w:szCs w:val="24"/>
              </w:rPr>
              <w:t>Viited</w:t>
            </w:r>
          </w:p>
        </w:tc>
        <w:tc>
          <w:tcPr>
            <w:tcW w:w="2303" w:type="dxa"/>
          </w:tcPr>
          <w:p w:rsidR="004C426F" w:rsidRPr="002010A6" w:rsidRDefault="004C426F" w:rsidP="002010A6">
            <w:pPr>
              <w:spacing w:after="0" w:line="240" w:lineRule="auto"/>
              <w:rPr>
                <w:rFonts w:ascii="Times New Roman" w:hAnsi="Times New Roman"/>
                <w:sz w:val="24"/>
                <w:szCs w:val="24"/>
              </w:rPr>
            </w:pPr>
            <w:r w:rsidRPr="002010A6">
              <w:rPr>
                <w:rFonts w:ascii="Times New Roman" w:hAnsi="Times New Roman"/>
                <w:sz w:val="24"/>
                <w:szCs w:val="24"/>
              </w:rPr>
              <w:t>Ravijuhendis hõlmatud kirjanduse otsingu vahemik</w:t>
            </w:r>
          </w:p>
        </w:tc>
      </w:tr>
      <w:tr w:rsidR="004C426F" w:rsidTr="002010A6">
        <w:tc>
          <w:tcPr>
            <w:tcW w:w="2303" w:type="dxa"/>
          </w:tcPr>
          <w:p w:rsidR="004C426F" w:rsidRPr="002010A6" w:rsidRDefault="004C426F" w:rsidP="002010A6">
            <w:pPr>
              <w:spacing w:after="0" w:line="240" w:lineRule="auto"/>
              <w:jc w:val="both"/>
              <w:rPr>
                <w:rFonts w:ascii="Times New Roman" w:hAnsi="Times New Roman"/>
                <w:sz w:val="24"/>
                <w:szCs w:val="24"/>
              </w:rPr>
            </w:pPr>
            <w:r w:rsidRPr="002010A6">
              <w:rPr>
                <w:rFonts w:ascii="Times New Roman" w:hAnsi="Times New Roman"/>
                <w:sz w:val="24"/>
                <w:szCs w:val="24"/>
              </w:rPr>
              <w:t>American Association of Clinical Endocrinologists, The Obesity Society,</w:t>
            </w:r>
          </w:p>
          <w:p w:rsidR="004C426F" w:rsidRPr="002010A6" w:rsidRDefault="004C426F" w:rsidP="002010A6">
            <w:pPr>
              <w:spacing w:after="0" w:line="240" w:lineRule="auto"/>
              <w:jc w:val="both"/>
              <w:rPr>
                <w:rFonts w:ascii="Times New Roman" w:hAnsi="Times New Roman"/>
                <w:sz w:val="24"/>
                <w:szCs w:val="24"/>
              </w:rPr>
            </w:pPr>
            <w:r w:rsidRPr="002010A6">
              <w:rPr>
                <w:rFonts w:ascii="Times New Roman" w:hAnsi="Times New Roman"/>
                <w:sz w:val="24"/>
                <w:szCs w:val="24"/>
              </w:rPr>
              <w:t>and American Society for Metabolic &amp; Bariatric Surgery Medical</w:t>
            </w:r>
          </w:p>
          <w:p w:rsidR="004C426F" w:rsidRPr="002010A6" w:rsidRDefault="004C426F" w:rsidP="002010A6">
            <w:pPr>
              <w:spacing w:after="0" w:line="240" w:lineRule="auto"/>
              <w:jc w:val="both"/>
              <w:rPr>
                <w:rFonts w:ascii="Times New Roman" w:hAnsi="Times New Roman"/>
                <w:sz w:val="24"/>
                <w:szCs w:val="24"/>
              </w:rPr>
            </w:pPr>
            <w:r w:rsidRPr="002010A6">
              <w:rPr>
                <w:rFonts w:ascii="Times New Roman" w:hAnsi="Times New Roman"/>
                <w:sz w:val="24"/>
                <w:szCs w:val="24"/>
              </w:rPr>
              <w:t>Guidelines for Clinical Practice for the Perioperative Nutritional,</w:t>
            </w:r>
          </w:p>
          <w:p w:rsidR="004C426F" w:rsidRPr="002010A6" w:rsidRDefault="004C426F" w:rsidP="002010A6">
            <w:pPr>
              <w:spacing w:after="0" w:line="240" w:lineRule="auto"/>
              <w:jc w:val="both"/>
              <w:rPr>
                <w:rFonts w:ascii="Times New Roman" w:hAnsi="Times New Roman"/>
                <w:sz w:val="24"/>
                <w:szCs w:val="24"/>
              </w:rPr>
            </w:pPr>
            <w:r w:rsidRPr="002010A6">
              <w:rPr>
                <w:rFonts w:ascii="Times New Roman" w:hAnsi="Times New Roman"/>
                <w:sz w:val="24"/>
                <w:szCs w:val="24"/>
              </w:rPr>
              <w:t>Metabolic, and Nonsurgical Support of the Bariatric Surgery Patient. 2008</w:t>
            </w:r>
          </w:p>
        </w:tc>
        <w:tc>
          <w:tcPr>
            <w:tcW w:w="2303" w:type="dxa"/>
          </w:tcPr>
          <w:p w:rsidR="004C426F" w:rsidRPr="002010A6" w:rsidRDefault="004C426F" w:rsidP="002010A6">
            <w:pPr>
              <w:autoSpaceDE w:val="0"/>
              <w:autoSpaceDN w:val="0"/>
              <w:adjustRightInd w:val="0"/>
              <w:spacing w:after="0" w:line="240" w:lineRule="auto"/>
              <w:rPr>
                <w:rFonts w:ascii="Times-Roman" w:hAnsi="Times-Roman" w:cs="Times-Roman"/>
                <w:sz w:val="20"/>
                <w:szCs w:val="20"/>
              </w:rPr>
            </w:pPr>
            <w:r w:rsidRPr="002010A6">
              <w:rPr>
                <w:rFonts w:ascii="Times-Roman" w:hAnsi="Times-Roman" w:cs="Times-Roman"/>
                <w:sz w:val="20"/>
                <w:szCs w:val="20"/>
              </w:rPr>
              <w:t>A controversial issue that is reflected by the divergent preoperative strategies among various bariatric programs in the</w:t>
            </w:r>
          </w:p>
          <w:p w:rsidR="004C426F" w:rsidRPr="002010A6" w:rsidRDefault="004C426F" w:rsidP="002010A6">
            <w:pPr>
              <w:autoSpaceDE w:val="0"/>
              <w:autoSpaceDN w:val="0"/>
              <w:adjustRightInd w:val="0"/>
              <w:spacing w:after="0" w:line="240" w:lineRule="auto"/>
              <w:rPr>
                <w:rFonts w:ascii="Times-Roman" w:hAnsi="Times-Roman" w:cs="Times-Roman"/>
                <w:sz w:val="20"/>
                <w:szCs w:val="20"/>
              </w:rPr>
            </w:pPr>
            <w:r w:rsidRPr="002010A6">
              <w:rPr>
                <w:rFonts w:ascii="Times-Roman" w:hAnsi="Times-Roman" w:cs="Times-Roman"/>
                <w:sz w:val="20"/>
                <w:szCs w:val="20"/>
              </w:rPr>
              <w:t xml:space="preserve">United States is whether or not patients should lose weight (approx. 10%) </w:t>
            </w:r>
            <w:r w:rsidRPr="002010A6">
              <w:rPr>
                <w:rFonts w:ascii="Times-Italic" w:hAnsi="Times-Italic" w:cs="Times-Italic"/>
                <w:i/>
                <w:iCs/>
                <w:sz w:val="20"/>
                <w:szCs w:val="20"/>
              </w:rPr>
              <w:t xml:space="preserve">before </w:t>
            </w:r>
            <w:r w:rsidRPr="002010A6">
              <w:rPr>
                <w:rFonts w:ascii="Times-Roman" w:hAnsi="Times-Roman" w:cs="Times-Roman"/>
                <w:sz w:val="20"/>
                <w:szCs w:val="20"/>
              </w:rPr>
              <w:t>bariatric surgery. Two studies</w:t>
            </w:r>
          </w:p>
          <w:p w:rsidR="004C426F" w:rsidRPr="002010A6" w:rsidRDefault="004C426F" w:rsidP="002010A6">
            <w:pPr>
              <w:autoSpaceDE w:val="0"/>
              <w:autoSpaceDN w:val="0"/>
              <w:adjustRightInd w:val="0"/>
              <w:spacing w:after="0" w:line="240" w:lineRule="auto"/>
              <w:rPr>
                <w:rFonts w:ascii="Times-Roman" w:hAnsi="Times-Roman" w:cs="Times-Roman"/>
                <w:sz w:val="20"/>
                <w:szCs w:val="20"/>
              </w:rPr>
            </w:pPr>
            <w:r w:rsidRPr="002010A6">
              <w:rPr>
                <w:rFonts w:ascii="Times-Roman" w:hAnsi="Times-Roman" w:cs="Times-Roman"/>
                <w:sz w:val="20"/>
                <w:szCs w:val="20"/>
              </w:rPr>
              <w:t xml:space="preserve">suggested that pre-operative weight loss was associated with greater weight loss 1 year postoperatively [49 </w:t>
            </w:r>
            <w:r w:rsidRPr="002010A6">
              <w:rPr>
                <w:rFonts w:ascii="Times-Bold" w:hAnsi="Times-Bold" w:cs="Times-Bold"/>
                <w:b/>
                <w:bCs/>
                <w:sz w:val="20"/>
                <w:szCs w:val="20"/>
              </w:rPr>
              <w:t xml:space="preserve">[EL 3], </w:t>
            </w:r>
            <w:r w:rsidRPr="002010A6">
              <w:rPr>
                <w:rFonts w:ascii="Times-Roman" w:hAnsi="Times-Roman" w:cs="Times-Roman"/>
                <w:sz w:val="20"/>
                <w:szCs w:val="20"/>
              </w:rPr>
              <w:t xml:space="preserve">50 </w:t>
            </w:r>
            <w:r w:rsidRPr="002010A6">
              <w:rPr>
                <w:rFonts w:ascii="Times-Bold" w:hAnsi="Times-Bold" w:cs="Times-Bold"/>
                <w:b/>
                <w:bCs/>
                <w:sz w:val="20"/>
                <w:szCs w:val="20"/>
              </w:rPr>
              <w:t>[EL 2]</w:t>
            </w:r>
            <w:r w:rsidRPr="002010A6">
              <w:rPr>
                <w:rFonts w:ascii="Times-Roman" w:hAnsi="Times-Roman" w:cs="Times-Roman"/>
                <w:sz w:val="20"/>
                <w:szCs w:val="20"/>
              </w:rPr>
              <w:t xml:space="preserve">]. In a randomized study of 100 patients undergoing RYGB, Alami et al [51 </w:t>
            </w:r>
            <w:r w:rsidRPr="002010A6">
              <w:rPr>
                <w:rFonts w:ascii="Times-Bold" w:hAnsi="Times-Bold" w:cs="Times-Bold"/>
                <w:b/>
                <w:bCs/>
                <w:sz w:val="20"/>
                <w:szCs w:val="20"/>
              </w:rPr>
              <w:t>[EL 2]</w:t>
            </w:r>
            <w:r w:rsidRPr="002010A6">
              <w:rPr>
                <w:rFonts w:ascii="Times-Roman" w:hAnsi="Times-Roman" w:cs="Times-Roman"/>
                <w:sz w:val="20"/>
                <w:szCs w:val="20"/>
              </w:rPr>
              <w:t>] found that preoperative weight loss of 10% was associated with improved short-term (6 months) but not long-term weight loss. In contrast, another study found that insurance-mandated preoperative weight loss did not improve postoperative weight loss and was associated with increased</w:t>
            </w:r>
          </w:p>
          <w:p w:rsidR="004C426F" w:rsidRPr="002010A6" w:rsidRDefault="004C426F" w:rsidP="002010A6">
            <w:pPr>
              <w:autoSpaceDE w:val="0"/>
              <w:autoSpaceDN w:val="0"/>
              <w:adjustRightInd w:val="0"/>
              <w:spacing w:after="0" w:line="240" w:lineRule="auto"/>
              <w:rPr>
                <w:rFonts w:ascii="Times-Roman" w:hAnsi="Times-Roman" w:cs="Times-Roman"/>
                <w:sz w:val="20"/>
                <w:szCs w:val="20"/>
              </w:rPr>
            </w:pPr>
            <w:r w:rsidRPr="002010A6">
              <w:rPr>
                <w:rFonts w:ascii="Times-Roman" w:hAnsi="Times-Roman" w:cs="Times-Roman"/>
                <w:sz w:val="20"/>
                <w:szCs w:val="20"/>
              </w:rPr>
              <w:t xml:space="preserve">dropout rates before gastric bypass surgery [52 </w:t>
            </w:r>
            <w:r w:rsidRPr="002010A6">
              <w:rPr>
                <w:rFonts w:ascii="Times-Bold" w:hAnsi="Times-Bold" w:cs="Times-Bold"/>
                <w:b/>
                <w:bCs/>
                <w:sz w:val="20"/>
                <w:szCs w:val="20"/>
              </w:rPr>
              <w:t>[EL 3]</w:t>
            </w:r>
            <w:r w:rsidRPr="002010A6">
              <w:rPr>
                <w:rFonts w:ascii="Times-Roman" w:hAnsi="Times-Roman" w:cs="Times-Roman"/>
                <w:sz w:val="20"/>
                <w:szCs w:val="20"/>
              </w:rPr>
              <w:t>]. A recent study, however, suggested a more functional benefit of preoperative weight loss. In this prospective trial, at least 2 weeks of a very-low-calorie meal plan preoperatively significantly reduced liver volume and thereby potentially improved</w:t>
            </w:r>
          </w:p>
          <w:p w:rsidR="004C426F" w:rsidRPr="002010A6" w:rsidRDefault="004C426F" w:rsidP="002010A6">
            <w:pPr>
              <w:autoSpaceDE w:val="0"/>
              <w:autoSpaceDN w:val="0"/>
              <w:adjustRightInd w:val="0"/>
              <w:spacing w:after="0" w:line="240" w:lineRule="auto"/>
              <w:rPr>
                <w:rFonts w:ascii="Times-Roman" w:hAnsi="Times-Roman" w:cs="Times-Roman"/>
                <w:sz w:val="20"/>
                <w:szCs w:val="20"/>
              </w:rPr>
            </w:pPr>
            <w:r w:rsidRPr="002010A6">
              <w:rPr>
                <w:rFonts w:ascii="Times-Roman" w:hAnsi="Times-Roman" w:cs="Times-Roman"/>
                <w:sz w:val="20"/>
                <w:szCs w:val="20"/>
              </w:rPr>
              <w:t xml:space="preserve">operative exposure [54 </w:t>
            </w:r>
            <w:r w:rsidRPr="002010A6">
              <w:rPr>
                <w:rFonts w:ascii="Times-Bold" w:hAnsi="Times-Bold" w:cs="Times-Bold"/>
                <w:b/>
                <w:bCs/>
                <w:sz w:val="20"/>
                <w:szCs w:val="20"/>
              </w:rPr>
              <w:t>[EL 2]</w:t>
            </w:r>
            <w:r w:rsidRPr="002010A6">
              <w:rPr>
                <w:rFonts w:ascii="Times-Roman" w:hAnsi="Times-Roman" w:cs="Times-Roman"/>
                <w:sz w:val="20"/>
                <w:szCs w:val="20"/>
              </w:rPr>
              <w:t>]. On balance, consideration should be given to recommendation of preoperative weight</w:t>
            </w:r>
          </w:p>
          <w:p w:rsidR="004C426F" w:rsidRPr="002010A6" w:rsidRDefault="004C426F" w:rsidP="002010A6">
            <w:pPr>
              <w:spacing w:after="0" w:line="240" w:lineRule="auto"/>
              <w:rPr>
                <w:rFonts w:ascii="Times New Roman" w:hAnsi="Times New Roman"/>
                <w:sz w:val="24"/>
                <w:szCs w:val="24"/>
              </w:rPr>
            </w:pPr>
            <w:r w:rsidRPr="002010A6">
              <w:rPr>
                <w:rFonts w:ascii="Times-Roman" w:hAnsi="Times-Roman" w:cs="Times-Roman"/>
                <w:sz w:val="20"/>
                <w:szCs w:val="20"/>
              </w:rPr>
              <w:t>loss, particularly in patients with hepato-megaly.</w:t>
            </w:r>
          </w:p>
        </w:tc>
        <w:tc>
          <w:tcPr>
            <w:tcW w:w="2303" w:type="dxa"/>
          </w:tcPr>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Still CD, Benotti P, Wood GC, et al. Outcomes of preoperative</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weight loss in high-risk patients undergoing gastric bypass surgery.</w:t>
            </w:r>
          </w:p>
          <w:p w:rsidR="004C426F" w:rsidRPr="002010A6" w:rsidRDefault="004C426F" w:rsidP="002010A6">
            <w:pPr>
              <w:autoSpaceDE w:val="0"/>
              <w:autoSpaceDN w:val="0"/>
              <w:adjustRightInd w:val="0"/>
              <w:spacing w:after="0" w:line="240" w:lineRule="auto"/>
              <w:rPr>
                <w:rFonts w:ascii="Times-Bold" w:hAnsi="Times-Bold" w:cs="Times-Bold"/>
                <w:b/>
                <w:bCs/>
                <w:sz w:val="16"/>
                <w:szCs w:val="16"/>
              </w:rPr>
            </w:pPr>
            <w:r w:rsidRPr="002010A6">
              <w:rPr>
                <w:rFonts w:ascii="Times-Roman" w:hAnsi="Times-Roman" w:cs="Times-Roman"/>
                <w:sz w:val="16"/>
                <w:szCs w:val="16"/>
              </w:rPr>
              <w:t xml:space="preserve">Arch Surg 2007;142:994 –998. </w:t>
            </w:r>
            <w:r w:rsidRPr="002010A6">
              <w:rPr>
                <w:rFonts w:ascii="Times-Bold" w:hAnsi="Times-Bold" w:cs="Times-Bold"/>
                <w:b/>
                <w:bCs/>
                <w:sz w:val="16"/>
                <w:szCs w:val="16"/>
              </w:rPr>
              <w:t>[EL 2]</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[51] Alami RS, Morton JM, Schuster R, et al. Is there a benefit to</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preoperative weight loss in gastric bypass patients? A prospective</w:t>
            </w:r>
          </w:p>
          <w:p w:rsidR="004C426F" w:rsidRPr="002010A6" w:rsidRDefault="004C426F" w:rsidP="002010A6">
            <w:pPr>
              <w:autoSpaceDE w:val="0"/>
              <w:autoSpaceDN w:val="0"/>
              <w:adjustRightInd w:val="0"/>
              <w:spacing w:after="0" w:line="240" w:lineRule="auto"/>
              <w:rPr>
                <w:rFonts w:ascii="Times-Bold" w:hAnsi="Times-Bold" w:cs="Times-Bold"/>
                <w:b/>
                <w:bCs/>
                <w:sz w:val="16"/>
                <w:szCs w:val="16"/>
              </w:rPr>
            </w:pPr>
            <w:r w:rsidRPr="002010A6">
              <w:rPr>
                <w:rFonts w:ascii="Times-Roman" w:hAnsi="Times-Roman" w:cs="Times-Roman"/>
                <w:sz w:val="16"/>
                <w:szCs w:val="16"/>
              </w:rPr>
              <w:t xml:space="preserve">randomized trial. Surg Obes Relat Dis 2007;3:141–145. </w:t>
            </w:r>
            <w:r w:rsidRPr="002010A6">
              <w:rPr>
                <w:rFonts w:ascii="Times-Bold" w:hAnsi="Times-Bold" w:cs="Times-Bold"/>
                <w:b/>
                <w:bCs/>
                <w:sz w:val="16"/>
                <w:szCs w:val="16"/>
              </w:rPr>
              <w:t>[EL 2]</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[52] Jamal MK, DeMaria EJ, Johnson JM, et al. Insurance-mandated</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preoperative dietary counseling does not improve outcome and increases dropout rates in patients considering gastric bypass surgery</w:t>
            </w:r>
          </w:p>
          <w:p w:rsidR="004C426F" w:rsidRPr="002010A6" w:rsidRDefault="004C426F" w:rsidP="002010A6">
            <w:pPr>
              <w:autoSpaceDE w:val="0"/>
              <w:autoSpaceDN w:val="0"/>
              <w:adjustRightInd w:val="0"/>
              <w:spacing w:after="0" w:line="240" w:lineRule="auto"/>
              <w:rPr>
                <w:rFonts w:ascii="Times-Bold" w:hAnsi="Times-Bold" w:cs="Times-Bold"/>
                <w:b/>
                <w:bCs/>
                <w:sz w:val="16"/>
                <w:szCs w:val="16"/>
              </w:rPr>
            </w:pPr>
            <w:r w:rsidRPr="002010A6">
              <w:rPr>
                <w:rFonts w:ascii="Times-Roman" w:hAnsi="Times-Roman" w:cs="Times-Roman"/>
                <w:sz w:val="16"/>
                <w:szCs w:val="16"/>
              </w:rPr>
              <w:t xml:space="preserve">for morbid obesity. Surg Obes Relat Dis 2006;2:122–127. </w:t>
            </w:r>
            <w:r w:rsidRPr="002010A6">
              <w:rPr>
                <w:rFonts w:ascii="Times-Bold" w:hAnsi="Times-Bold" w:cs="Times-Bold"/>
                <w:b/>
                <w:bCs/>
                <w:sz w:val="16"/>
                <w:szCs w:val="16"/>
              </w:rPr>
              <w:t>[EL 3]</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[53] Gibbons LM, Sarwer DB, Crerand CE, et al. Previous weight loss</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experiences of bariatric surgery candidates: how much have patients</w:t>
            </w:r>
          </w:p>
          <w:p w:rsidR="004C426F" w:rsidRPr="002010A6" w:rsidRDefault="004C426F" w:rsidP="002010A6">
            <w:pPr>
              <w:autoSpaceDE w:val="0"/>
              <w:autoSpaceDN w:val="0"/>
              <w:adjustRightInd w:val="0"/>
              <w:spacing w:after="0" w:line="240" w:lineRule="auto"/>
              <w:rPr>
                <w:rFonts w:ascii="Times-Bold" w:hAnsi="Times-Bold" w:cs="Times-Bold"/>
                <w:b/>
                <w:bCs/>
                <w:sz w:val="16"/>
                <w:szCs w:val="16"/>
              </w:rPr>
            </w:pPr>
            <w:r w:rsidRPr="002010A6">
              <w:rPr>
                <w:rFonts w:ascii="Times-Roman" w:hAnsi="Times-Roman" w:cs="Times-Roman"/>
                <w:sz w:val="16"/>
                <w:szCs w:val="16"/>
              </w:rPr>
              <w:t xml:space="preserve">dieted prior to surgery? Obesity 2006;14(suppl 2):70S–76S. </w:t>
            </w:r>
            <w:r w:rsidRPr="002010A6">
              <w:rPr>
                <w:rFonts w:ascii="Times-Bold" w:hAnsi="Times-Bold" w:cs="Times-Bold"/>
                <w:b/>
                <w:bCs/>
                <w:sz w:val="16"/>
                <w:szCs w:val="16"/>
              </w:rPr>
              <w:t>[EL 3]</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[54] Colles SL, Dixon JB, Marks P, Strauss BJ, O’Brien PE. Preoperative</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weight loss with a very-low-energy diet: quantitation of changes in</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Times-Roman" w:hAnsi="Times-Roman" w:cs="Times-Roman"/>
                <w:sz w:val="16"/>
                <w:szCs w:val="16"/>
              </w:rPr>
              <w:t>liver and abdominal fat by serial imaging. Am J Clin Nutr 2006;84:</w:t>
            </w:r>
          </w:p>
          <w:p w:rsidR="004C426F" w:rsidRPr="002010A6" w:rsidRDefault="004C426F" w:rsidP="002010A6">
            <w:pPr>
              <w:spacing w:after="0" w:line="240" w:lineRule="auto"/>
              <w:rPr>
                <w:rFonts w:ascii="Times New Roman" w:hAnsi="Times New Roman"/>
                <w:sz w:val="24"/>
                <w:szCs w:val="24"/>
              </w:rPr>
            </w:pPr>
            <w:r w:rsidRPr="002010A6">
              <w:rPr>
                <w:rFonts w:ascii="Times-Roman" w:hAnsi="Times-Roman" w:cs="Times-Roman"/>
                <w:sz w:val="16"/>
                <w:szCs w:val="16"/>
              </w:rPr>
              <w:t xml:space="preserve">304–311. </w:t>
            </w:r>
            <w:r w:rsidRPr="002010A6">
              <w:rPr>
                <w:rFonts w:ascii="Times-Bold" w:hAnsi="Times-Bold" w:cs="Times-Bold"/>
                <w:b/>
                <w:bCs/>
                <w:sz w:val="16"/>
                <w:szCs w:val="16"/>
              </w:rPr>
              <w:t>[EL 2]</w:t>
            </w:r>
          </w:p>
        </w:tc>
        <w:tc>
          <w:tcPr>
            <w:tcW w:w="2303" w:type="dxa"/>
          </w:tcPr>
          <w:p w:rsidR="004C426F" w:rsidRPr="002010A6" w:rsidRDefault="004C426F" w:rsidP="002010A6">
            <w:pPr>
              <w:spacing w:after="0" w:line="240" w:lineRule="auto"/>
              <w:rPr>
                <w:rFonts w:ascii="Times New Roman" w:hAnsi="Times New Roman"/>
                <w:sz w:val="24"/>
                <w:szCs w:val="24"/>
              </w:rPr>
            </w:pPr>
            <w:r w:rsidRPr="002010A6">
              <w:rPr>
                <w:rFonts w:ascii="Times New Roman" w:hAnsi="Times New Roman"/>
                <w:sz w:val="24"/>
                <w:szCs w:val="24"/>
              </w:rPr>
              <w:t>Kuni 2008</w:t>
            </w:r>
          </w:p>
        </w:tc>
      </w:tr>
      <w:tr w:rsidR="004C426F" w:rsidTr="002010A6">
        <w:tc>
          <w:tcPr>
            <w:tcW w:w="2303" w:type="dxa"/>
          </w:tcPr>
          <w:p w:rsidR="004C426F" w:rsidRPr="002010A6" w:rsidRDefault="004C426F" w:rsidP="002010A6">
            <w:pPr>
              <w:spacing w:after="0" w:line="240" w:lineRule="auto"/>
              <w:jc w:val="both"/>
              <w:rPr>
                <w:rFonts w:ascii="Times New Roman" w:hAnsi="Times New Roman"/>
                <w:sz w:val="24"/>
                <w:szCs w:val="24"/>
              </w:rPr>
            </w:pPr>
            <w:r w:rsidRPr="002010A6">
              <w:rPr>
                <w:rFonts w:ascii="Times New Roman" w:hAnsi="Times New Roman"/>
                <w:sz w:val="24"/>
                <w:szCs w:val="24"/>
              </w:rPr>
              <w:t xml:space="preserve">Management of </w:t>
            </w:r>
            <w:r w:rsidRPr="002010A6">
              <w:rPr>
                <w:rFonts w:ascii="Times New Roman" w:hAnsi="Times New Roman"/>
                <w:sz w:val="24"/>
                <w:szCs w:val="24"/>
              </w:rPr>
              <w:lastRenderedPageBreak/>
              <w:t>Obesity. SIGN, 2010.</w:t>
            </w:r>
          </w:p>
        </w:tc>
        <w:tc>
          <w:tcPr>
            <w:tcW w:w="2303" w:type="dxa"/>
          </w:tcPr>
          <w:p w:rsidR="004C426F" w:rsidRPr="002010A6" w:rsidRDefault="004C426F" w:rsidP="002010A6">
            <w:pPr>
              <w:autoSpaceDE w:val="0"/>
              <w:autoSpaceDN w:val="0"/>
              <w:adjustRightInd w:val="0"/>
              <w:spacing w:after="0" w:line="240" w:lineRule="auto"/>
              <w:rPr>
                <w:rFonts w:ascii="CGOmega" w:hAnsi="CGOmega" w:cs="CGOmega"/>
                <w:sz w:val="20"/>
                <w:szCs w:val="20"/>
              </w:rPr>
            </w:pPr>
            <w:r w:rsidRPr="002010A6">
              <w:rPr>
                <w:rFonts w:ascii="CGOmega" w:hAnsi="CGOmega" w:cs="CGOmega"/>
                <w:sz w:val="20"/>
                <w:szCs w:val="20"/>
              </w:rPr>
              <w:lastRenderedPageBreak/>
              <w:t xml:space="preserve">In patients scheduled </w:t>
            </w:r>
            <w:r w:rsidRPr="002010A6">
              <w:rPr>
                <w:rFonts w:ascii="CGOmega" w:hAnsi="CGOmega" w:cs="CGOmega"/>
                <w:sz w:val="20"/>
                <w:szCs w:val="20"/>
              </w:rPr>
              <w:lastRenderedPageBreak/>
              <w:t>to receive gastric bypass surgery, participation in pre-operative weight</w:t>
            </w:r>
          </w:p>
          <w:p w:rsidR="004C426F" w:rsidRPr="002010A6" w:rsidRDefault="004C426F" w:rsidP="002010A6">
            <w:pPr>
              <w:autoSpaceDE w:val="0"/>
              <w:autoSpaceDN w:val="0"/>
              <w:adjustRightInd w:val="0"/>
              <w:spacing w:after="0" w:line="240" w:lineRule="auto"/>
              <w:rPr>
                <w:rFonts w:ascii="Times-Roman" w:hAnsi="Times-Roman" w:cs="Times-Roman"/>
                <w:sz w:val="20"/>
                <w:szCs w:val="20"/>
              </w:rPr>
            </w:pPr>
            <w:r w:rsidRPr="002010A6">
              <w:rPr>
                <w:rFonts w:ascii="CGOmega" w:hAnsi="CGOmega" w:cs="CGOmega"/>
                <w:sz w:val="20"/>
                <w:szCs w:val="20"/>
              </w:rPr>
              <w:t>loss programmes does not lead to greater post-surgical weight loss.</w:t>
            </w:r>
            <w:r w:rsidRPr="002010A6">
              <w:rPr>
                <w:vertAlign w:val="superscript"/>
              </w:rPr>
              <w:t>200-202</w:t>
            </w:r>
            <w:r w:rsidRPr="002010A6">
              <w:rPr>
                <w:rFonts w:ascii="CGOmega" w:hAnsi="CGOmega" w:cs="CGOmega"/>
                <w:sz w:val="12"/>
                <w:szCs w:val="12"/>
              </w:rPr>
              <w:t xml:space="preserve"> </w:t>
            </w:r>
            <w:r w:rsidRPr="00D34AC1">
              <w:t>2+</w:t>
            </w:r>
          </w:p>
        </w:tc>
        <w:tc>
          <w:tcPr>
            <w:tcW w:w="2303" w:type="dxa"/>
          </w:tcPr>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lastRenderedPageBreak/>
              <w:t xml:space="preserve">200. Jamal MK, DeMaria EJ, Johnson JM, Carmody BJ, Wolfe </w:t>
            </w:r>
            <w:r w:rsidRPr="002010A6">
              <w:rPr>
                <w:rFonts w:ascii="CGOmega" w:hAnsi="CGOmega" w:cs="CGOmega"/>
                <w:sz w:val="14"/>
                <w:szCs w:val="14"/>
              </w:rPr>
              <w:lastRenderedPageBreak/>
              <w:t>LG, Kellum</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JM, et al. Insurance-mandated preoperative dietary counseling</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does not improve outcome and increases dropout rates in patients</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considering gastric bypass surgery for morbid obesity. Surg Obes</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Relat Dis 2006;2(2):122-7.</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201. Riess KP, Baker MT, Lambert PJ, Mathiason MA, Kothari SN.</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Effect of preoperative weight loss on laparoscopic gastric bypass</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outcomes. Surg Obes Relat Dis 2008;4(6):704-8.</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202. Solomon H, Liu GY, Alami R, Morton J, Curet MJ. Benefits to</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patients choosing preoperative weight loss in gastric bypass</w:t>
            </w:r>
          </w:p>
          <w:p w:rsidR="004C426F" w:rsidRPr="002010A6" w:rsidRDefault="004C426F" w:rsidP="002010A6">
            <w:pPr>
              <w:autoSpaceDE w:val="0"/>
              <w:autoSpaceDN w:val="0"/>
              <w:adjustRightInd w:val="0"/>
              <w:spacing w:after="0" w:line="240" w:lineRule="auto"/>
              <w:rPr>
                <w:rFonts w:ascii="CGOmega" w:hAnsi="CGOmega" w:cs="CGOmega"/>
                <w:sz w:val="14"/>
                <w:szCs w:val="14"/>
              </w:rPr>
            </w:pPr>
            <w:r w:rsidRPr="002010A6">
              <w:rPr>
                <w:rFonts w:ascii="CGOmega" w:hAnsi="CGOmega" w:cs="CGOmega"/>
                <w:sz w:val="14"/>
                <w:szCs w:val="14"/>
              </w:rPr>
              <w:t>surgery: new results of a randomized trial. J Am Coll Surg</w:t>
            </w:r>
          </w:p>
          <w:p w:rsidR="004C426F" w:rsidRPr="002010A6" w:rsidRDefault="004C426F" w:rsidP="002010A6">
            <w:pPr>
              <w:autoSpaceDE w:val="0"/>
              <w:autoSpaceDN w:val="0"/>
              <w:adjustRightInd w:val="0"/>
              <w:spacing w:after="0" w:line="240" w:lineRule="auto"/>
              <w:rPr>
                <w:rFonts w:ascii="Times-Roman" w:hAnsi="Times-Roman" w:cs="Times-Roman"/>
                <w:sz w:val="16"/>
                <w:szCs w:val="16"/>
              </w:rPr>
            </w:pPr>
            <w:r w:rsidRPr="002010A6">
              <w:rPr>
                <w:rFonts w:ascii="CGOmega" w:hAnsi="CGOmega" w:cs="CGOmega"/>
                <w:sz w:val="14"/>
                <w:szCs w:val="14"/>
              </w:rPr>
              <w:t>2009;208(2):241-5.</w:t>
            </w:r>
          </w:p>
        </w:tc>
        <w:tc>
          <w:tcPr>
            <w:tcW w:w="2303" w:type="dxa"/>
          </w:tcPr>
          <w:p w:rsidR="004C426F" w:rsidRPr="002010A6" w:rsidRDefault="004C426F" w:rsidP="002010A6">
            <w:pPr>
              <w:spacing w:after="0" w:line="240" w:lineRule="auto"/>
              <w:rPr>
                <w:rFonts w:ascii="Times New Roman" w:hAnsi="Times New Roman"/>
                <w:sz w:val="24"/>
                <w:szCs w:val="24"/>
              </w:rPr>
            </w:pPr>
            <w:r w:rsidRPr="002010A6">
              <w:rPr>
                <w:rFonts w:ascii="Times New Roman" w:hAnsi="Times New Roman"/>
                <w:sz w:val="24"/>
                <w:szCs w:val="24"/>
              </w:rPr>
              <w:lastRenderedPageBreak/>
              <w:t>Kuni 2010</w:t>
            </w:r>
          </w:p>
        </w:tc>
      </w:tr>
    </w:tbl>
    <w:p w:rsidR="004C426F" w:rsidRDefault="004C426F">
      <w:pPr>
        <w:spacing w:after="0" w:line="240" w:lineRule="auto"/>
        <w:rPr>
          <w:rFonts w:ascii="Times New Roman" w:hAnsi="Times New Roman"/>
          <w:sz w:val="24"/>
          <w:szCs w:val="24"/>
        </w:rPr>
      </w:pPr>
      <w:r>
        <w:rPr>
          <w:rFonts w:ascii="Times New Roman" w:hAnsi="Times New Roman"/>
          <w:sz w:val="24"/>
          <w:szCs w:val="24"/>
        </w:rPr>
        <w:lastRenderedPageBreak/>
        <w:br w:type="page"/>
      </w:r>
    </w:p>
    <w:tbl>
      <w:tblPr>
        <w:tblW w:w="8755" w:type="dxa"/>
        <w:tblCellMar>
          <w:left w:w="0" w:type="dxa"/>
          <w:right w:w="0" w:type="dxa"/>
        </w:tblCellMar>
        <w:tblLook w:val="0000"/>
      </w:tblPr>
      <w:tblGrid>
        <w:gridCol w:w="2095"/>
        <w:gridCol w:w="1650"/>
        <w:gridCol w:w="1649"/>
        <w:gridCol w:w="1711"/>
        <w:gridCol w:w="1650"/>
      </w:tblGrid>
      <w:tr w:rsidR="004C426F" w:rsidRPr="008B21E4" w:rsidTr="00DA324E">
        <w:tc>
          <w:tcPr>
            <w:tcW w:w="2095"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9"/>
              <w:rPr>
                <w:rFonts w:ascii="Times New Roman" w:hAnsi="Times New Roman" w:cs="Times New Roman"/>
                <w:szCs w:val="24"/>
                <w:lang w:val="fi-FI"/>
              </w:rPr>
            </w:pPr>
            <w:r w:rsidRPr="008B21E4">
              <w:rPr>
                <w:rFonts w:ascii="Times New Roman" w:hAnsi="Times New Roman" w:cs="Times New Roman"/>
                <w:szCs w:val="24"/>
                <w:lang w:val="fi-FI"/>
              </w:rPr>
              <w:t>Autor/Aasta/</w:t>
            </w:r>
          </w:p>
          <w:p w:rsidR="004C426F" w:rsidRPr="008B21E4" w:rsidRDefault="004C426F" w:rsidP="00356DCC">
            <w:pPr>
              <w:pStyle w:val="P9"/>
              <w:rPr>
                <w:rFonts w:ascii="Times New Roman" w:hAnsi="Times New Roman" w:cs="Times New Roman"/>
                <w:szCs w:val="24"/>
                <w:lang w:val="fi-FI"/>
              </w:rPr>
            </w:pPr>
            <w:r w:rsidRPr="008B21E4">
              <w:rPr>
                <w:rFonts w:ascii="Times New Roman" w:hAnsi="Times New Roman" w:cs="Times New Roman"/>
                <w:szCs w:val="24"/>
                <w:lang w:val="fi-FI"/>
              </w:rPr>
              <w:t>Uuringumeetod/</w:t>
            </w:r>
          </w:p>
          <w:p w:rsidR="004C426F" w:rsidRPr="008B21E4" w:rsidRDefault="004C426F" w:rsidP="00356DCC">
            <w:pPr>
              <w:pStyle w:val="P44"/>
              <w:rPr>
                <w:rFonts w:ascii="Times New Roman" w:hAnsi="Times New Roman" w:cs="Times New Roman"/>
                <w:szCs w:val="24"/>
                <w:lang w:val="fi-FI"/>
              </w:rPr>
            </w:pPr>
            <w:r w:rsidRPr="008B21E4">
              <w:rPr>
                <w:rFonts w:ascii="Times New Roman" w:hAnsi="Times New Roman" w:cs="Times New Roman"/>
                <w:szCs w:val="24"/>
                <w:lang w:val="fi-FI"/>
              </w:rPr>
              <w:t>Tõendusmaterjali kvaliteedi (TK) hinnang</w:t>
            </w:r>
          </w:p>
        </w:tc>
        <w:tc>
          <w:tcPr>
            <w:tcW w:w="1650"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10"/>
              <w:rPr>
                <w:rFonts w:ascii="Times New Roman" w:hAnsi="Times New Roman" w:cs="Times New Roman"/>
                <w:szCs w:val="24"/>
              </w:rPr>
            </w:pPr>
            <w:r w:rsidRPr="008B21E4">
              <w:rPr>
                <w:rFonts w:ascii="Times New Roman" w:hAnsi="Times New Roman" w:cs="Times New Roman"/>
                <w:szCs w:val="24"/>
              </w:rPr>
              <w:t>Uuringu kestvus</w:t>
            </w:r>
          </w:p>
        </w:tc>
        <w:tc>
          <w:tcPr>
            <w:tcW w:w="1649"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9"/>
              <w:rPr>
                <w:rFonts w:ascii="Times New Roman" w:hAnsi="Times New Roman" w:cs="Times New Roman"/>
                <w:szCs w:val="24"/>
              </w:rPr>
            </w:pPr>
            <w:r w:rsidRPr="008B21E4">
              <w:rPr>
                <w:rFonts w:ascii="Times New Roman" w:hAnsi="Times New Roman" w:cs="Times New Roman"/>
                <w:szCs w:val="24"/>
              </w:rPr>
              <w:t>Patsientide arv</w:t>
            </w:r>
          </w:p>
        </w:tc>
        <w:tc>
          <w:tcPr>
            <w:tcW w:w="1711"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9"/>
              <w:rPr>
                <w:rFonts w:ascii="Times New Roman" w:hAnsi="Times New Roman" w:cs="Times New Roman"/>
                <w:szCs w:val="24"/>
              </w:rPr>
            </w:pPr>
            <w:r w:rsidRPr="008B21E4">
              <w:rPr>
                <w:rFonts w:ascii="Times New Roman" w:hAnsi="Times New Roman" w:cs="Times New Roman"/>
                <w:szCs w:val="24"/>
              </w:rPr>
              <w:t>Ravimeetodid</w:t>
            </w:r>
          </w:p>
        </w:tc>
        <w:tc>
          <w:tcPr>
            <w:tcW w:w="1650"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9"/>
              <w:rPr>
                <w:rFonts w:ascii="Times New Roman" w:hAnsi="Times New Roman" w:cs="Times New Roman"/>
                <w:szCs w:val="24"/>
              </w:rPr>
            </w:pPr>
            <w:r w:rsidRPr="008B21E4">
              <w:rPr>
                <w:rFonts w:ascii="Times New Roman" w:hAnsi="Times New Roman" w:cs="Times New Roman"/>
                <w:szCs w:val="24"/>
              </w:rPr>
              <w:t>Peamised tulemused</w:t>
            </w:r>
          </w:p>
        </w:tc>
      </w:tr>
      <w:tr w:rsidR="004C426F" w:rsidRPr="008B21E4" w:rsidTr="00DA324E">
        <w:tc>
          <w:tcPr>
            <w:tcW w:w="2095"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4"/>
              <w:rPr>
                <w:rFonts w:ascii="Times New Roman" w:hAnsi="Times New Roman" w:cs="Times New Roman"/>
                <w:b/>
                <w:sz w:val="24"/>
                <w:szCs w:val="24"/>
              </w:rPr>
            </w:pPr>
            <w:r>
              <w:rPr>
                <w:rFonts w:ascii="Times New Roman" w:hAnsi="Times New Roman" w:cs="Times New Roman"/>
                <w:b/>
                <w:sz w:val="24"/>
                <w:szCs w:val="24"/>
              </w:rPr>
              <w:t xml:space="preserve">Livhits et al / 2009/ süstemaatiline ülevaade / TK </w:t>
            </w:r>
            <w:r w:rsidR="00BF4514">
              <w:rPr>
                <w:rFonts w:ascii="Times New Roman" w:hAnsi="Times New Roman" w:cs="Times New Roman"/>
                <w:b/>
                <w:sz w:val="24"/>
                <w:szCs w:val="24"/>
              </w:rPr>
              <w:t>–</w:t>
            </w:r>
            <w:r>
              <w:rPr>
                <w:rFonts w:ascii="Times New Roman" w:hAnsi="Times New Roman" w:cs="Times New Roman"/>
                <w:b/>
                <w:sz w:val="24"/>
                <w:szCs w:val="24"/>
              </w:rPr>
              <w:t xml:space="preserve"> kõrge</w:t>
            </w:r>
          </w:p>
        </w:tc>
        <w:tc>
          <w:tcPr>
            <w:tcW w:w="1650"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4"/>
              <w:rPr>
                <w:rFonts w:ascii="Times New Roman" w:hAnsi="Times New Roman" w:cs="Times New Roman"/>
                <w:sz w:val="24"/>
                <w:szCs w:val="24"/>
              </w:rPr>
            </w:pPr>
          </w:p>
        </w:tc>
        <w:tc>
          <w:tcPr>
            <w:tcW w:w="1649" w:type="dxa"/>
            <w:tcBorders>
              <w:top w:val="single" w:sz="6" w:space="0" w:color="000000"/>
              <w:left w:val="single" w:sz="6" w:space="0" w:color="000000"/>
              <w:bottom w:val="single" w:sz="6" w:space="0" w:color="000000"/>
              <w:right w:val="single" w:sz="6" w:space="0" w:color="000000"/>
            </w:tcBorders>
          </w:tcPr>
          <w:p w:rsidR="004C426F" w:rsidRPr="008B21E4" w:rsidRDefault="004C426F" w:rsidP="00356DCC">
            <w:pPr>
              <w:pStyle w:val="P4"/>
              <w:rPr>
                <w:rFonts w:ascii="Times New Roman" w:hAnsi="Times New Roman" w:cs="Times New Roman"/>
                <w:sz w:val="24"/>
                <w:szCs w:val="24"/>
              </w:rPr>
            </w:pPr>
            <w:r>
              <w:rPr>
                <w:rFonts w:ascii="Times New Roman" w:hAnsi="Times New Roman" w:cs="Times New Roman"/>
                <w:sz w:val="24"/>
                <w:szCs w:val="24"/>
              </w:rPr>
              <w:t>3404</w:t>
            </w:r>
          </w:p>
        </w:tc>
        <w:tc>
          <w:tcPr>
            <w:tcW w:w="1711" w:type="dxa"/>
            <w:tcBorders>
              <w:top w:val="single" w:sz="6" w:space="0" w:color="000000"/>
              <w:left w:val="single" w:sz="6" w:space="0" w:color="000000"/>
              <w:bottom w:val="single" w:sz="6" w:space="0" w:color="000000"/>
              <w:right w:val="single" w:sz="6" w:space="0" w:color="000000"/>
            </w:tcBorders>
          </w:tcPr>
          <w:p w:rsidR="004C426F" w:rsidRPr="008401A3" w:rsidRDefault="004C426F" w:rsidP="00356DCC">
            <w:pPr>
              <w:pStyle w:val="P4"/>
            </w:pPr>
            <w:r>
              <w:t xml:space="preserve">Kaalulangus preoperatiivselt. </w:t>
            </w:r>
          </w:p>
        </w:tc>
        <w:tc>
          <w:tcPr>
            <w:tcW w:w="1650" w:type="dxa"/>
            <w:tcBorders>
              <w:top w:val="single" w:sz="6" w:space="0" w:color="000000"/>
              <w:left w:val="single" w:sz="6" w:space="0" w:color="000000"/>
              <w:bottom w:val="single" w:sz="6" w:space="0" w:color="000000"/>
              <w:right w:val="single" w:sz="6" w:space="0" w:color="000000"/>
            </w:tcBorders>
          </w:tcPr>
          <w:p w:rsidR="004C426F" w:rsidRDefault="004C426F" w:rsidP="00672E24">
            <w:pPr>
              <w:autoSpaceDE w:val="0"/>
              <w:autoSpaceDN w:val="0"/>
              <w:adjustRightInd w:val="0"/>
              <w:spacing w:after="0" w:line="240" w:lineRule="auto"/>
              <w:rPr>
                <w:rFonts w:ascii="Times-Roman" w:hAnsi="Times-Roman" w:cs="Times-Roman"/>
                <w:color w:val="231F20"/>
                <w:sz w:val="18"/>
                <w:szCs w:val="18"/>
              </w:rPr>
            </w:pPr>
            <w:r>
              <w:rPr>
                <w:rFonts w:ascii="Times-Roman" w:hAnsi="Times-Roman" w:cs="Times-Roman"/>
                <w:color w:val="231F20"/>
                <w:sz w:val="18"/>
                <w:szCs w:val="18"/>
              </w:rPr>
              <w:t xml:space="preserve">Of the 15 articles (n </w:t>
            </w:r>
            <w:r>
              <w:rPr>
                <w:rFonts w:ascii="Universal-GreekwithMathPi" w:hAnsi="Universal-GreekwithMathPi" w:cs="Universal-GreekwithMathPi"/>
                <w:color w:val="231F20"/>
                <w:sz w:val="18"/>
                <w:szCs w:val="18"/>
              </w:rPr>
              <w:t xml:space="preserve">! </w:t>
            </w:r>
            <w:r>
              <w:rPr>
                <w:rFonts w:ascii="Times-Roman" w:hAnsi="Times-Roman" w:cs="Times-Roman"/>
                <w:color w:val="231F20"/>
                <w:sz w:val="18"/>
                <w:szCs w:val="18"/>
              </w:rPr>
              <w:t>3404 patients) identified, 5 found a positive effect of preoperative</w:t>
            </w:r>
          </w:p>
          <w:p w:rsidR="004C426F" w:rsidRDefault="004C426F" w:rsidP="00672E24">
            <w:pPr>
              <w:autoSpaceDE w:val="0"/>
              <w:autoSpaceDN w:val="0"/>
              <w:adjustRightInd w:val="0"/>
              <w:spacing w:after="0" w:line="240" w:lineRule="auto"/>
              <w:rPr>
                <w:rFonts w:ascii="Times-Roman" w:hAnsi="Times-Roman" w:cs="Times-Roman"/>
                <w:color w:val="231F20"/>
                <w:sz w:val="18"/>
                <w:szCs w:val="18"/>
              </w:rPr>
            </w:pPr>
            <w:r>
              <w:rPr>
                <w:rFonts w:ascii="Times-Roman" w:hAnsi="Times-Roman" w:cs="Times-Roman"/>
                <w:color w:val="231F20"/>
                <w:sz w:val="18"/>
                <w:szCs w:val="18"/>
              </w:rPr>
              <w:t>weight loss on postoperative weight loss, 2 found a positive short-term effect that was not sustained</w:t>
            </w:r>
          </w:p>
          <w:p w:rsidR="004C426F" w:rsidRDefault="004C426F" w:rsidP="00672E24">
            <w:pPr>
              <w:autoSpaceDE w:val="0"/>
              <w:autoSpaceDN w:val="0"/>
              <w:adjustRightInd w:val="0"/>
              <w:spacing w:after="0" w:line="240" w:lineRule="auto"/>
              <w:rPr>
                <w:rFonts w:ascii="Times-Roman" w:hAnsi="Times-Roman" w:cs="Times-Roman"/>
                <w:color w:val="231F20"/>
                <w:sz w:val="18"/>
                <w:szCs w:val="18"/>
              </w:rPr>
            </w:pPr>
            <w:r>
              <w:rPr>
                <w:rFonts w:ascii="Times-Roman" w:hAnsi="Times-Roman" w:cs="Times-Roman"/>
                <w:color w:val="231F20"/>
                <w:sz w:val="18"/>
                <w:szCs w:val="18"/>
              </w:rPr>
              <w:t>long term, 5 did not find an effect difference, and 1 found a negative effect. A meta-analysis revealed</w:t>
            </w:r>
          </w:p>
          <w:p w:rsidR="004C426F" w:rsidRDefault="004C426F" w:rsidP="00672E24">
            <w:pPr>
              <w:autoSpaceDE w:val="0"/>
              <w:autoSpaceDN w:val="0"/>
              <w:adjustRightInd w:val="0"/>
              <w:spacing w:after="0" w:line="240" w:lineRule="auto"/>
              <w:rPr>
                <w:rFonts w:ascii="Times-Roman" w:hAnsi="Times-Roman" w:cs="Times-Roman"/>
                <w:color w:val="231F20"/>
                <w:sz w:val="18"/>
                <w:szCs w:val="18"/>
              </w:rPr>
            </w:pPr>
            <w:r>
              <w:rPr>
                <w:rFonts w:ascii="Times-Roman" w:hAnsi="Times-Roman" w:cs="Times-Roman"/>
                <w:color w:val="231F20"/>
                <w:sz w:val="18"/>
                <w:szCs w:val="18"/>
              </w:rPr>
              <w:t>a significant increase in the 1-year postoperative weight loss (mean difference of 5% EWL, 95%</w:t>
            </w:r>
          </w:p>
          <w:p w:rsidR="004C426F" w:rsidRDefault="004C426F" w:rsidP="00672E24">
            <w:pPr>
              <w:autoSpaceDE w:val="0"/>
              <w:autoSpaceDN w:val="0"/>
              <w:adjustRightInd w:val="0"/>
              <w:spacing w:after="0" w:line="240" w:lineRule="auto"/>
              <w:rPr>
                <w:rFonts w:ascii="Times-Roman" w:hAnsi="Times-Roman" w:cs="Times-Roman"/>
                <w:color w:val="231F20"/>
                <w:sz w:val="18"/>
                <w:szCs w:val="18"/>
              </w:rPr>
            </w:pPr>
            <w:r>
              <w:rPr>
                <w:rFonts w:ascii="Times-Roman" w:hAnsi="Times-Roman" w:cs="Times-Roman"/>
                <w:color w:val="231F20"/>
                <w:sz w:val="18"/>
                <w:szCs w:val="18"/>
              </w:rPr>
              <w:t>confidence interval 2.68 –7.32) for patients who had lost weight preoperatively. A meta-analysis of</w:t>
            </w:r>
          </w:p>
          <w:p w:rsidR="004C426F" w:rsidRDefault="004C426F" w:rsidP="00672E24">
            <w:pPr>
              <w:autoSpaceDE w:val="0"/>
              <w:autoSpaceDN w:val="0"/>
              <w:adjustRightInd w:val="0"/>
              <w:spacing w:after="0" w:line="240" w:lineRule="auto"/>
              <w:rPr>
                <w:rFonts w:ascii="Times-Roman" w:hAnsi="Times-Roman" w:cs="Times-Roman"/>
                <w:color w:val="231F20"/>
                <w:sz w:val="18"/>
                <w:szCs w:val="18"/>
              </w:rPr>
            </w:pPr>
            <w:r>
              <w:rPr>
                <w:rFonts w:ascii="Times-Roman" w:hAnsi="Times-Roman" w:cs="Times-Roman"/>
                <w:color w:val="231F20"/>
                <w:sz w:val="18"/>
                <w:szCs w:val="18"/>
              </w:rPr>
              <w:t>other outcomes revealed a decreased operative time for patients who had lost weight preoperatively</w:t>
            </w:r>
          </w:p>
          <w:p w:rsidR="004C426F" w:rsidRPr="008B21E4" w:rsidRDefault="004C426F" w:rsidP="00672E24">
            <w:pPr>
              <w:pStyle w:val="P45"/>
              <w:rPr>
                <w:rFonts w:ascii="Times New Roman" w:hAnsi="Times New Roman" w:cs="Times New Roman"/>
                <w:sz w:val="24"/>
                <w:szCs w:val="24"/>
              </w:rPr>
            </w:pPr>
            <w:r>
              <w:rPr>
                <w:rFonts w:ascii="Times-Roman" w:hAnsi="Times-Roman" w:cs="Times-Roman"/>
                <w:color w:val="231F20"/>
                <w:sz w:val="18"/>
                <w:szCs w:val="18"/>
              </w:rPr>
              <w:t>(mean difference 23.3 minutes, 95% confidence interval 13.8 –32.8).</w:t>
            </w:r>
          </w:p>
        </w:tc>
      </w:tr>
      <w:tr w:rsidR="004C426F" w:rsidRPr="008B21E4" w:rsidTr="00DA324E">
        <w:tc>
          <w:tcPr>
            <w:tcW w:w="2095"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4"/>
              <w:rPr>
                <w:rFonts w:ascii="Times New Roman" w:hAnsi="Times New Roman" w:cs="Times New Roman"/>
                <w:b/>
                <w:sz w:val="24"/>
                <w:szCs w:val="24"/>
                <w:lang w:val="et-EE"/>
              </w:rPr>
            </w:pPr>
            <w:r w:rsidRPr="00704BB5">
              <w:rPr>
                <w:rFonts w:ascii="Times New Roman" w:hAnsi="Times New Roman" w:cs="Times New Roman"/>
                <w:b/>
                <w:sz w:val="24"/>
                <w:szCs w:val="24"/>
                <w:lang w:val="et-EE"/>
              </w:rPr>
              <w:t>Benotti / 2009 / retrospektiivne ülevaade / TK - mõõdukas</w:t>
            </w:r>
          </w:p>
        </w:tc>
        <w:tc>
          <w:tcPr>
            <w:tcW w:w="1650"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4"/>
              <w:rPr>
                <w:rFonts w:ascii="Times New Roman" w:hAnsi="Times New Roman" w:cs="Times New Roman"/>
                <w:sz w:val="24"/>
                <w:szCs w:val="24"/>
                <w:lang w:val="et-EE"/>
              </w:rPr>
            </w:pPr>
            <w:r>
              <w:rPr>
                <w:rFonts w:ascii="Times New Roman" w:hAnsi="Times New Roman" w:cs="Times New Roman"/>
                <w:sz w:val="24"/>
                <w:szCs w:val="24"/>
                <w:lang w:val="et-EE"/>
              </w:rPr>
              <w:t>2002-2006</w:t>
            </w:r>
          </w:p>
        </w:tc>
        <w:tc>
          <w:tcPr>
            <w:tcW w:w="1649"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4"/>
              <w:rPr>
                <w:rFonts w:ascii="Times New Roman" w:hAnsi="Times New Roman" w:cs="Times New Roman"/>
                <w:sz w:val="24"/>
                <w:szCs w:val="24"/>
                <w:lang w:val="et-EE"/>
              </w:rPr>
            </w:pPr>
            <w:r>
              <w:rPr>
                <w:rFonts w:ascii="Times New Roman" w:hAnsi="Times New Roman" w:cs="Times New Roman"/>
                <w:sz w:val="24"/>
                <w:szCs w:val="24"/>
                <w:lang w:val="et-EE"/>
              </w:rPr>
              <w:t>881</w:t>
            </w:r>
          </w:p>
        </w:tc>
        <w:tc>
          <w:tcPr>
            <w:tcW w:w="1711"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4"/>
              <w:rPr>
                <w:rFonts w:ascii="Times New Roman" w:hAnsi="Times New Roman" w:cs="Times New Roman"/>
                <w:sz w:val="24"/>
                <w:szCs w:val="24"/>
                <w:lang w:val="et-EE"/>
              </w:rPr>
            </w:pPr>
            <w:r>
              <w:rPr>
                <w:rFonts w:ascii="Times New Roman" w:hAnsi="Times New Roman" w:cs="Times New Roman"/>
                <w:sz w:val="24"/>
                <w:szCs w:val="24"/>
                <w:lang w:val="et-EE"/>
              </w:rPr>
              <w:t>Kaalulangus preoperatiivselt</w:t>
            </w:r>
          </w:p>
        </w:tc>
        <w:tc>
          <w:tcPr>
            <w:tcW w:w="1650" w:type="dxa"/>
            <w:tcBorders>
              <w:top w:val="single" w:sz="6" w:space="0" w:color="000000"/>
              <w:left w:val="single" w:sz="6" w:space="0" w:color="000000"/>
              <w:bottom w:val="single" w:sz="6" w:space="0" w:color="000000"/>
              <w:right w:val="single" w:sz="6" w:space="0" w:color="000000"/>
            </w:tcBorders>
          </w:tcPr>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Of the 881 patients, 592 (67.2%) lost5%or more</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EBW and 423 (48.0%) lost more than 10% EBW. Patients</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referred for open gastric bypass (n=466) were generally</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older (</w:t>
            </w:r>
            <w:r>
              <w:rPr>
                <w:rFonts w:ascii="Berkeley-Italic" w:hAnsi="Berkeley-Italic" w:cs="Berkeley-Italic"/>
                <w:i/>
                <w:iCs/>
                <w:color w:val="231F20"/>
                <w:sz w:val="20"/>
                <w:szCs w:val="20"/>
              </w:rPr>
              <w:t>P</w:t>
            </w:r>
            <w:r>
              <w:rPr>
                <w:rFonts w:ascii="MathematicalPi-One" w:hAnsi="MathematicalPi-One" w:cs="MathematicalPi-One"/>
                <w:color w:val="231F20"/>
                <w:sz w:val="20"/>
                <w:szCs w:val="20"/>
              </w:rPr>
              <w:t>_</w:t>
            </w:r>
            <w:r>
              <w:rPr>
                <w:rFonts w:ascii="Berkeley-Medium" w:hAnsi="Berkeley-Medium" w:cs="Berkeley-Medium"/>
                <w:color w:val="231F20"/>
                <w:sz w:val="20"/>
                <w:szCs w:val="20"/>
              </w:rPr>
              <w:t>.001), had a higher body mass index (</w:t>
            </w:r>
            <w:r>
              <w:rPr>
                <w:rFonts w:ascii="Berkeley-Italic" w:hAnsi="Berkeley-Italic" w:cs="Berkeley-Italic"/>
                <w:i/>
                <w:iCs/>
                <w:color w:val="231F20"/>
                <w:sz w:val="20"/>
                <w:szCs w:val="20"/>
              </w:rPr>
              <w:t>P</w:t>
            </w:r>
            <w:r>
              <w:rPr>
                <w:rFonts w:ascii="MathematicalPi-One" w:hAnsi="MathematicalPi-One" w:cs="MathematicalPi-One"/>
                <w:color w:val="231F20"/>
                <w:sz w:val="20"/>
                <w:szCs w:val="20"/>
              </w:rPr>
              <w:t>_</w:t>
            </w:r>
            <w:r>
              <w:rPr>
                <w:rFonts w:ascii="Berkeley-Medium" w:hAnsi="Berkeley-Medium" w:cs="Berkeley-Medium"/>
                <w:color w:val="231F20"/>
                <w:sz w:val="20"/>
                <w:szCs w:val="20"/>
              </w:rPr>
              <w:t>.001),</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and were more often men (</w:t>
            </w:r>
            <w:r>
              <w:rPr>
                <w:rFonts w:ascii="Berkeley-Italic" w:hAnsi="Berkeley-Italic" w:cs="Berkeley-Italic"/>
                <w:i/>
                <w:iCs/>
                <w:color w:val="231F20"/>
                <w:sz w:val="20"/>
                <w:szCs w:val="20"/>
              </w:rPr>
              <w:t>P</w:t>
            </w:r>
            <w:r>
              <w:rPr>
                <w:rFonts w:ascii="MathematicalPi-One" w:hAnsi="MathematicalPi-One" w:cs="MathematicalPi-One"/>
                <w:color w:val="231F20"/>
                <w:sz w:val="20"/>
                <w:szCs w:val="20"/>
              </w:rPr>
              <w:t>_</w:t>
            </w:r>
            <w:r>
              <w:rPr>
                <w:rFonts w:ascii="Berkeley-Medium" w:hAnsi="Berkeley-Medium" w:cs="Berkeley-Medium"/>
                <w:color w:val="231F20"/>
                <w:sz w:val="20"/>
                <w:szCs w:val="20"/>
              </w:rPr>
              <w:t>.001) than those undergoing</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 xml:space="preserve">laparoscopic gastric </w:t>
            </w:r>
            <w:r>
              <w:rPr>
                <w:rFonts w:ascii="Berkeley-Medium" w:hAnsi="Berkeley-Medium" w:cs="Berkeley-Medium"/>
                <w:color w:val="231F20"/>
                <w:sz w:val="20"/>
                <w:szCs w:val="20"/>
              </w:rPr>
              <w:lastRenderedPageBreak/>
              <w:t>bypass (n=415). Total and major</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complication rates were higher in patients undergoing open</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gastric bypass (</w:t>
            </w:r>
            <w:r>
              <w:rPr>
                <w:rFonts w:ascii="Berkeley-Italic" w:hAnsi="Berkeley-Italic" w:cs="Berkeley-Italic"/>
                <w:i/>
                <w:iCs/>
                <w:color w:val="231F20"/>
                <w:sz w:val="20"/>
                <w:szCs w:val="20"/>
              </w:rPr>
              <w:t>P</w:t>
            </w:r>
            <w:r>
              <w:rPr>
                <w:rFonts w:ascii="MathematicalPi-One" w:hAnsi="MathematicalPi-One" w:cs="MathematicalPi-One"/>
                <w:color w:val="231F20"/>
                <w:sz w:val="20"/>
                <w:szCs w:val="20"/>
              </w:rPr>
              <w:t>_</w:t>
            </w:r>
            <w:r>
              <w:rPr>
                <w:rFonts w:ascii="Berkeley-Medium" w:hAnsi="Berkeley-Medium" w:cs="Berkeley-Medium"/>
                <w:color w:val="231F20"/>
                <w:sz w:val="20"/>
                <w:szCs w:val="20"/>
              </w:rPr>
              <w:t xml:space="preserve">.001 and </w:t>
            </w:r>
            <w:r>
              <w:rPr>
                <w:rFonts w:ascii="Berkeley-Italic" w:hAnsi="Berkeley-Italic" w:cs="Berkeley-Italic"/>
                <w:i/>
                <w:iCs/>
                <w:color w:val="231F20"/>
                <w:sz w:val="20"/>
                <w:szCs w:val="20"/>
              </w:rPr>
              <w:t>P</w:t>
            </w:r>
            <w:r>
              <w:rPr>
                <w:rFonts w:ascii="Berkeley-Medium" w:hAnsi="Berkeley-Medium" w:cs="Berkeley-Medium"/>
                <w:color w:val="231F20"/>
                <w:sz w:val="20"/>
                <w:szCs w:val="20"/>
              </w:rPr>
              <w:t>=.03, respectively). Univariate</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analysis revealed that increasing preoperative weight</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loss is associated with reduced complication frequencies</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for the entire group for total complications (</w:t>
            </w:r>
            <w:r>
              <w:rPr>
                <w:rFonts w:ascii="Berkeley-Italic" w:hAnsi="Berkeley-Italic" w:cs="Berkeley-Italic"/>
                <w:i/>
                <w:iCs/>
                <w:color w:val="231F20"/>
                <w:sz w:val="20"/>
                <w:szCs w:val="20"/>
              </w:rPr>
              <w:t>P</w:t>
            </w:r>
            <w:r>
              <w:rPr>
                <w:rFonts w:ascii="Berkeley-Medium" w:hAnsi="Berkeley-Medium" w:cs="Berkeley-Medium"/>
                <w:color w:val="231F20"/>
                <w:sz w:val="20"/>
                <w:szCs w:val="20"/>
              </w:rPr>
              <w:t>=.004) and</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most likely for major complications (</w:t>
            </w:r>
            <w:r>
              <w:rPr>
                <w:rFonts w:ascii="Berkeley-Italic" w:hAnsi="Berkeley-Italic" w:cs="Berkeley-Italic"/>
                <w:i/>
                <w:iCs/>
                <w:color w:val="231F20"/>
                <w:sz w:val="20"/>
                <w:szCs w:val="20"/>
              </w:rPr>
              <w:t>P</w:t>
            </w:r>
            <w:r>
              <w:rPr>
                <w:rFonts w:ascii="Berkeley-Medium" w:hAnsi="Berkeley-Medium" w:cs="Berkeley-Medium"/>
                <w:color w:val="231F20"/>
                <w:sz w:val="20"/>
                <w:szCs w:val="20"/>
              </w:rPr>
              <w:t>=.06). Controlling</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for age, sex, baseline body mass index, and type of surgery</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in a multiple logistic regression model, increased preoperative</w:t>
            </w:r>
          </w:p>
          <w:p w:rsidR="004C426F" w:rsidRDefault="004C426F" w:rsidP="00C06A79">
            <w:pPr>
              <w:autoSpaceDE w:val="0"/>
              <w:autoSpaceDN w:val="0"/>
              <w:adjustRightInd w:val="0"/>
              <w:spacing w:after="0" w:line="240" w:lineRule="auto"/>
              <w:rPr>
                <w:rFonts w:ascii="Berkeley-Medium" w:hAnsi="Berkeley-Medium" w:cs="Berkeley-Medium"/>
                <w:color w:val="231F20"/>
                <w:sz w:val="20"/>
                <w:szCs w:val="20"/>
              </w:rPr>
            </w:pPr>
            <w:r>
              <w:rPr>
                <w:rFonts w:ascii="Berkeley-Medium" w:hAnsi="Berkeley-Medium" w:cs="Berkeley-Medium"/>
                <w:color w:val="231F20"/>
                <w:sz w:val="20"/>
                <w:szCs w:val="20"/>
              </w:rPr>
              <w:t>weight loss was a predictor of reduced complications</w:t>
            </w:r>
          </w:p>
          <w:p w:rsidR="004C426F" w:rsidRPr="00704BB5" w:rsidRDefault="004C426F" w:rsidP="00C06A79">
            <w:pPr>
              <w:pStyle w:val="P4"/>
              <w:rPr>
                <w:rFonts w:ascii="Times New Roman" w:hAnsi="Times New Roman" w:cs="Times New Roman"/>
                <w:sz w:val="24"/>
                <w:szCs w:val="24"/>
                <w:lang w:val="et-EE"/>
              </w:rPr>
            </w:pPr>
            <w:r>
              <w:rPr>
                <w:rFonts w:ascii="Berkeley-Medium" w:hAnsi="Berkeley-Medium" w:cs="Berkeley-Medium"/>
                <w:color w:val="231F20"/>
              </w:rPr>
              <w:t>for any (</w:t>
            </w:r>
            <w:r>
              <w:rPr>
                <w:rFonts w:ascii="Berkeley-Italic" w:hAnsi="Berkeley-Italic" w:cs="Berkeley-Italic"/>
                <w:i/>
                <w:iCs/>
                <w:color w:val="231F20"/>
              </w:rPr>
              <w:t>P</w:t>
            </w:r>
            <w:r>
              <w:rPr>
                <w:rFonts w:ascii="Berkeley-Medium" w:hAnsi="Berkeley-Medium" w:cs="Berkeley-Medium"/>
                <w:color w:val="231F20"/>
              </w:rPr>
              <w:t>=.004) and major (</w:t>
            </w:r>
            <w:r>
              <w:rPr>
                <w:rFonts w:ascii="Berkeley-Italic" w:hAnsi="Berkeley-Italic" w:cs="Berkeley-Italic"/>
                <w:i/>
                <w:iCs/>
                <w:color w:val="231F20"/>
              </w:rPr>
              <w:t>P</w:t>
            </w:r>
            <w:r>
              <w:rPr>
                <w:rFonts w:ascii="Berkeley-Medium" w:hAnsi="Berkeley-Medium" w:cs="Berkeley-Medium"/>
                <w:color w:val="231F20"/>
              </w:rPr>
              <w:t>=.03) complications.</w:t>
            </w:r>
          </w:p>
        </w:tc>
      </w:tr>
      <w:tr w:rsidR="004C426F" w:rsidRPr="008B21E4" w:rsidTr="00DA324E">
        <w:tc>
          <w:tcPr>
            <w:tcW w:w="2095" w:type="dxa"/>
            <w:tcBorders>
              <w:top w:val="single" w:sz="6" w:space="0" w:color="000000"/>
              <w:left w:val="single" w:sz="6" w:space="0" w:color="000000"/>
              <w:bottom w:val="single" w:sz="6" w:space="0" w:color="000000"/>
              <w:right w:val="single" w:sz="6" w:space="0" w:color="000000"/>
            </w:tcBorders>
          </w:tcPr>
          <w:p w:rsidR="004C426F" w:rsidRPr="008677DF" w:rsidRDefault="004C426F" w:rsidP="00356DCC">
            <w:pPr>
              <w:pStyle w:val="P4"/>
              <w:rPr>
                <w:rFonts w:ascii="Times New Roman" w:hAnsi="Times New Roman" w:cs="Times New Roman"/>
                <w:b/>
                <w:sz w:val="24"/>
                <w:szCs w:val="24"/>
                <w:lang w:val="et-EE"/>
              </w:rPr>
            </w:pPr>
            <w:r w:rsidRPr="008677DF">
              <w:rPr>
                <w:rFonts w:ascii="Times New Roman" w:hAnsi="Times New Roman" w:cs="Times New Roman"/>
                <w:b/>
                <w:sz w:val="24"/>
                <w:szCs w:val="24"/>
                <w:lang w:val="et-EE"/>
              </w:rPr>
              <w:lastRenderedPageBreak/>
              <w:t xml:space="preserve">Cassie / 2011/ </w:t>
            </w:r>
            <w:r>
              <w:rPr>
                <w:rFonts w:ascii="Times New Roman" w:hAnsi="Times New Roman" w:cs="Times New Roman"/>
                <w:b/>
                <w:sz w:val="24"/>
                <w:szCs w:val="24"/>
                <w:lang w:val="et-EE"/>
              </w:rPr>
              <w:t>süstemaatiline ülevaade/ TK - kõrge</w:t>
            </w:r>
          </w:p>
        </w:tc>
        <w:tc>
          <w:tcPr>
            <w:tcW w:w="1650"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
              <w:rPr>
                <w:rFonts w:ascii="Times New Roman" w:hAnsi="Times New Roman" w:cs="Times New Roman"/>
                <w:szCs w:val="24"/>
                <w:lang w:val="et-EE"/>
              </w:rPr>
            </w:pPr>
          </w:p>
        </w:tc>
        <w:tc>
          <w:tcPr>
            <w:tcW w:w="1649"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
              <w:rPr>
                <w:rFonts w:ascii="Times New Roman" w:hAnsi="Times New Roman" w:cs="Times New Roman"/>
                <w:szCs w:val="24"/>
                <w:lang w:val="et-EE"/>
              </w:rPr>
            </w:pPr>
            <w:r>
              <w:rPr>
                <w:rFonts w:ascii="Times New Roman" w:hAnsi="Times New Roman" w:cs="Times New Roman"/>
                <w:szCs w:val="24"/>
                <w:lang w:val="et-EE"/>
              </w:rPr>
              <w:t>6686</w:t>
            </w:r>
          </w:p>
        </w:tc>
        <w:tc>
          <w:tcPr>
            <w:tcW w:w="1711"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
              <w:rPr>
                <w:rFonts w:ascii="Times New Roman" w:hAnsi="Times New Roman" w:cs="Times New Roman"/>
                <w:szCs w:val="24"/>
                <w:lang w:val="et-EE"/>
              </w:rPr>
            </w:pPr>
            <w:r>
              <w:rPr>
                <w:rFonts w:ascii="Times New Roman" w:hAnsi="Times New Roman" w:cs="Times New Roman"/>
                <w:szCs w:val="24"/>
                <w:lang w:val="et-EE"/>
              </w:rPr>
              <w:t>Kaalulangus preoperatiivselt</w:t>
            </w:r>
          </w:p>
        </w:tc>
        <w:tc>
          <w:tcPr>
            <w:tcW w:w="1650"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4"/>
              <w:rPr>
                <w:rFonts w:ascii="Times New Roman" w:hAnsi="Times New Roman" w:cs="Times New Roman"/>
                <w:sz w:val="24"/>
                <w:szCs w:val="24"/>
                <w:lang w:val="et-EE"/>
              </w:rPr>
            </w:pPr>
            <w:r>
              <w:t xml:space="preserve">A total of 17 trials, including approximately 4611 patients, deemed preoperative weight loss beneficial, and 10 studies, including 2075 patients, deemed preoperative weight loss to be of no benefit. The operative time was 12.5 minutes shorter for the preoperative weight loss patients undergoing laparoscopic Roux-en-Y gastric bypass. With regard to the effects of preoperative weight loss on </w:t>
            </w:r>
            <w:r>
              <w:lastRenderedPageBreak/>
              <w:t>postoperative weight loss, 9 studies (39%) reported a positive correlation, and 15 (62.5%) reported no benefit. Nine studies reporting perioperative complications (852 patients) revealed no difference in the complication rates, and 2 studies (1234 patients) suggested a significant decrease was associated with preoperative weight loss.</w:t>
            </w:r>
          </w:p>
        </w:tc>
      </w:tr>
      <w:tr w:rsidR="004C426F" w:rsidRPr="008B21E4" w:rsidTr="00DA324E">
        <w:tc>
          <w:tcPr>
            <w:tcW w:w="2095"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4"/>
              <w:rPr>
                <w:rFonts w:ascii="Times New Roman" w:hAnsi="Times New Roman" w:cs="Times New Roman"/>
                <w:b/>
                <w:sz w:val="24"/>
                <w:szCs w:val="24"/>
                <w:lang w:val="et-EE"/>
              </w:rPr>
            </w:pPr>
            <w:r>
              <w:rPr>
                <w:rFonts w:ascii="Times New Roman" w:hAnsi="Times New Roman" w:cs="Times New Roman"/>
                <w:b/>
                <w:sz w:val="24"/>
                <w:szCs w:val="24"/>
                <w:lang w:val="et-EE"/>
              </w:rPr>
              <w:lastRenderedPageBreak/>
              <w:t xml:space="preserve">Ochner / 2012 / süstemaatiline ülevaade / TK </w:t>
            </w:r>
            <w:r w:rsidR="00BF4514">
              <w:rPr>
                <w:rFonts w:ascii="Times New Roman" w:hAnsi="Times New Roman" w:cs="Times New Roman"/>
                <w:b/>
                <w:sz w:val="24"/>
                <w:szCs w:val="24"/>
                <w:lang w:val="et-EE"/>
              </w:rPr>
              <w:t>–</w:t>
            </w:r>
            <w:r>
              <w:rPr>
                <w:rFonts w:ascii="Times New Roman" w:hAnsi="Times New Roman" w:cs="Times New Roman"/>
                <w:b/>
                <w:sz w:val="24"/>
                <w:szCs w:val="24"/>
                <w:lang w:val="et-EE"/>
              </w:rPr>
              <w:t xml:space="preserve"> kõrge</w:t>
            </w:r>
          </w:p>
        </w:tc>
        <w:tc>
          <w:tcPr>
            <w:tcW w:w="1650"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
              <w:rPr>
                <w:rFonts w:ascii="Times New Roman" w:hAnsi="Times New Roman" w:cs="Times New Roman"/>
                <w:szCs w:val="24"/>
                <w:lang w:val="et-EE"/>
              </w:rPr>
            </w:pPr>
            <w:r>
              <w:rPr>
                <w:rFonts w:ascii="Times New Roman" w:hAnsi="Times New Roman" w:cs="Times New Roman"/>
                <w:szCs w:val="24"/>
                <w:lang w:val="et-EE"/>
              </w:rPr>
              <w:t>1991-2011</w:t>
            </w:r>
          </w:p>
        </w:tc>
        <w:tc>
          <w:tcPr>
            <w:tcW w:w="1649"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
              <w:rPr>
                <w:rFonts w:ascii="Times New Roman" w:hAnsi="Times New Roman" w:cs="Times New Roman"/>
                <w:szCs w:val="24"/>
                <w:lang w:val="et-EE"/>
              </w:rPr>
            </w:pPr>
            <w:r>
              <w:rPr>
                <w:rFonts w:ascii="Times New Roman" w:hAnsi="Times New Roman" w:cs="Times New Roman"/>
                <w:szCs w:val="24"/>
                <w:lang w:val="et-EE"/>
              </w:rPr>
              <w:t>29 artiklit</w:t>
            </w:r>
          </w:p>
        </w:tc>
        <w:tc>
          <w:tcPr>
            <w:tcW w:w="1711" w:type="dxa"/>
            <w:tcBorders>
              <w:top w:val="single" w:sz="6" w:space="0" w:color="000000"/>
              <w:left w:val="single" w:sz="6" w:space="0" w:color="000000"/>
              <w:bottom w:val="single" w:sz="6" w:space="0" w:color="000000"/>
              <w:right w:val="single" w:sz="6" w:space="0" w:color="000000"/>
            </w:tcBorders>
          </w:tcPr>
          <w:p w:rsidR="004C426F" w:rsidRPr="00704BB5" w:rsidRDefault="004C426F" w:rsidP="00356DCC">
            <w:pPr>
              <w:pStyle w:val="P1"/>
              <w:rPr>
                <w:rFonts w:ascii="Times New Roman" w:hAnsi="Times New Roman" w:cs="Times New Roman"/>
                <w:szCs w:val="24"/>
                <w:lang w:val="et-EE"/>
              </w:rPr>
            </w:pPr>
            <w:r>
              <w:rPr>
                <w:rFonts w:ascii="Times New Roman" w:hAnsi="Times New Roman" w:cs="Times New Roman"/>
                <w:szCs w:val="24"/>
                <w:lang w:val="et-EE"/>
              </w:rPr>
              <w:t>Kaalulangus preoperatiivselt</w:t>
            </w:r>
          </w:p>
        </w:tc>
        <w:tc>
          <w:tcPr>
            <w:tcW w:w="1650" w:type="dxa"/>
            <w:tcBorders>
              <w:top w:val="single" w:sz="6" w:space="0" w:color="000000"/>
              <w:left w:val="single" w:sz="6" w:space="0" w:color="000000"/>
              <w:bottom w:val="single" w:sz="6" w:space="0" w:color="000000"/>
              <w:right w:val="single" w:sz="6" w:space="0" w:color="000000"/>
            </w:tcBorders>
          </w:tcPr>
          <w:p w:rsidR="004C426F" w:rsidRDefault="004C426F" w:rsidP="00D86AAB">
            <w:pPr>
              <w:autoSpaceDE w:val="0"/>
              <w:autoSpaceDN w:val="0"/>
              <w:adjustRightInd w:val="0"/>
              <w:spacing w:after="0" w:line="240" w:lineRule="auto"/>
              <w:rPr>
                <w:rFonts w:ascii="AdvOT46dcae81" w:hAnsi="AdvOT46dcae81" w:cs="AdvOT46dcae81"/>
                <w:color w:val="231F20"/>
                <w:sz w:val="18"/>
                <w:szCs w:val="18"/>
              </w:rPr>
            </w:pPr>
            <w:r>
              <w:rPr>
                <w:rFonts w:ascii="AdvOT46dcae81" w:hAnsi="AdvOT46dcae81" w:cs="AdvOT46dcae81"/>
                <w:color w:val="231F20"/>
                <w:sz w:val="18"/>
                <w:szCs w:val="18"/>
              </w:rPr>
              <w:t>Given the inconsistency and questionable validity of the extant</w:t>
            </w:r>
          </w:p>
          <w:p w:rsidR="004C426F" w:rsidRDefault="004C426F" w:rsidP="00D86AAB">
            <w:pPr>
              <w:autoSpaceDE w:val="0"/>
              <w:autoSpaceDN w:val="0"/>
              <w:adjustRightInd w:val="0"/>
              <w:spacing w:after="0" w:line="240" w:lineRule="auto"/>
              <w:rPr>
                <w:rFonts w:ascii="AdvOT46dcae81" w:hAnsi="AdvOT46dcae81" w:cs="AdvOT46dcae81"/>
                <w:color w:val="231F20"/>
                <w:sz w:val="18"/>
                <w:szCs w:val="18"/>
              </w:rPr>
            </w:pPr>
            <w:r>
              <w:rPr>
                <w:rFonts w:ascii="AdvOT46dcae81" w:hAnsi="AdvOT46dcae81" w:cs="AdvOT46dcae81"/>
                <w:color w:val="231F20"/>
                <w:sz w:val="18"/>
                <w:szCs w:val="18"/>
              </w:rPr>
              <w:t>research discussed above on the question of the effect of</w:t>
            </w:r>
          </w:p>
          <w:p w:rsidR="004C426F" w:rsidRDefault="004C426F" w:rsidP="00D86AAB">
            <w:pPr>
              <w:autoSpaceDE w:val="0"/>
              <w:autoSpaceDN w:val="0"/>
              <w:adjustRightInd w:val="0"/>
              <w:spacing w:after="0" w:line="240" w:lineRule="auto"/>
              <w:rPr>
                <w:rFonts w:ascii="AdvOT46dcae81" w:hAnsi="AdvOT46dcae81" w:cs="AdvOT46dcae81"/>
                <w:color w:val="231F20"/>
                <w:sz w:val="18"/>
                <w:szCs w:val="18"/>
              </w:rPr>
            </w:pPr>
            <w:r>
              <w:rPr>
                <w:rFonts w:ascii="AdvOT46dcae81" w:hAnsi="AdvOT46dcae81" w:cs="AdvOT46dcae81"/>
                <w:color w:val="231F20"/>
                <w:sz w:val="18"/>
                <w:szCs w:val="18"/>
              </w:rPr>
              <w:t>preoperative weight loss on peri and postoperative outcomes</w:t>
            </w:r>
          </w:p>
          <w:p w:rsidR="004C426F" w:rsidRDefault="004C426F" w:rsidP="00D86AAB">
            <w:pPr>
              <w:autoSpaceDE w:val="0"/>
              <w:autoSpaceDN w:val="0"/>
              <w:adjustRightInd w:val="0"/>
              <w:spacing w:after="0" w:line="240" w:lineRule="auto"/>
              <w:rPr>
                <w:rFonts w:ascii="AdvOT46dcae81" w:hAnsi="AdvOT46dcae81" w:cs="AdvOT46dcae81"/>
                <w:color w:val="231F20"/>
                <w:sz w:val="18"/>
                <w:szCs w:val="18"/>
              </w:rPr>
            </w:pPr>
            <w:r>
              <w:rPr>
                <w:rFonts w:ascii="AdvOT46dcae81" w:hAnsi="AdvOT46dcae81" w:cs="AdvOT46dcae81"/>
                <w:color w:val="231F20"/>
                <w:sz w:val="18"/>
                <w:szCs w:val="18"/>
              </w:rPr>
              <w:t>(see Tables 2–4), it is the opinion of these authors that insufficient</w:t>
            </w:r>
          </w:p>
          <w:p w:rsidR="004C426F" w:rsidRDefault="004C426F" w:rsidP="00D86AAB">
            <w:pPr>
              <w:autoSpaceDE w:val="0"/>
              <w:autoSpaceDN w:val="0"/>
              <w:adjustRightInd w:val="0"/>
              <w:spacing w:after="0" w:line="240" w:lineRule="auto"/>
              <w:rPr>
                <w:rFonts w:ascii="AdvOT46dcae81" w:hAnsi="AdvOT46dcae81" w:cs="AdvOT46dcae81"/>
                <w:color w:val="231F20"/>
                <w:sz w:val="18"/>
                <w:szCs w:val="18"/>
              </w:rPr>
            </w:pPr>
            <w:r>
              <w:rPr>
                <w:rFonts w:ascii="AdvOT46dcae81" w:hAnsi="AdvOT46dcae81" w:cs="AdvOT46dcae81"/>
                <w:color w:val="231F20"/>
                <w:sz w:val="18"/>
                <w:szCs w:val="18"/>
              </w:rPr>
              <w:t>evidence is currently available to justify a pre-bariatric surgery</w:t>
            </w:r>
          </w:p>
          <w:p w:rsidR="004C426F" w:rsidRPr="00704BB5" w:rsidRDefault="004C426F" w:rsidP="00D86AAB">
            <w:pPr>
              <w:pStyle w:val="P16"/>
              <w:rPr>
                <w:rFonts w:ascii="Times New Roman" w:hAnsi="Times New Roman" w:cs="Times New Roman"/>
                <w:szCs w:val="24"/>
                <w:lang w:val="et-EE"/>
              </w:rPr>
            </w:pPr>
            <w:r>
              <w:rPr>
                <w:rFonts w:ascii="AdvOT46dcae81" w:hAnsi="AdvOT46dcae81" w:cs="AdvOT46dcae81"/>
                <w:color w:val="231F20"/>
                <w:sz w:val="18"/>
                <w:szCs w:val="18"/>
              </w:rPr>
              <w:t>weight loss mandate.</w:t>
            </w:r>
          </w:p>
        </w:tc>
      </w:tr>
    </w:tbl>
    <w:p w:rsidR="004C426F" w:rsidRDefault="004C426F">
      <w:pPr>
        <w:spacing w:after="0" w:line="240" w:lineRule="auto"/>
        <w:rPr>
          <w:rFonts w:ascii="Times New Roman" w:hAnsi="Times New Roman"/>
          <w:sz w:val="24"/>
          <w:szCs w:val="24"/>
        </w:rPr>
      </w:pPr>
      <w:bookmarkStart w:id="0" w:name="_GoBack"/>
      <w:bookmarkEnd w:id="0"/>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4C426F" w:rsidP="002D7520">
      <w:pPr>
        <w:autoSpaceDE w:val="0"/>
        <w:autoSpaceDN w:val="0"/>
        <w:adjustRightInd w:val="0"/>
        <w:spacing w:after="0" w:line="240" w:lineRule="auto"/>
        <w:rPr>
          <w:rFonts w:ascii="Times New Roman" w:hAnsi="Times New Roman"/>
          <w:sz w:val="24"/>
          <w:szCs w:val="24"/>
        </w:rPr>
      </w:pPr>
    </w:p>
    <w:p w:rsidR="004C426F" w:rsidRPr="00184B57" w:rsidRDefault="004C426F" w:rsidP="006D770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Viited</w:t>
      </w:r>
    </w:p>
    <w:p w:rsidR="004C426F" w:rsidRPr="00184B57" w:rsidRDefault="004C426F" w:rsidP="006D7708">
      <w:pPr>
        <w:autoSpaceDE w:val="0"/>
        <w:autoSpaceDN w:val="0"/>
        <w:adjustRightInd w:val="0"/>
        <w:spacing w:after="0" w:line="240" w:lineRule="auto"/>
        <w:rPr>
          <w:rFonts w:ascii="Times New Roman" w:hAnsi="Times New Roman"/>
          <w:b/>
          <w:sz w:val="24"/>
          <w:szCs w:val="24"/>
        </w:rPr>
      </w:pP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Alami RS, M. J. (2007). Is there a benefit to preoperative weight loss in gastric bypass patients? A prospective randomized trial. </w:t>
      </w:r>
      <w:r w:rsidRPr="00184B57">
        <w:rPr>
          <w:rFonts w:ascii="Times New Roman" w:hAnsi="Times New Roman"/>
          <w:i/>
          <w:iCs/>
          <w:noProof/>
          <w:sz w:val="24"/>
          <w:szCs w:val="24"/>
          <w:lang w:val="en-US"/>
        </w:rPr>
        <w:t>Surg Obes Relat Dis</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Alvarado R, A. R. (2008). The impact of preoperative weight loss in patients undergoing laparoscopic Roux-en-Y gastric bypass. </w:t>
      </w:r>
      <w:r w:rsidRPr="00184B57">
        <w:rPr>
          <w:rFonts w:ascii="Times New Roman" w:hAnsi="Times New Roman"/>
          <w:i/>
          <w:iCs/>
          <w:noProof/>
          <w:sz w:val="24"/>
          <w:szCs w:val="24"/>
          <w:lang w:val="en-US"/>
        </w:rPr>
        <w:t>Obes Surg</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Benotti BN, S. C., &amp; al., e. (2009). Preoperative weight loss before bariatric surgery. </w:t>
      </w:r>
      <w:r w:rsidRPr="00184B57">
        <w:rPr>
          <w:rFonts w:ascii="Times New Roman" w:hAnsi="Times New Roman"/>
          <w:i/>
          <w:iCs/>
          <w:noProof/>
          <w:sz w:val="24"/>
          <w:szCs w:val="24"/>
          <w:lang w:val="en-US"/>
        </w:rPr>
        <w:t>Arch Surg</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Cassie S, M. C., &amp; al., e. (2011). Effect of preoperative weight loss in bariatric surgical patients: a systematic review. </w:t>
      </w:r>
      <w:r w:rsidRPr="00184B57">
        <w:rPr>
          <w:rFonts w:ascii="Times New Roman" w:hAnsi="Times New Roman"/>
          <w:i/>
          <w:iCs/>
          <w:noProof/>
          <w:sz w:val="24"/>
          <w:szCs w:val="24"/>
          <w:lang w:val="en-US"/>
        </w:rPr>
        <w:t>Surgery for Obesity and Related Diseases</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CN, O., &amp; al., e. (2012). Pre-bariatric surgery weight loss requirements and the effect. </w:t>
      </w:r>
      <w:r w:rsidRPr="00184B57">
        <w:rPr>
          <w:rFonts w:ascii="Times New Roman" w:hAnsi="Times New Roman"/>
          <w:i/>
          <w:iCs/>
          <w:noProof/>
          <w:sz w:val="24"/>
          <w:szCs w:val="24"/>
          <w:lang w:val="en-US"/>
        </w:rPr>
        <w:t>International Journal of Obesity</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lastRenderedPageBreak/>
        <w:t xml:space="preserve">Colles SL, D. J. (2006). Preoperative weight loss with a very-low-energy diet: quantitation of changes in liver and abdominal fat by serial imaging. </w:t>
      </w:r>
      <w:r w:rsidRPr="00184B57">
        <w:rPr>
          <w:rFonts w:ascii="Times New Roman" w:hAnsi="Times New Roman"/>
          <w:i/>
          <w:iCs/>
          <w:noProof/>
          <w:sz w:val="24"/>
          <w:szCs w:val="24"/>
          <w:lang w:val="en-US"/>
        </w:rPr>
        <w:t>Am J Clin Nutr</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Jamal MK, D. E. (2006). Insurance-mandated preoperative dietary counseling does not improve outcome and increases dropout rates in patients considering gastric bypass surgery for morbid obesity. </w:t>
      </w:r>
      <w:r w:rsidRPr="00184B57">
        <w:rPr>
          <w:rFonts w:ascii="Times New Roman" w:hAnsi="Times New Roman"/>
          <w:i/>
          <w:iCs/>
          <w:noProof/>
          <w:sz w:val="24"/>
          <w:szCs w:val="24"/>
          <w:lang w:val="en-US"/>
        </w:rPr>
        <w:t>Surg Obes Relat Dis</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Livhits, &amp; al., e. (2009). Does weight loss immediately before bariatric surgery improve outcomes: a systematic review. </w:t>
      </w:r>
      <w:r w:rsidRPr="00184B57">
        <w:rPr>
          <w:rFonts w:ascii="Times New Roman" w:hAnsi="Times New Roman"/>
          <w:i/>
          <w:iCs/>
          <w:noProof/>
          <w:sz w:val="24"/>
          <w:szCs w:val="24"/>
          <w:lang w:val="en-US"/>
        </w:rPr>
        <w:t>Surgery for Obesity and Related Diseases</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Riess KP, B. M. (2008). Effect of preoperative weight loss on laparoscopic gastric bypass outcomes. </w:t>
      </w:r>
      <w:r w:rsidRPr="00184B57">
        <w:rPr>
          <w:rFonts w:ascii="Times New Roman" w:hAnsi="Times New Roman"/>
          <w:i/>
          <w:iCs/>
          <w:noProof/>
          <w:sz w:val="24"/>
          <w:szCs w:val="24"/>
          <w:lang w:val="en-US"/>
        </w:rPr>
        <w:t>Surg Obes Relat Dis</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Solomon H, L. G. (2009). Benefits topatients choosing preoperative weight loss in gastric bypass surgery: new results of a randomized trial. </w:t>
      </w:r>
      <w:r w:rsidRPr="00184B57">
        <w:rPr>
          <w:rFonts w:ascii="Times New Roman" w:hAnsi="Times New Roman"/>
          <w:i/>
          <w:iCs/>
          <w:noProof/>
          <w:sz w:val="24"/>
          <w:szCs w:val="24"/>
          <w:lang w:val="en-US"/>
        </w:rPr>
        <w:t>J Am Coll Surg</w:t>
      </w:r>
      <w:r w:rsidRPr="00184B57">
        <w:rPr>
          <w:rFonts w:ascii="Times New Roman" w:hAnsi="Times New Roman"/>
          <w:noProof/>
          <w:sz w:val="24"/>
          <w:szCs w:val="24"/>
          <w:lang w:val="en-US"/>
        </w:rPr>
        <w:t>.</w:t>
      </w:r>
    </w:p>
    <w:p w:rsidR="004C426F" w:rsidRPr="00184B57" w:rsidRDefault="004C426F" w:rsidP="006D7708">
      <w:pPr>
        <w:pStyle w:val="Bibliography"/>
        <w:ind w:left="720" w:hanging="720"/>
        <w:rPr>
          <w:rFonts w:ascii="Times New Roman" w:hAnsi="Times New Roman"/>
          <w:noProof/>
          <w:sz w:val="24"/>
          <w:szCs w:val="24"/>
          <w:lang w:val="en-US"/>
        </w:rPr>
      </w:pPr>
      <w:r w:rsidRPr="00184B57">
        <w:rPr>
          <w:rFonts w:ascii="Times New Roman" w:hAnsi="Times New Roman"/>
          <w:noProof/>
          <w:sz w:val="24"/>
          <w:szCs w:val="24"/>
          <w:lang w:val="en-US"/>
        </w:rPr>
        <w:t xml:space="preserve">Still CD, B. P. (2007). Outcomes of preoperative weight loss in high-risk patients undergoing gastric bypass surgery. </w:t>
      </w:r>
      <w:r w:rsidRPr="00184B57">
        <w:rPr>
          <w:rFonts w:ascii="Times New Roman" w:hAnsi="Times New Roman"/>
          <w:i/>
          <w:iCs/>
          <w:noProof/>
          <w:sz w:val="24"/>
          <w:szCs w:val="24"/>
          <w:lang w:val="en-US"/>
        </w:rPr>
        <w:t>Arch Surg</w:t>
      </w:r>
      <w:r w:rsidRPr="00184B57">
        <w:rPr>
          <w:rFonts w:ascii="Times New Roman" w:hAnsi="Times New Roman"/>
          <w:noProof/>
          <w:sz w:val="24"/>
          <w:szCs w:val="24"/>
          <w:lang w:val="en-US"/>
        </w:rPr>
        <w:t>.</w:t>
      </w:r>
    </w:p>
    <w:p w:rsidR="004C426F" w:rsidRPr="00184B57" w:rsidRDefault="004C426F" w:rsidP="006D7708">
      <w:pPr>
        <w:rPr>
          <w:rFonts w:ascii="Times New Roman" w:hAnsi="Times New Roman"/>
          <w:sz w:val="24"/>
          <w:szCs w:val="24"/>
        </w:rPr>
      </w:pPr>
    </w:p>
    <w:p w:rsidR="004C426F" w:rsidRPr="00184B57" w:rsidRDefault="004C426F" w:rsidP="002D7520">
      <w:pPr>
        <w:autoSpaceDE w:val="0"/>
        <w:autoSpaceDN w:val="0"/>
        <w:adjustRightInd w:val="0"/>
        <w:spacing w:after="0" w:line="240" w:lineRule="auto"/>
        <w:rPr>
          <w:rFonts w:ascii="Times New Roman" w:hAnsi="Times New Roman"/>
          <w:sz w:val="24"/>
          <w:szCs w:val="24"/>
        </w:rPr>
      </w:pPr>
      <w:r w:rsidRPr="00184B57">
        <w:rPr>
          <w:rFonts w:ascii="Times New Roman" w:hAnsi="Times New Roman"/>
          <w:sz w:val="24"/>
          <w:szCs w:val="24"/>
        </w:rPr>
        <w:t>Otsisõna PUBMEDis: weight, preoperative, surgery; otsitud metaanalüüse ja süstemaatilisi ülevaateid.</w:t>
      </w:r>
    </w:p>
    <w:sectPr w:rsidR="004C426F" w:rsidRPr="00184B57" w:rsidSect="00F540E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945" w:rsidRDefault="002A6945" w:rsidP="009E3F53">
      <w:pPr>
        <w:spacing w:after="0" w:line="240" w:lineRule="auto"/>
      </w:pPr>
      <w:r>
        <w:separator/>
      </w:r>
    </w:p>
  </w:endnote>
  <w:endnote w:type="continuationSeparator" w:id="1">
    <w:p w:rsidR="002A6945" w:rsidRDefault="002A6945" w:rsidP="009E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1">
    <w:altName w:val="Times New Roman"/>
    <w:panose1 w:val="00000000000000000000"/>
    <w:charset w:val="00"/>
    <w:family w:val="roman"/>
    <w:notTrueType/>
    <w:pitch w:val="variable"/>
    <w:sig w:usb0="00000003" w:usb1="00000000" w:usb2="00000000" w:usb3="00000000" w:csb0="00000001" w:csb1="00000000"/>
  </w:font>
  <w:font w:name="AGaramond-Regular">
    <w:altName w:val="Times New Roman"/>
    <w:panose1 w:val="00000000000000000000"/>
    <w:charset w:val="00"/>
    <w:family w:val="roman"/>
    <w:notTrueType/>
    <w:pitch w:val="variable"/>
    <w:sig w:usb0="00000003" w:usb1="00000000" w:usb2="00000000" w:usb3="00000000" w:csb0="00000001" w:csb1="00000000"/>
  </w:font>
  <w:font w:name="Berkeley-Medium">
    <w:altName w:val="Times New Roman"/>
    <w:panose1 w:val="00000000000000000000"/>
    <w:charset w:val="00"/>
    <w:family w:val="roman"/>
    <w:notTrueType/>
    <w:pitch w:val="default"/>
    <w:sig w:usb0="00000003" w:usb1="00000000" w:usb2="00000000" w:usb3="00000000" w:csb0="0000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3713a231+2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CGOmega">
    <w:altName w:val="Arial"/>
    <w:panose1 w:val="00000000000000000000"/>
    <w:charset w:val="00"/>
    <w:family w:val="swiss"/>
    <w:notTrueType/>
    <w:pitch w:val="default"/>
    <w:sig w:usb0="00000003" w:usb1="00000000" w:usb2="00000000" w:usb3="00000000" w:csb0="00000001" w:csb1="00000000"/>
  </w:font>
  <w:font w:name="Universal-GreekwithMathPi">
    <w:panose1 w:val="00000000000000000000"/>
    <w:charset w:val="BA"/>
    <w:family w:val="auto"/>
    <w:notTrueType/>
    <w:pitch w:val="default"/>
    <w:sig w:usb0="00000005" w:usb1="00000000" w:usb2="00000000" w:usb3="00000000" w:csb0="00000080" w:csb1="00000000"/>
  </w:font>
  <w:font w:name="Berkeley-Italic">
    <w:altName w:val="Times New Roman"/>
    <w:panose1 w:val="00000000000000000000"/>
    <w:charset w:val="00"/>
    <w:family w:val="roman"/>
    <w:notTrueType/>
    <w:pitch w:val="default"/>
    <w:sig w:usb0="00000003" w:usb1="00000000" w:usb2="00000000" w:usb3="00000000" w:csb0="00000001" w:csb1="00000000"/>
  </w:font>
  <w:font w:name="MathematicalPi-One">
    <w:altName w:val="Times New Roman"/>
    <w:panose1 w:val="00000000000000000000"/>
    <w:charset w:val="00"/>
    <w:family w:val="auto"/>
    <w:notTrueType/>
    <w:pitch w:val="default"/>
    <w:sig w:usb0="00000003" w:usb1="00000000" w:usb2="00000000" w:usb3="00000000" w:csb0="00000001" w:csb1="00000000"/>
  </w:font>
  <w:font w:name="AdvOT46dcae81">
    <w:panose1 w:val="00000000000000000000"/>
    <w:charset w:val="BA"/>
    <w:family w:val="auto"/>
    <w:notTrueType/>
    <w:pitch w:val="default"/>
    <w:sig w:usb0="00000005"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6F" w:rsidRDefault="00663ED8">
    <w:pPr>
      <w:pStyle w:val="Footer"/>
      <w:jc w:val="right"/>
    </w:pPr>
    <w:fldSimple w:instr="PAGE   \* MERGEFORMAT">
      <w:r w:rsidR="006E5748">
        <w:rPr>
          <w:noProof/>
        </w:rPr>
        <w:t>3</w:t>
      </w:r>
    </w:fldSimple>
  </w:p>
  <w:p w:rsidR="004C426F" w:rsidRDefault="004C4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945" w:rsidRDefault="002A6945" w:rsidP="009E3F53">
      <w:pPr>
        <w:spacing w:after="0" w:line="240" w:lineRule="auto"/>
      </w:pPr>
      <w:r>
        <w:separator/>
      </w:r>
    </w:p>
  </w:footnote>
  <w:footnote w:type="continuationSeparator" w:id="1">
    <w:p w:rsidR="002A6945" w:rsidRDefault="002A6945" w:rsidP="009E3F53">
      <w:pPr>
        <w:spacing w:after="0" w:line="240" w:lineRule="auto"/>
      </w:pPr>
      <w:r>
        <w:continuationSeparator/>
      </w:r>
    </w:p>
  </w:footnote>
  <w:footnote w:id="2">
    <w:p w:rsidR="004C426F" w:rsidRDefault="004C426F">
      <w:pPr>
        <w:pStyle w:val="FootnoteText"/>
      </w:pPr>
      <w:r>
        <w:rPr>
          <w:rStyle w:val="FootnoteReference"/>
        </w:rPr>
        <w:footnoteRef/>
      </w:r>
      <w:r>
        <w:t xml:space="preserve"> </w:t>
      </w:r>
      <w:r>
        <w:rPr>
          <w:noProof/>
        </w:rPr>
        <w:t>(Benotti BN &amp; al., 2009)</w:t>
      </w:r>
    </w:p>
  </w:footnote>
  <w:footnote w:id="3">
    <w:p w:rsidR="004C426F" w:rsidRDefault="004C426F">
      <w:pPr>
        <w:pStyle w:val="FootnoteText"/>
      </w:pPr>
      <w:r>
        <w:rPr>
          <w:rStyle w:val="FootnoteReference"/>
        </w:rPr>
        <w:footnoteRef/>
      </w:r>
      <w:r>
        <w:t xml:space="preserve"> </w:t>
      </w:r>
      <w:r>
        <w:rPr>
          <w:noProof/>
        </w:rPr>
        <w:t>(Cassie S &amp; al., 2011)</w:t>
      </w:r>
    </w:p>
  </w:footnote>
  <w:footnote w:id="4">
    <w:p w:rsidR="004C426F" w:rsidRDefault="004C426F">
      <w:pPr>
        <w:pStyle w:val="FootnoteText"/>
      </w:pPr>
      <w:r>
        <w:rPr>
          <w:rStyle w:val="FootnoteReference"/>
        </w:rPr>
        <w:footnoteRef/>
      </w:r>
      <w:r>
        <w:t xml:space="preserve"> </w:t>
      </w:r>
      <w:r>
        <w:rPr>
          <w:noProof/>
        </w:rPr>
        <w:t>(CN &amp; al., 2012)</w:t>
      </w:r>
    </w:p>
  </w:footnote>
  <w:footnote w:id="5">
    <w:p w:rsidR="006E5748" w:rsidRDefault="006E5748" w:rsidP="006E5748">
      <w:pPr>
        <w:pStyle w:val="FootnoteText"/>
      </w:pPr>
      <w:r>
        <w:rPr>
          <w:rStyle w:val="FootnoteReference"/>
        </w:rPr>
        <w:footnoteRef/>
      </w:r>
      <w:r>
        <w:t xml:space="preserve"> </w:t>
      </w:r>
      <w:r>
        <w:rPr>
          <w:noProof/>
        </w:rPr>
        <w:t>(Alvarado R, 2008)</w:t>
      </w:r>
    </w:p>
  </w:footnote>
  <w:footnote w:id="6">
    <w:p w:rsidR="006E5748" w:rsidRDefault="006E5748" w:rsidP="006E5748">
      <w:pPr>
        <w:pStyle w:val="FootnoteText"/>
      </w:pPr>
      <w:r>
        <w:rPr>
          <w:rStyle w:val="FootnoteReference"/>
        </w:rPr>
        <w:footnoteRef/>
      </w:r>
      <w:r>
        <w:t xml:space="preserve"> </w:t>
      </w:r>
      <w:r>
        <w:rPr>
          <w:noProof/>
        </w:rPr>
        <w:t>(Still CD, 2007)</w:t>
      </w:r>
    </w:p>
  </w:footnote>
  <w:footnote w:id="7">
    <w:p w:rsidR="006E5748" w:rsidRDefault="006E5748" w:rsidP="006E5748">
      <w:pPr>
        <w:pStyle w:val="FootnoteText"/>
      </w:pPr>
      <w:r>
        <w:rPr>
          <w:rStyle w:val="FootnoteReference"/>
        </w:rPr>
        <w:footnoteRef/>
      </w:r>
      <w:r>
        <w:t xml:space="preserve"> </w:t>
      </w:r>
      <w:r>
        <w:rPr>
          <w:noProof/>
        </w:rPr>
        <w:t>(Alami RS, 2007)</w:t>
      </w:r>
    </w:p>
  </w:footnote>
  <w:footnote w:id="8">
    <w:p w:rsidR="006E5748" w:rsidRDefault="006E5748" w:rsidP="006E5748">
      <w:pPr>
        <w:pStyle w:val="FootnoteText"/>
      </w:pPr>
      <w:r>
        <w:rPr>
          <w:rStyle w:val="FootnoteReference"/>
        </w:rPr>
        <w:footnoteRef/>
      </w:r>
      <w:r>
        <w:t xml:space="preserve"> </w:t>
      </w:r>
      <w:r>
        <w:rPr>
          <w:noProof/>
        </w:rPr>
        <w:t>(Jamal MK, 2006)</w:t>
      </w:r>
    </w:p>
  </w:footnote>
  <w:footnote w:id="9">
    <w:p w:rsidR="006E5748" w:rsidRDefault="006E5748" w:rsidP="006E5748">
      <w:pPr>
        <w:pStyle w:val="FootnoteText"/>
      </w:pPr>
      <w:r>
        <w:rPr>
          <w:rStyle w:val="FootnoteReference"/>
        </w:rPr>
        <w:footnoteRef/>
      </w:r>
      <w:r>
        <w:t xml:space="preserve"> </w:t>
      </w:r>
      <w:r>
        <w:rPr>
          <w:noProof/>
        </w:rPr>
        <w:t>(Colles SL, 2006)</w:t>
      </w:r>
    </w:p>
  </w:footnote>
  <w:footnote w:id="10">
    <w:p w:rsidR="006E5748" w:rsidRDefault="006E5748" w:rsidP="006E5748">
      <w:pPr>
        <w:pStyle w:val="FootnoteText"/>
      </w:pPr>
      <w:r>
        <w:rPr>
          <w:rStyle w:val="FootnoteReference"/>
        </w:rPr>
        <w:footnoteRef/>
      </w:r>
      <w:r>
        <w:t xml:space="preserve"> </w:t>
      </w:r>
      <w:r>
        <w:rPr>
          <w:noProof/>
        </w:rPr>
        <w:t>(Riess KP, 2008)</w:t>
      </w:r>
    </w:p>
  </w:footnote>
  <w:footnote w:id="11">
    <w:p w:rsidR="006E5748" w:rsidRDefault="006E5748" w:rsidP="006E5748">
      <w:pPr>
        <w:pStyle w:val="FootnoteText"/>
      </w:pPr>
      <w:r>
        <w:rPr>
          <w:rStyle w:val="FootnoteReference"/>
        </w:rPr>
        <w:footnoteRef/>
      </w:r>
      <w:r>
        <w:t xml:space="preserve"> </w:t>
      </w:r>
      <w:r>
        <w:rPr>
          <w:noProof/>
        </w:rPr>
        <w:t>(Solomon H, 2009)</w:t>
      </w:r>
    </w:p>
  </w:footnote>
  <w:footnote w:id="12">
    <w:p w:rsidR="006E5748" w:rsidRDefault="006E5748" w:rsidP="006E5748">
      <w:pPr>
        <w:pStyle w:val="FootnoteText"/>
      </w:pPr>
      <w:r>
        <w:rPr>
          <w:rStyle w:val="FootnoteReference"/>
        </w:rPr>
        <w:footnoteRef/>
      </w:r>
      <w:r>
        <w:t xml:space="preserve"> </w:t>
      </w:r>
      <w:r>
        <w:rPr>
          <w:noProof/>
        </w:rPr>
        <w:t>(Livhits &amp; al.,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6F" w:rsidRPr="0034114D" w:rsidRDefault="004C426F">
    <w:pPr>
      <w:pStyle w:val="Header"/>
      <w:rPr>
        <w:rFonts w:ascii="Times New Roman" w:hAnsi="Times New Roman"/>
      </w:rPr>
    </w:pPr>
    <w:r w:rsidRPr="0034114D">
      <w:rPr>
        <w:rFonts w:ascii="Times New Roman" w:hAnsi="Times New Roman"/>
      </w:rPr>
      <w:t>Bariaatria_K6_EVSu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D67"/>
    <w:rsid w:val="0002127F"/>
    <w:rsid w:val="00071094"/>
    <w:rsid w:val="00072884"/>
    <w:rsid w:val="00072F40"/>
    <w:rsid w:val="00073747"/>
    <w:rsid w:val="00081684"/>
    <w:rsid w:val="00093A53"/>
    <w:rsid w:val="000A44EF"/>
    <w:rsid w:val="000D01DF"/>
    <w:rsid w:val="000D6AA5"/>
    <w:rsid w:val="000F70B0"/>
    <w:rsid w:val="000F7F99"/>
    <w:rsid w:val="00103E80"/>
    <w:rsid w:val="00115D6F"/>
    <w:rsid w:val="001228FD"/>
    <w:rsid w:val="001348C0"/>
    <w:rsid w:val="001359CA"/>
    <w:rsid w:val="001462E8"/>
    <w:rsid w:val="0015354B"/>
    <w:rsid w:val="0015543E"/>
    <w:rsid w:val="0016263E"/>
    <w:rsid w:val="00181187"/>
    <w:rsid w:val="00184B57"/>
    <w:rsid w:val="001A439C"/>
    <w:rsid w:val="001A4496"/>
    <w:rsid w:val="001B2D7A"/>
    <w:rsid w:val="001F245A"/>
    <w:rsid w:val="001F483F"/>
    <w:rsid w:val="002005DA"/>
    <w:rsid w:val="002010A6"/>
    <w:rsid w:val="00220FD2"/>
    <w:rsid w:val="0023308F"/>
    <w:rsid w:val="0024444A"/>
    <w:rsid w:val="00261BF8"/>
    <w:rsid w:val="00265103"/>
    <w:rsid w:val="002816CA"/>
    <w:rsid w:val="002A6945"/>
    <w:rsid w:val="002D7520"/>
    <w:rsid w:val="002F397C"/>
    <w:rsid w:val="002F5C32"/>
    <w:rsid w:val="0030223F"/>
    <w:rsid w:val="00305079"/>
    <w:rsid w:val="00306945"/>
    <w:rsid w:val="00324407"/>
    <w:rsid w:val="00340617"/>
    <w:rsid w:val="0034114D"/>
    <w:rsid w:val="00356DCC"/>
    <w:rsid w:val="003804A6"/>
    <w:rsid w:val="004333A5"/>
    <w:rsid w:val="00434460"/>
    <w:rsid w:val="00442110"/>
    <w:rsid w:val="004424B3"/>
    <w:rsid w:val="00477010"/>
    <w:rsid w:val="00497852"/>
    <w:rsid w:val="004A51B0"/>
    <w:rsid w:val="004B6E50"/>
    <w:rsid w:val="004C426F"/>
    <w:rsid w:val="004C7E8C"/>
    <w:rsid w:val="004D1D96"/>
    <w:rsid w:val="005046B8"/>
    <w:rsid w:val="00527342"/>
    <w:rsid w:val="0053217D"/>
    <w:rsid w:val="00532D67"/>
    <w:rsid w:val="00534BB7"/>
    <w:rsid w:val="00593711"/>
    <w:rsid w:val="005979F8"/>
    <w:rsid w:val="005A2BAB"/>
    <w:rsid w:val="005D10B8"/>
    <w:rsid w:val="006029CD"/>
    <w:rsid w:val="006166A5"/>
    <w:rsid w:val="00622C6D"/>
    <w:rsid w:val="00641A64"/>
    <w:rsid w:val="006530A2"/>
    <w:rsid w:val="00661C8C"/>
    <w:rsid w:val="00663ED8"/>
    <w:rsid w:val="00666827"/>
    <w:rsid w:val="00672E24"/>
    <w:rsid w:val="0069044A"/>
    <w:rsid w:val="00694937"/>
    <w:rsid w:val="006A2945"/>
    <w:rsid w:val="006B480E"/>
    <w:rsid w:val="006C06A3"/>
    <w:rsid w:val="006C7E41"/>
    <w:rsid w:val="006D7708"/>
    <w:rsid w:val="006E5748"/>
    <w:rsid w:val="006F2267"/>
    <w:rsid w:val="00704BB5"/>
    <w:rsid w:val="0070713B"/>
    <w:rsid w:val="00711C13"/>
    <w:rsid w:val="00713426"/>
    <w:rsid w:val="00745223"/>
    <w:rsid w:val="007475C7"/>
    <w:rsid w:val="00751CD7"/>
    <w:rsid w:val="0076048A"/>
    <w:rsid w:val="00795DAC"/>
    <w:rsid w:val="007A71EB"/>
    <w:rsid w:val="007B0E65"/>
    <w:rsid w:val="007C64EF"/>
    <w:rsid w:val="007D0F61"/>
    <w:rsid w:val="00806C44"/>
    <w:rsid w:val="008209E3"/>
    <w:rsid w:val="0082743C"/>
    <w:rsid w:val="008401A3"/>
    <w:rsid w:val="00843350"/>
    <w:rsid w:val="00850A44"/>
    <w:rsid w:val="008572DC"/>
    <w:rsid w:val="00866FFA"/>
    <w:rsid w:val="00867474"/>
    <w:rsid w:val="008677DF"/>
    <w:rsid w:val="00884538"/>
    <w:rsid w:val="0089096D"/>
    <w:rsid w:val="008912FB"/>
    <w:rsid w:val="00894732"/>
    <w:rsid w:val="00894830"/>
    <w:rsid w:val="008B0DB9"/>
    <w:rsid w:val="008B21E4"/>
    <w:rsid w:val="008D5D5C"/>
    <w:rsid w:val="008E2E44"/>
    <w:rsid w:val="008F56D6"/>
    <w:rsid w:val="009049FE"/>
    <w:rsid w:val="009146EB"/>
    <w:rsid w:val="00916535"/>
    <w:rsid w:val="0093199B"/>
    <w:rsid w:val="009319B5"/>
    <w:rsid w:val="00932408"/>
    <w:rsid w:val="009338EC"/>
    <w:rsid w:val="00963A51"/>
    <w:rsid w:val="00977E1A"/>
    <w:rsid w:val="0099570C"/>
    <w:rsid w:val="009E20BF"/>
    <w:rsid w:val="009E3F53"/>
    <w:rsid w:val="009F6016"/>
    <w:rsid w:val="009F6DE7"/>
    <w:rsid w:val="00A01028"/>
    <w:rsid w:val="00A10E7D"/>
    <w:rsid w:val="00A15FB5"/>
    <w:rsid w:val="00A373B5"/>
    <w:rsid w:val="00A8598E"/>
    <w:rsid w:val="00A9635B"/>
    <w:rsid w:val="00A96C5F"/>
    <w:rsid w:val="00AC1C64"/>
    <w:rsid w:val="00AC4001"/>
    <w:rsid w:val="00AC78B2"/>
    <w:rsid w:val="00AE755A"/>
    <w:rsid w:val="00AE76AC"/>
    <w:rsid w:val="00B52FA0"/>
    <w:rsid w:val="00B77C14"/>
    <w:rsid w:val="00B81496"/>
    <w:rsid w:val="00B912C3"/>
    <w:rsid w:val="00B93A8A"/>
    <w:rsid w:val="00BA27ED"/>
    <w:rsid w:val="00BE348E"/>
    <w:rsid w:val="00BF4514"/>
    <w:rsid w:val="00C06A79"/>
    <w:rsid w:val="00C45B80"/>
    <w:rsid w:val="00C51423"/>
    <w:rsid w:val="00C65B89"/>
    <w:rsid w:val="00C966DE"/>
    <w:rsid w:val="00CF4FAE"/>
    <w:rsid w:val="00CF5B9D"/>
    <w:rsid w:val="00CF7434"/>
    <w:rsid w:val="00D06149"/>
    <w:rsid w:val="00D17D81"/>
    <w:rsid w:val="00D24B43"/>
    <w:rsid w:val="00D34AC1"/>
    <w:rsid w:val="00D62DC2"/>
    <w:rsid w:val="00D6629B"/>
    <w:rsid w:val="00D86AAB"/>
    <w:rsid w:val="00D914CB"/>
    <w:rsid w:val="00D92656"/>
    <w:rsid w:val="00DA324E"/>
    <w:rsid w:val="00DA41B6"/>
    <w:rsid w:val="00DB4B30"/>
    <w:rsid w:val="00DB7857"/>
    <w:rsid w:val="00DB7DED"/>
    <w:rsid w:val="00DC46CA"/>
    <w:rsid w:val="00DC6840"/>
    <w:rsid w:val="00DF2447"/>
    <w:rsid w:val="00E3217E"/>
    <w:rsid w:val="00E433B4"/>
    <w:rsid w:val="00E44372"/>
    <w:rsid w:val="00E9635B"/>
    <w:rsid w:val="00EC0348"/>
    <w:rsid w:val="00ED5663"/>
    <w:rsid w:val="00EF4112"/>
    <w:rsid w:val="00F140E3"/>
    <w:rsid w:val="00F22A3D"/>
    <w:rsid w:val="00F32D5C"/>
    <w:rsid w:val="00F47D95"/>
    <w:rsid w:val="00F540E2"/>
    <w:rsid w:val="00F55114"/>
    <w:rsid w:val="00F70F75"/>
    <w:rsid w:val="00F85015"/>
    <w:rsid w:val="00FA1E20"/>
    <w:rsid w:val="00FA7F14"/>
    <w:rsid w:val="00FB1750"/>
    <w:rsid w:val="00FB6C19"/>
    <w:rsid w:val="00FB6EC2"/>
    <w:rsid w:val="00FC084D"/>
    <w:rsid w:val="00FC7AB9"/>
    <w:rsid w:val="00FD1B48"/>
    <w:rsid w:val="00FF3642"/>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E2"/>
    <w:pPr>
      <w:spacing w:after="200" w:line="276" w:lineRule="auto"/>
    </w:pPr>
    <w:rPr>
      <w:sz w:val="22"/>
      <w:szCs w:val="22"/>
      <w:lang w:eastAsia="en-US"/>
    </w:rPr>
  </w:style>
  <w:style w:type="paragraph" w:styleId="Heading1">
    <w:name w:val="heading 1"/>
    <w:basedOn w:val="Normal"/>
    <w:next w:val="Normal"/>
    <w:link w:val="Heading1Char"/>
    <w:uiPriority w:val="99"/>
    <w:qFormat/>
    <w:rsid w:val="006D7708"/>
    <w:pPr>
      <w:keepNext/>
      <w:keepLines/>
      <w:spacing w:before="480" w:after="0"/>
      <w:outlineLvl w:val="0"/>
    </w:pPr>
    <w:rPr>
      <w:rFonts w:ascii="Cambria" w:eastAsia="Times New Roman" w:hAnsi="Cambria"/>
      <w:b/>
      <w:bCs/>
      <w:color w:val="365F9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7708"/>
    <w:rPr>
      <w:rFonts w:ascii="Cambria" w:hAnsi="Cambria" w:cs="Times New Roman"/>
      <w:b/>
      <w:bCs/>
      <w:color w:val="365F91"/>
      <w:sz w:val="28"/>
      <w:szCs w:val="28"/>
      <w:lang w:val="en-US" w:eastAsia="ja-JP"/>
    </w:rPr>
  </w:style>
  <w:style w:type="paragraph" w:styleId="NormalWeb">
    <w:name w:val="Normal (Web)"/>
    <w:basedOn w:val="Normal"/>
    <w:uiPriority w:val="99"/>
    <w:semiHidden/>
    <w:rsid w:val="007D0F61"/>
    <w:pPr>
      <w:spacing w:before="100" w:beforeAutospacing="1" w:after="100" w:afterAutospacing="1" w:line="240" w:lineRule="auto"/>
    </w:pPr>
    <w:rPr>
      <w:rFonts w:ascii="Times New Roman" w:eastAsia="Times New Roman" w:hAnsi="Times New Roman"/>
      <w:sz w:val="24"/>
      <w:szCs w:val="24"/>
      <w:lang w:eastAsia="et-EE"/>
    </w:rPr>
  </w:style>
  <w:style w:type="paragraph" w:styleId="BalloonText">
    <w:name w:val="Balloon Text"/>
    <w:basedOn w:val="Normal"/>
    <w:link w:val="BalloonTextChar"/>
    <w:uiPriority w:val="99"/>
    <w:semiHidden/>
    <w:rsid w:val="007D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0F61"/>
    <w:rPr>
      <w:rFonts w:ascii="Tahoma" w:hAnsi="Tahoma" w:cs="Tahoma"/>
      <w:sz w:val="16"/>
      <w:szCs w:val="16"/>
    </w:rPr>
  </w:style>
  <w:style w:type="paragraph" w:styleId="Caption">
    <w:name w:val="caption"/>
    <w:basedOn w:val="Normal"/>
    <w:next w:val="Normal"/>
    <w:uiPriority w:val="99"/>
    <w:qFormat/>
    <w:rsid w:val="00FD1B48"/>
    <w:pPr>
      <w:spacing w:line="240" w:lineRule="auto"/>
    </w:pPr>
    <w:rPr>
      <w:b/>
      <w:bCs/>
      <w:color w:val="4F81BD"/>
      <w:sz w:val="18"/>
      <w:szCs w:val="18"/>
    </w:rPr>
  </w:style>
  <w:style w:type="paragraph" w:styleId="FootnoteText">
    <w:name w:val="footnote text"/>
    <w:basedOn w:val="Normal"/>
    <w:link w:val="FootnoteTextChar"/>
    <w:uiPriority w:val="99"/>
    <w:semiHidden/>
    <w:rsid w:val="009E3F5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3F53"/>
    <w:rPr>
      <w:rFonts w:cs="Times New Roman"/>
      <w:sz w:val="20"/>
      <w:szCs w:val="20"/>
    </w:rPr>
  </w:style>
  <w:style w:type="character" w:styleId="FootnoteReference">
    <w:name w:val="footnote reference"/>
    <w:basedOn w:val="DefaultParagraphFont"/>
    <w:uiPriority w:val="99"/>
    <w:semiHidden/>
    <w:rsid w:val="009E3F53"/>
    <w:rPr>
      <w:rFonts w:cs="Times New Roman"/>
      <w:vertAlign w:val="superscript"/>
    </w:rPr>
  </w:style>
  <w:style w:type="paragraph" w:styleId="Bibliography">
    <w:name w:val="Bibliography"/>
    <w:basedOn w:val="Normal"/>
    <w:next w:val="Normal"/>
    <w:uiPriority w:val="99"/>
    <w:rsid w:val="006D7708"/>
  </w:style>
  <w:style w:type="paragraph" w:styleId="Header">
    <w:name w:val="header"/>
    <w:basedOn w:val="Normal"/>
    <w:link w:val="HeaderChar"/>
    <w:uiPriority w:val="99"/>
    <w:rsid w:val="0034114D"/>
    <w:pPr>
      <w:tabs>
        <w:tab w:val="center" w:pos="4536"/>
        <w:tab w:val="right" w:pos="9072"/>
      </w:tabs>
    </w:pPr>
  </w:style>
  <w:style w:type="character" w:customStyle="1" w:styleId="HeaderChar">
    <w:name w:val="Header Char"/>
    <w:basedOn w:val="DefaultParagraphFont"/>
    <w:link w:val="Header"/>
    <w:uiPriority w:val="99"/>
    <w:locked/>
    <w:rsid w:val="0034114D"/>
    <w:rPr>
      <w:rFonts w:cs="Times New Roman"/>
      <w:lang w:val="et-EE"/>
    </w:rPr>
  </w:style>
  <w:style w:type="paragraph" w:styleId="Footer">
    <w:name w:val="footer"/>
    <w:basedOn w:val="Normal"/>
    <w:link w:val="FooterChar"/>
    <w:uiPriority w:val="99"/>
    <w:rsid w:val="0034114D"/>
    <w:pPr>
      <w:tabs>
        <w:tab w:val="center" w:pos="4536"/>
        <w:tab w:val="right" w:pos="9072"/>
      </w:tabs>
    </w:pPr>
  </w:style>
  <w:style w:type="character" w:customStyle="1" w:styleId="FooterChar">
    <w:name w:val="Footer Char"/>
    <w:basedOn w:val="DefaultParagraphFont"/>
    <w:link w:val="Footer"/>
    <w:uiPriority w:val="99"/>
    <w:locked/>
    <w:rsid w:val="0034114D"/>
    <w:rPr>
      <w:rFonts w:cs="Times New Roman"/>
      <w:lang w:val="et-EE"/>
    </w:rPr>
  </w:style>
  <w:style w:type="table" w:styleId="TableGrid">
    <w:name w:val="Table Grid"/>
    <w:basedOn w:val="TableNormal"/>
    <w:uiPriority w:val="99"/>
    <w:locked/>
    <w:rsid w:val="00305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Normal">
    <w:name w:val="wNormal"/>
    <w:basedOn w:val="Normal"/>
    <w:uiPriority w:val="99"/>
    <w:rsid w:val="000D6AA5"/>
    <w:pPr>
      <w:widowControl w:val="0"/>
      <w:adjustRightInd w:val="0"/>
      <w:spacing w:after="0" w:line="240" w:lineRule="auto"/>
    </w:pPr>
    <w:rPr>
      <w:rFonts w:ascii="Times New Roman" w:eastAsia="Times New Roman" w:hAnsi="Times New Roman"/>
      <w:sz w:val="24"/>
      <w:szCs w:val="20"/>
      <w:lang w:val="en-US"/>
    </w:rPr>
  </w:style>
  <w:style w:type="paragraph" w:customStyle="1" w:styleId="P1">
    <w:name w:val="P1"/>
    <w:basedOn w:val="wNormal"/>
    <w:hidden/>
    <w:uiPriority w:val="99"/>
    <w:rsid w:val="000D6AA5"/>
    <w:rPr>
      <w:rFonts w:ascii="Arial1" w:eastAsia="Calibri" w:hAnsi="Arial1" w:cs="Arial1"/>
    </w:rPr>
  </w:style>
  <w:style w:type="paragraph" w:customStyle="1" w:styleId="P2">
    <w:name w:val="P2"/>
    <w:basedOn w:val="wNormal"/>
    <w:hidden/>
    <w:uiPriority w:val="99"/>
    <w:rsid w:val="000D6AA5"/>
    <w:rPr>
      <w:rFonts w:ascii="Arial1" w:eastAsia="Calibri" w:hAnsi="Arial1" w:cs="Arial1"/>
    </w:rPr>
  </w:style>
  <w:style w:type="paragraph" w:customStyle="1" w:styleId="P4">
    <w:name w:val="P4"/>
    <w:basedOn w:val="wNormal"/>
    <w:hidden/>
    <w:uiPriority w:val="99"/>
    <w:rsid w:val="000D6AA5"/>
    <w:rPr>
      <w:rFonts w:ascii="Arial1" w:eastAsia="Calibri" w:hAnsi="Arial1" w:cs="Arial1"/>
      <w:sz w:val="20"/>
    </w:rPr>
  </w:style>
  <w:style w:type="paragraph" w:customStyle="1" w:styleId="P5">
    <w:name w:val="P5"/>
    <w:basedOn w:val="wNormal"/>
    <w:hidden/>
    <w:uiPriority w:val="99"/>
    <w:rsid w:val="000D6AA5"/>
    <w:rPr>
      <w:rFonts w:ascii="Arial1" w:eastAsia="Calibri" w:hAnsi="Arial1" w:cs="Arial1"/>
      <w:sz w:val="20"/>
    </w:rPr>
  </w:style>
  <w:style w:type="paragraph" w:customStyle="1" w:styleId="P6">
    <w:name w:val="P6"/>
    <w:basedOn w:val="wNormal"/>
    <w:hidden/>
    <w:uiPriority w:val="99"/>
    <w:rsid w:val="000D6AA5"/>
    <w:pPr>
      <w:autoSpaceDE w:val="0"/>
      <w:autoSpaceDN w:val="0"/>
    </w:pPr>
    <w:rPr>
      <w:rFonts w:ascii="Arial1" w:eastAsia="Calibri" w:hAnsi="Arial1" w:cs="Arial1"/>
      <w:sz w:val="20"/>
    </w:rPr>
  </w:style>
  <w:style w:type="paragraph" w:customStyle="1" w:styleId="P7">
    <w:name w:val="P7"/>
    <w:basedOn w:val="wNormal"/>
    <w:hidden/>
    <w:uiPriority w:val="99"/>
    <w:rsid w:val="000D6AA5"/>
    <w:pPr>
      <w:autoSpaceDE w:val="0"/>
      <w:autoSpaceDN w:val="0"/>
    </w:pPr>
    <w:rPr>
      <w:rFonts w:ascii="Arial1" w:eastAsia="Calibri" w:hAnsi="Arial1" w:cs="Arial1"/>
      <w:sz w:val="20"/>
    </w:rPr>
  </w:style>
  <w:style w:type="paragraph" w:customStyle="1" w:styleId="P8">
    <w:name w:val="P8"/>
    <w:basedOn w:val="wNormal"/>
    <w:hidden/>
    <w:uiPriority w:val="99"/>
    <w:rsid w:val="000D6AA5"/>
    <w:rPr>
      <w:rFonts w:ascii="Arial1" w:eastAsia="Calibri" w:hAnsi="Arial1" w:cs="Arial1"/>
      <w:b/>
      <w:sz w:val="20"/>
    </w:rPr>
  </w:style>
  <w:style w:type="paragraph" w:customStyle="1" w:styleId="P9">
    <w:name w:val="P9"/>
    <w:basedOn w:val="wNormal"/>
    <w:hidden/>
    <w:uiPriority w:val="99"/>
    <w:rsid w:val="000D6AA5"/>
    <w:pPr>
      <w:jc w:val="center"/>
    </w:pPr>
    <w:rPr>
      <w:rFonts w:ascii="Arial1" w:eastAsia="Calibri" w:hAnsi="Arial1" w:cs="Arial1"/>
      <w:b/>
    </w:rPr>
  </w:style>
  <w:style w:type="paragraph" w:customStyle="1" w:styleId="P10">
    <w:name w:val="P10"/>
    <w:basedOn w:val="wNormal"/>
    <w:hidden/>
    <w:uiPriority w:val="99"/>
    <w:rsid w:val="000D6AA5"/>
    <w:pPr>
      <w:tabs>
        <w:tab w:val="left" w:pos="0"/>
      </w:tabs>
      <w:jc w:val="center"/>
    </w:pPr>
    <w:rPr>
      <w:rFonts w:ascii="Arial1" w:eastAsia="Calibri" w:hAnsi="Arial1" w:cs="Arial1"/>
      <w:b/>
    </w:rPr>
  </w:style>
  <w:style w:type="paragraph" w:customStyle="1" w:styleId="P14">
    <w:name w:val="P14"/>
    <w:basedOn w:val="wNormal"/>
    <w:hidden/>
    <w:uiPriority w:val="99"/>
    <w:rsid w:val="000D6AA5"/>
    <w:pPr>
      <w:autoSpaceDE w:val="0"/>
      <w:autoSpaceDN w:val="0"/>
    </w:pPr>
    <w:rPr>
      <w:rFonts w:ascii="AGaramond-Regular" w:eastAsia="Calibri" w:hAnsi="AGaramond-Regular" w:cs="AGaramond-Regular"/>
      <w:sz w:val="18"/>
    </w:rPr>
  </w:style>
  <w:style w:type="paragraph" w:customStyle="1" w:styleId="P15">
    <w:name w:val="P15"/>
    <w:basedOn w:val="wNormal"/>
    <w:hidden/>
    <w:uiPriority w:val="99"/>
    <w:rsid w:val="000D6AA5"/>
    <w:pPr>
      <w:autoSpaceDE w:val="0"/>
      <w:autoSpaceDN w:val="0"/>
    </w:pPr>
    <w:rPr>
      <w:rFonts w:ascii="AGaramond-Regular" w:eastAsia="Calibri" w:hAnsi="AGaramond-Regular" w:cs="AGaramond-Regular"/>
      <w:b/>
      <w:sz w:val="18"/>
    </w:rPr>
  </w:style>
  <w:style w:type="paragraph" w:customStyle="1" w:styleId="P16">
    <w:name w:val="P16"/>
    <w:basedOn w:val="wNormal"/>
    <w:hidden/>
    <w:uiPriority w:val="99"/>
    <w:rsid w:val="000D6AA5"/>
    <w:rPr>
      <w:rFonts w:ascii="AGaramond-Regular" w:eastAsia="Calibri" w:hAnsi="AGaramond-Regular" w:cs="AGaramond-Regular"/>
    </w:rPr>
  </w:style>
  <w:style w:type="paragraph" w:customStyle="1" w:styleId="P17">
    <w:name w:val="P17"/>
    <w:basedOn w:val="wNormal"/>
    <w:hidden/>
    <w:uiPriority w:val="99"/>
    <w:rsid w:val="000D6AA5"/>
  </w:style>
  <w:style w:type="paragraph" w:customStyle="1" w:styleId="P18">
    <w:name w:val="P18"/>
    <w:basedOn w:val="wNormal"/>
    <w:hidden/>
    <w:uiPriority w:val="99"/>
    <w:rsid w:val="000D6AA5"/>
    <w:rPr>
      <w:b/>
    </w:rPr>
  </w:style>
  <w:style w:type="paragraph" w:customStyle="1" w:styleId="P38">
    <w:name w:val="P38"/>
    <w:basedOn w:val="Normal"/>
    <w:hidden/>
    <w:uiPriority w:val="99"/>
    <w:rsid w:val="000D6AA5"/>
    <w:pPr>
      <w:widowControl w:val="0"/>
      <w:adjustRightInd w:val="0"/>
      <w:spacing w:after="0" w:line="240" w:lineRule="auto"/>
    </w:pPr>
    <w:rPr>
      <w:rFonts w:ascii="Times New Roman" w:eastAsia="Times New Roman" w:hAnsi="Times New Roman"/>
      <w:sz w:val="24"/>
      <w:szCs w:val="20"/>
      <w:lang w:val="en-US"/>
    </w:rPr>
  </w:style>
  <w:style w:type="paragraph" w:customStyle="1" w:styleId="P44">
    <w:name w:val="P44"/>
    <w:basedOn w:val="wNormal"/>
    <w:hidden/>
    <w:uiPriority w:val="99"/>
    <w:rsid w:val="000D6AA5"/>
    <w:rPr>
      <w:rFonts w:ascii="Arial1" w:eastAsia="Calibri" w:hAnsi="Arial1" w:cs="Arial1"/>
      <w:b/>
    </w:rPr>
  </w:style>
  <w:style w:type="paragraph" w:customStyle="1" w:styleId="P45">
    <w:name w:val="P45"/>
    <w:basedOn w:val="wNormal"/>
    <w:hidden/>
    <w:uiPriority w:val="99"/>
    <w:rsid w:val="000D6AA5"/>
    <w:rPr>
      <w:rFonts w:ascii="Arial1" w:eastAsia="Calibri" w:hAnsi="Arial1" w:cs="Arial1"/>
      <w:sz w:val="20"/>
    </w:rPr>
  </w:style>
  <w:style w:type="paragraph" w:customStyle="1" w:styleId="P48">
    <w:name w:val="P48"/>
    <w:basedOn w:val="wNormal"/>
    <w:hidden/>
    <w:uiPriority w:val="99"/>
    <w:rsid w:val="000D6AA5"/>
    <w:pPr>
      <w:autoSpaceDE w:val="0"/>
      <w:autoSpaceDN w:val="0"/>
    </w:pPr>
    <w:rPr>
      <w:rFonts w:ascii="Arial1" w:eastAsia="Calibri" w:hAnsi="Arial1" w:cs="Arial1"/>
    </w:rPr>
  </w:style>
  <w:style w:type="paragraph" w:customStyle="1" w:styleId="P55">
    <w:name w:val="P55"/>
    <w:basedOn w:val="Normal"/>
    <w:hidden/>
    <w:uiPriority w:val="99"/>
    <w:rsid w:val="000D6AA5"/>
    <w:pPr>
      <w:widowControl w:val="0"/>
      <w:autoSpaceDE w:val="0"/>
      <w:autoSpaceDN w:val="0"/>
      <w:adjustRightInd w:val="0"/>
      <w:spacing w:after="0" w:line="240" w:lineRule="auto"/>
    </w:pPr>
    <w:rPr>
      <w:rFonts w:ascii="Berkeley-Medium" w:hAnsi="Berkeley-Medium" w:cs="Arial1"/>
      <w:color w:val="231F20"/>
      <w:sz w:val="20"/>
      <w:szCs w:val="20"/>
      <w:lang w:val="en-US"/>
    </w:rPr>
  </w:style>
  <w:style w:type="paragraph" w:customStyle="1" w:styleId="P56">
    <w:name w:val="P56"/>
    <w:basedOn w:val="Normal"/>
    <w:hidden/>
    <w:uiPriority w:val="99"/>
    <w:rsid w:val="000D6AA5"/>
    <w:pPr>
      <w:widowControl w:val="0"/>
      <w:adjustRightInd w:val="0"/>
      <w:spacing w:after="0" w:line="240" w:lineRule="auto"/>
    </w:pPr>
    <w:rPr>
      <w:rFonts w:ascii="Berkeley-Medium" w:eastAsia="Times New Roman" w:hAnsi="Berkeley-Medium"/>
      <w:color w:val="231F20"/>
      <w:sz w:val="20"/>
      <w:szCs w:val="20"/>
      <w:lang w:val="en-US"/>
    </w:rPr>
  </w:style>
  <w:style w:type="paragraph" w:customStyle="1" w:styleId="P57">
    <w:name w:val="P57"/>
    <w:basedOn w:val="Normal"/>
    <w:hidden/>
    <w:uiPriority w:val="99"/>
    <w:rsid w:val="000D6AA5"/>
    <w:pPr>
      <w:widowControl w:val="0"/>
      <w:autoSpaceDE w:val="0"/>
      <w:autoSpaceDN w:val="0"/>
      <w:adjustRightInd w:val="0"/>
      <w:spacing w:after="0" w:line="240" w:lineRule="auto"/>
    </w:pPr>
    <w:rPr>
      <w:rFonts w:ascii="AdvTT3713a231" w:hAnsi="AdvTT3713a231" w:cs="Arial1"/>
      <w:color w:val="131413"/>
      <w:sz w:val="20"/>
      <w:szCs w:val="20"/>
      <w:lang w:val="en-US"/>
    </w:rPr>
  </w:style>
  <w:style w:type="paragraph" w:customStyle="1" w:styleId="P58">
    <w:name w:val="P58"/>
    <w:basedOn w:val="Normal"/>
    <w:hidden/>
    <w:uiPriority w:val="99"/>
    <w:rsid w:val="000D6AA5"/>
    <w:pPr>
      <w:widowControl w:val="0"/>
      <w:adjustRightInd w:val="0"/>
      <w:spacing w:after="0" w:line="240" w:lineRule="auto"/>
    </w:pPr>
    <w:rPr>
      <w:rFonts w:ascii="AdvTT3713a231" w:eastAsia="Times New Roman" w:hAnsi="AdvTT3713a231"/>
      <w:color w:val="131413"/>
      <w:sz w:val="20"/>
      <w:szCs w:val="20"/>
      <w:lang w:val="en-US"/>
    </w:rPr>
  </w:style>
  <w:style w:type="paragraph" w:customStyle="1" w:styleId="P59">
    <w:name w:val="P59"/>
    <w:basedOn w:val="Normal"/>
    <w:hidden/>
    <w:uiPriority w:val="99"/>
    <w:rsid w:val="000D6AA5"/>
    <w:pPr>
      <w:widowControl w:val="0"/>
      <w:adjustRightInd w:val="0"/>
      <w:spacing w:after="0" w:line="240" w:lineRule="auto"/>
    </w:pPr>
    <w:rPr>
      <w:rFonts w:ascii="AdvTT3713a231" w:eastAsia="Times New Roman" w:hAnsi="AdvTT3713a231"/>
      <w:color w:val="131413"/>
      <w:sz w:val="20"/>
      <w:szCs w:val="20"/>
      <w:lang w:val="en-US"/>
    </w:rPr>
  </w:style>
  <w:style w:type="character" w:customStyle="1" w:styleId="T2">
    <w:name w:val="T2"/>
    <w:hidden/>
    <w:uiPriority w:val="99"/>
    <w:rsid w:val="000D6AA5"/>
    <w:rPr>
      <w:rFonts w:ascii="AdvTT3713a231" w:hAnsi="AdvTT3713a231"/>
      <w:color w:val="131413"/>
      <w:sz w:val="20"/>
    </w:rPr>
  </w:style>
  <w:style w:type="character" w:customStyle="1" w:styleId="T3">
    <w:name w:val="T3"/>
    <w:hidden/>
    <w:uiPriority w:val="99"/>
    <w:rsid w:val="000D6AA5"/>
    <w:rPr>
      <w:rFonts w:ascii="AdvTT3713a231" w:hAnsi="AdvTT3713a231"/>
      <w:color w:val="131413"/>
      <w:sz w:val="20"/>
    </w:rPr>
  </w:style>
  <w:style w:type="character" w:customStyle="1" w:styleId="T4">
    <w:name w:val="T4"/>
    <w:hidden/>
    <w:uiPriority w:val="99"/>
    <w:rsid w:val="000D6AA5"/>
    <w:rPr>
      <w:rFonts w:ascii="AdvTT3713a231+20" w:hAnsi="AdvTT3713a231+20"/>
      <w:color w:val="131413"/>
      <w:sz w:val="20"/>
    </w:rPr>
  </w:style>
  <w:style w:type="character" w:customStyle="1" w:styleId="T10">
    <w:name w:val="T10"/>
    <w:hidden/>
    <w:uiPriority w:val="99"/>
    <w:rsid w:val="000D6AA5"/>
    <w:rPr>
      <w:sz w:val="18"/>
    </w:rPr>
  </w:style>
  <w:style w:type="character" w:customStyle="1" w:styleId="T12">
    <w:name w:val="T12"/>
    <w:hidden/>
    <w:uiPriority w:val="99"/>
    <w:rsid w:val="000D6AA5"/>
  </w:style>
</w:styles>
</file>

<file path=word/webSettings.xml><?xml version="1.0" encoding="utf-8"?>
<w:webSettings xmlns:r="http://schemas.openxmlformats.org/officeDocument/2006/relationships" xmlns:w="http://schemas.openxmlformats.org/wordprocessingml/2006/main">
  <w:divs>
    <w:div w:id="726610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1652</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Kas patsiendi vahetu operatsioonieelne kaalu langetamine (preoperatiivne dieet) vs kaalu hoidmine samal tasemel (püsimine) vs kaalu mittemõjutamine mõjutab</vt:lpstr>
    </vt:vector>
  </TitlesOfParts>
  <Company>Eesti Haigekassa</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patsiendi vahetu operatsioonieelne kaalu langetamine (preoperatiivne dieet) vs kaalu hoidmine samal tasemel (püsimine) vs kaalu mittemõjutamine mõjutab</dc:title>
  <dc:subject/>
  <dc:creator>Edgar</dc:creator>
  <cp:keywords/>
  <dc:description/>
  <cp:lastModifiedBy>Kaur Liivak</cp:lastModifiedBy>
  <cp:revision>4</cp:revision>
  <dcterms:created xsi:type="dcterms:W3CDTF">2014-07-30T22:15:00Z</dcterms:created>
  <dcterms:modified xsi:type="dcterms:W3CDTF">2015-11-30T00:01:00Z</dcterms:modified>
</cp:coreProperties>
</file>