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74C" w:rsidRDefault="00F4138E">
      <w:r>
        <w:rPr>
          <w:rFonts w:ascii="Times New Roman" w:hAnsi="Times New Roman"/>
          <w:b/>
        </w:rPr>
        <w:t xml:space="preserve"> Kliiniline küsimus nr 8</w:t>
      </w:r>
    </w:p>
    <w:p w:rsidR="00D7274C" w:rsidRDefault="00F4138E">
      <w:r>
        <w:rPr>
          <w:rFonts w:ascii="Times-Roman" w:hAnsi="Times-Roman" w:cs="Times-Roman"/>
        </w:rPr>
        <w:t>Kas obstruktiivne uneapnoe diagnoosiga bariaatrilise kirurgia patsientidel positiivse</w:t>
      </w:r>
    </w:p>
    <w:p w:rsidR="00D7274C" w:rsidRDefault="00F4138E">
      <w:r>
        <w:rPr>
          <w:rFonts w:ascii="Times-Roman" w:hAnsi="Times-Roman" w:cs="Times-Roman"/>
        </w:rPr>
        <w:t>rõhuga abistava hingamise kasutamine vs mittekasutamine operatsiooni eelses ja/või</w:t>
      </w:r>
    </w:p>
    <w:p w:rsidR="00D7274C" w:rsidRDefault="00F4138E">
      <w:r>
        <w:rPr>
          <w:rFonts w:ascii="Times-Roman" w:hAnsi="Times-Roman" w:cs="Times-Roman"/>
        </w:rPr>
        <w:t>järgses perioodis parandab nende haigete ravitulemust?</w:t>
      </w:r>
    </w:p>
    <w:p w:rsidR="00D7274C" w:rsidRDefault="00F4138E">
      <w:pPr>
        <w:jc w:val="both"/>
      </w:pPr>
      <w:r>
        <w:rPr>
          <w:rFonts w:ascii="Times New Roman" w:hAnsi="Times New Roman"/>
          <w:b/>
        </w:rPr>
        <w:t>Tulemusnäitajad</w:t>
      </w:r>
      <w:r>
        <w:rPr>
          <w:rFonts w:ascii="Times New Roman" w:hAnsi="Times New Roman"/>
        </w:rPr>
        <w:t xml:space="preserve">: </w:t>
      </w:r>
    </w:p>
    <w:p w:rsidR="00D7274C" w:rsidRDefault="00F4138E">
      <w:r>
        <w:rPr>
          <w:rFonts w:ascii="Times-Italic" w:hAnsi="Times-Italic" w:cs="Times-Italic"/>
          <w:i/>
          <w:iCs/>
        </w:rPr>
        <w:t>Suremuse (overall mortality) vähenemine, ravikulu vähenemine (5</w:t>
      </w:r>
    </w:p>
    <w:p w:rsidR="00D7274C" w:rsidRDefault="00F4138E">
      <w:r>
        <w:rPr>
          <w:rFonts w:ascii="Times-Italic" w:hAnsi="Times-Italic" w:cs="Times-Italic"/>
          <w:i/>
          <w:iCs/>
        </w:rPr>
        <w:t>aasta perspektiivis), kaasuvate haiguste remissioon või leevendumine, hilisemate</w:t>
      </w:r>
    </w:p>
    <w:p w:rsidR="00D7274C" w:rsidRDefault="00F4138E">
      <w:pPr>
        <w:jc w:val="both"/>
      </w:pPr>
      <w:r>
        <w:rPr>
          <w:rFonts w:ascii="Times-Italic" w:hAnsi="Times-Italic" w:cs="Times-Italic"/>
          <w:i/>
          <w:iCs/>
        </w:rPr>
        <w:t>kirurgiliste ja mittekirurgiliste tüsistuste esinemissagedus.</w:t>
      </w:r>
    </w:p>
    <w:p w:rsidR="00D7274C" w:rsidRDefault="00F4138E">
      <w:r>
        <w:rPr>
          <w:rFonts w:ascii="Times New Roman" w:hAnsi="Times New Roman"/>
          <w:b/>
        </w:rPr>
        <w:t>Ülevaade leitud kirjandusest</w:t>
      </w:r>
    </w:p>
    <w:p w:rsidR="00D7274C" w:rsidRDefault="00F4138E">
      <w:pPr>
        <w:jc w:val="both"/>
      </w:pPr>
      <w:r>
        <w:rPr>
          <w:rFonts w:ascii="Times New Roman" w:hAnsi="Times New Roman"/>
        </w:rPr>
        <w:t>WH</w:t>
      </w:r>
      <w:r>
        <w:rPr>
          <w:rFonts w:ascii="Times New Roman" w:hAnsi="Times New Roman"/>
        </w:rPr>
        <w:t>O 2000 aasta ülevaates on ära toodud ülekaalululistel esinevad relatiivsed riskid erinevate kaasuvate haiguste kohta. Kõrge riski gruppi (RR üle 3) koos 2 tüüpi diabeedi, düslipideemia ja insuliini resitentsusega kuulub ka uneapnoe. BMI korral üle 40 on ob</w:t>
      </w:r>
      <w:r>
        <w:rPr>
          <w:rFonts w:ascii="Times New Roman" w:hAnsi="Times New Roman"/>
        </w:rPr>
        <w:t>struktiivse uneapnoe (OUA) esinemissagedus 55% - 100% (O`Keeffe 2004, Fray 2003).  Kliinilselt väljendub see neil patsientidel kõrgenenud apone-hüpoksia indeksis (AHI) ja oluliselt madalamates öistes pulssoksümeetria näitajates. 2 kõrge kvaliteediga uuring</w:t>
      </w:r>
      <w:r>
        <w:rPr>
          <w:rFonts w:ascii="Times New Roman" w:hAnsi="Times New Roman"/>
        </w:rPr>
        <w:t>ut on näidanud, et ravimata OUA on iseseisev suremuse riskifaktor (Young 2008, Marchall 2008 ). OUA raskusastet hinnatakse AHI episoodides tunnis. Kerge vormi korral 5-14, keskmise 15 – 29 ja raske üle 30.  Mitmetes uuringutes on näidatud uneapnoe sümtoomi</w:t>
      </w:r>
      <w:r>
        <w:rPr>
          <w:rFonts w:ascii="Times New Roman" w:hAnsi="Times New Roman"/>
        </w:rPr>
        <w:t xml:space="preserve">de vähenemist või täielikku remissiooni operatiivse ravi järgselt (Buchvald 2004, Dixon 2009, Greenberg 2009).  </w:t>
      </w:r>
    </w:p>
    <w:p w:rsidR="00D7274C" w:rsidRDefault="00F4138E">
      <w:pPr>
        <w:jc w:val="both"/>
      </w:pPr>
      <w:r>
        <w:rPr>
          <w:rFonts w:ascii="Times New Roman" w:hAnsi="Times New Roman"/>
        </w:rPr>
        <w:t>2009 aastal avaldatud metaanalüüsis (Greenberg; 12 retrospektiivset ja prospektiivset kohortuuringut, 342 patsienti) näidati üldist AHI vähenem</w:t>
      </w:r>
      <w:r>
        <w:rPr>
          <w:rFonts w:ascii="Times New Roman" w:hAnsi="Times New Roman"/>
        </w:rPr>
        <w:t>ist bariaatrilise kirurgia järgselt 54,7 (CI 49,0 – 63,3) – 15,8 (CI 12,6 – 19,0) episoodini tunnis. Kaalulangus väljendatuna BMIna selles uuringus oli 49,7 lt 32,8 ni. Suurem perspektiiv OUA vähenemiseks või remissiooniks oli nendel, kelle kaal operatsioo</w:t>
      </w:r>
      <w:r>
        <w:rPr>
          <w:rFonts w:ascii="Times New Roman" w:hAnsi="Times New Roman"/>
        </w:rPr>
        <w:t>nieelselt oli väiksem 102 kg vs 173kg (p 0,001) ja kes olid nooremad 38,9 vs 43,5 aastat (p=0,005). 68% uuritutest jäi siiski operatsiooni järgselt püsima kerge või keskmise vormiga OUA. Järeldusena soovitatakse teha nii operatsioonieelselt kui järgselt po</w:t>
      </w:r>
      <w:r>
        <w:rPr>
          <w:rFonts w:ascii="Times New Roman" w:hAnsi="Times New Roman"/>
        </w:rPr>
        <w:t xml:space="preserve">lüsomnograafia residuaal OUA hindamiseks. Kerge või keskmise raskusega OUA korral soovitatkse ka CPAP ravi kardiovaskulaarsete haiguste ennetamiseks ja vähendamiseks (Buchner 2007). </w:t>
      </w:r>
    </w:p>
    <w:p w:rsidR="00D7274C" w:rsidRDefault="00F4138E">
      <w:pPr>
        <w:jc w:val="both"/>
      </w:pPr>
      <w:r>
        <w:rPr>
          <w:rFonts w:ascii="Times New Roman" w:hAnsi="Times New Roman"/>
        </w:rPr>
        <w:t>2010  avaldatud retrospektiivses kohortuuringus 797 Mayo kliinikus ravitu</w:t>
      </w:r>
      <w:r>
        <w:rPr>
          <w:rFonts w:ascii="Times New Roman" w:hAnsi="Times New Roman"/>
        </w:rPr>
        <w:t xml:space="preserve">d bariaatrilisel patsiendil, kes läbisid preooperatiivselt polüsomnograafia uuriti perioperatiivseid </w:t>
      </w:r>
      <w:r>
        <w:rPr>
          <w:rFonts w:ascii="Times New Roman" w:hAnsi="Times New Roman"/>
        </w:rPr>
        <w:lastRenderedPageBreak/>
        <w:t xml:space="preserve">tüsistusi. 93% neist patsientidest said CPAP ravi OUA või UARS (upper airvay resistance syndrome) tõttu. </w:t>
      </w:r>
    </w:p>
    <w:p w:rsidR="00D7274C" w:rsidRDefault="00F4138E">
      <w:pPr>
        <w:jc w:val="both"/>
      </w:pPr>
      <w:r>
        <w:rPr>
          <w:rFonts w:ascii="Times New Roman" w:hAnsi="Times New Roman"/>
        </w:rPr>
        <w:t>30 päeva jooksul esines tüsistusi 32% patsientide</w:t>
      </w:r>
      <w:r>
        <w:rPr>
          <w:rFonts w:ascii="Times New Roman" w:hAnsi="Times New Roman"/>
        </w:rPr>
        <w:t xml:space="preserve">st. Uni ja multivariaabelsete analüüside tulemusena leiti, et perioperatiivset riski tõstis vanus, BMI, lahtine operatsiooni, kuid mitte OUA raskusaste. Varasemalt tõstatatud küsimusele, kas positiivne hingamisteede rõhk tekitab soole distensioni ja seega </w:t>
      </w:r>
      <w:r>
        <w:rPr>
          <w:rFonts w:ascii="Times New Roman" w:hAnsi="Times New Roman"/>
        </w:rPr>
        <w:t xml:space="preserve">anastomoosi lekke riski leiti, et lekete arv antud uuringus oli 2%, mis jääb bariaatrilise kirurgia tüsistuste tavapärasesse vahemikku. </w:t>
      </w:r>
    </w:p>
    <w:p w:rsidR="00D7274C" w:rsidRDefault="00F4138E">
      <w:pPr>
        <w:jc w:val="both"/>
      </w:pPr>
      <w:r>
        <w:rPr>
          <w:rFonts w:ascii="Times New Roman" w:hAnsi="Times New Roman"/>
        </w:rPr>
        <w:t>2006 Kanadas tehtud uuringus analüüsiti tulu/kulupõhisust OUA ja ülekaalulistel patsientidel. Võrreldi Markovi mudeli 3</w:t>
      </w:r>
      <w:r>
        <w:rPr>
          <w:rFonts w:ascii="Times New Roman" w:hAnsi="Times New Roman"/>
        </w:rPr>
        <w:t xml:space="preserve"> astet: </w:t>
      </w:r>
    </w:p>
    <w:p w:rsidR="00D7274C" w:rsidRDefault="00F4138E">
      <w:pPr>
        <w:pStyle w:val="ListParagraph"/>
        <w:numPr>
          <w:ilvl w:val="0"/>
          <w:numId w:val="1"/>
        </w:numPr>
        <w:jc w:val="both"/>
      </w:pPr>
      <w:r>
        <w:rPr>
          <w:rFonts w:ascii="Times New Roman" w:hAnsi="Times New Roman"/>
        </w:rPr>
        <w:t>Uneuuringud, OUA dignoos, eluaegne CPAP</w:t>
      </w:r>
      <w:r w:rsidR="00FB1644">
        <w:rPr>
          <w:rFonts w:ascii="Times New Roman" w:hAnsi="Times New Roman"/>
        </w:rPr>
        <w:t>,</w:t>
      </w:r>
      <w:r>
        <w:rPr>
          <w:rFonts w:ascii="Times New Roman" w:hAnsi="Times New Roman"/>
        </w:rPr>
        <w:t xml:space="preserve"> aparaadi vahetusega 5 aastat möödudes</w:t>
      </w:r>
    </w:p>
    <w:p w:rsidR="00D7274C" w:rsidRDefault="00F4138E">
      <w:pPr>
        <w:pStyle w:val="ListParagraph"/>
        <w:numPr>
          <w:ilvl w:val="0"/>
          <w:numId w:val="1"/>
        </w:numPr>
        <w:jc w:val="both"/>
      </w:pPr>
      <w:r>
        <w:rPr>
          <w:rFonts w:ascii="Times New Roman" w:hAnsi="Times New Roman"/>
        </w:rPr>
        <w:t>8% rasvtõvega patsientidele pakuti bariaatrilise kirurgia võimalus</w:t>
      </w:r>
    </w:p>
    <w:p w:rsidR="00D7274C" w:rsidRDefault="00F4138E">
      <w:pPr>
        <w:pStyle w:val="ListParagraph"/>
        <w:numPr>
          <w:ilvl w:val="0"/>
          <w:numId w:val="1"/>
        </w:numPr>
        <w:jc w:val="both"/>
      </w:pPr>
      <w:r>
        <w:rPr>
          <w:rFonts w:ascii="Times New Roman" w:hAnsi="Times New Roman"/>
        </w:rPr>
        <w:t>Uneuringuid ei tehtud, kohe CPAP režiim, 90% rasvtõvega patsientidele pakuti bariaatrilise kirurgia võ</w:t>
      </w:r>
      <w:r>
        <w:rPr>
          <w:rFonts w:ascii="Times New Roman" w:hAnsi="Times New Roman"/>
        </w:rPr>
        <w:t>imalus</w:t>
      </w:r>
    </w:p>
    <w:p w:rsidR="00D7274C" w:rsidRDefault="00F4138E">
      <w:pPr>
        <w:jc w:val="both"/>
      </w:pPr>
      <w:r>
        <w:rPr>
          <w:rFonts w:ascii="Times New Roman" w:hAnsi="Times New Roman"/>
        </w:rPr>
        <w:t xml:space="preserve">   Leiti, et nii teine kui kolmas strteegia on säästlikumad võrreldes esimese strateegiaga, isegi kui arvesse ei võetud rasvtõve ravikulusid, ehkki tulupõhisus oli suurem kui antud kui kulud olid arvesse võetud. Samuti leiti QALY paranes nii 2 kui 3</w:t>
      </w:r>
      <w:r>
        <w:rPr>
          <w:rFonts w:ascii="Times New Roman" w:hAnsi="Times New Roman"/>
        </w:rPr>
        <w:t xml:space="preserve"> starteegia korral.  </w:t>
      </w:r>
    </w:p>
    <w:p w:rsidR="00D7274C" w:rsidRDefault="00D7274C">
      <w:pPr>
        <w:jc w:val="both"/>
      </w:pPr>
    </w:p>
    <w:p w:rsidR="00D7274C" w:rsidRDefault="00F4138E">
      <w:pPr>
        <w:jc w:val="both"/>
      </w:pPr>
      <w:r>
        <w:rPr>
          <w:rFonts w:ascii="Times New Roman" w:hAnsi="Times New Roman"/>
        </w:rPr>
        <w:t>2002 avaldatud retrospektiivses kohortuuringus vaadeldi 1067 patsiendi andmeid, kes läbisid RYGB operatsiooni. 420 patsiendil esines OUA. 38% nendest olid CPAP vajadusega. Antud uuringus ei leitud CPAP grupis statistiliselt olulisi e</w:t>
      </w:r>
      <w:r>
        <w:rPr>
          <w:rFonts w:ascii="Times New Roman" w:hAnsi="Times New Roman"/>
        </w:rPr>
        <w:t>rinevusi anastomoosi leketes. Samuti ei esinenud patsientidel respiratoorseid poertoperatiivseid tüsistusi.</w:t>
      </w:r>
    </w:p>
    <w:p w:rsidR="00D7274C" w:rsidRDefault="00F4138E">
      <w:r>
        <w:rPr>
          <w:rFonts w:ascii="Times New Roman" w:hAnsi="Times New Roman"/>
          <w:b/>
        </w:rPr>
        <w:t>Kokkuvõte leitud kirjandusest</w:t>
      </w:r>
    </w:p>
    <w:p w:rsidR="00D7274C" w:rsidRDefault="00F4138E">
      <w:r>
        <w:rPr>
          <w:rFonts w:ascii="Times New Roman" w:hAnsi="Times New Roman"/>
          <w:b/>
        </w:rPr>
        <w:t>Ehkki paljudes kõrge kvaliteediga uuringutes on ära toodud bariaatrilise kirurgia positiivne mõju OUA sümptoomide taan</w:t>
      </w:r>
      <w:r>
        <w:rPr>
          <w:rFonts w:ascii="Times New Roman" w:hAnsi="Times New Roman"/>
          <w:b/>
        </w:rPr>
        <w:t>dumisele või remissioonile ei ole otseselt kusagil uuritud CPAPi mõju ravitulemustele. Hulgaliselt on andmeid OUA kõrge esinemissageduse kohta ülekaalulistel patsientidel. Sellisel juhul on CPAP niikuinii näidustaud kardiaalsete tüsistuste vältimiseks. Ühe</w:t>
      </w:r>
      <w:r>
        <w:rPr>
          <w:rFonts w:ascii="Times New Roman" w:hAnsi="Times New Roman"/>
          <w:b/>
        </w:rPr>
        <w:t xml:space="preserve">s madal kvaliteediga uuringus on viited CPAPi kasutamise positiivse mõju kohta arteriaalsete veregaaside näitudele ning reintubatsiooni vähenenud vajadusele bariaatrilise operatsiooni järgselt. </w:t>
      </w:r>
    </w:p>
    <w:p w:rsidR="00D7274C" w:rsidRDefault="00D7274C"/>
    <w:p w:rsidR="00D7274C" w:rsidRDefault="00F4138E">
      <w:r>
        <w:rPr>
          <w:rFonts w:ascii="Times New Roman" w:hAnsi="Times New Roman"/>
          <w:b/>
        </w:rPr>
        <w:t xml:space="preserve">Sellise küsimuse püstitamise korral pole andmeid ka teistes </w:t>
      </w:r>
      <w:r>
        <w:rPr>
          <w:rFonts w:ascii="Times New Roman" w:hAnsi="Times New Roman"/>
          <w:b/>
        </w:rPr>
        <w:t xml:space="preserve">ravijuhendites. </w:t>
      </w:r>
    </w:p>
    <w:p w:rsidR="00D7274C" w:rsidRDefault="00D7274C"/>
    <w:p w:rsidR="00D7274C" w:rsidRDefault="00F4138E">
      <w:r>
        <w:rPr>
          <w:rFonts w:ascii="Times New Roman" w:hAnsi="Times New Roman"/>
          <w:b/>
        </w:rPr>
        <w:t xml:space="preserve"> </w:t>
      </w:r>
    </w:p>
    <w:p w:rsidR="00D7274C" w:rsidRDefault="00D7274C"/>
    <w:p w:rsidR="00D7274C" w:rsidRDefault="00D7274C"/>
    <w:p w:rsidR="00D7274C" w:rsidRDefault="00F4138E">
      <w:r>
        <w:rPr>
          <w:rFonts w:ascii="Times New Roman" w:hAnsi="Times New Roman"/>
          <w:b/>
        </w:rPr>
        <w:t>Kokkuvõte ravijuhenditest</w:t>
      </w:r>
    </w:p>
    <w:p w:rsidR="00D7274C" w:rsidRDefault="00D7274C"/>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213"/>
        <w:gridCol w:w="2214"/>
        <w:gridCol w:w="2214"/>
        <w:gridCol w:w="2213"/>
      </w:tblGrid>
      <w:tr w:rsidR="00D7274C">
        <w:tblPrEx>
          <w:tblCellMar>
            <w:top w:w="0" w:type="dxa"/>
            <w:bottom w:w="0" w:type="dxa"/>
          </w:tblCellMar>
        </w:tblPrEx>
        <w:trPr>
          <w:cantSplit/>
        </w:trPr>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t>Ravijuhend</w:t>
            </w:r>
          </w:p>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t>Ravijuhendis sisalduv tekst küsimuse kohta</w:t>
            </w:r>
          </w:p>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t>Viited</w:t>
            </w:r>
          </w:p>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t>Ravijuhendis hõlmatud kirjanduse otsingu ajavhemik</w:t>
            </w:r>
          </w:p>
        </w:tc>
      </w:tr>
      <w:tr w:rsidR="00D7274C">
        <w:tblPrEx>
          <w:tblCellMar>
            <w:top w:w="0" w:type="dxa"/>
            <w:bottom w:w="0" w:type="dxa"/>
          </w:tblCellMar>
        </w:tblPrEx>
        <w:trPr>
          <w:cantSplit/>
        </w:trPr>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t>ASPEN bariatric surgery</w:t>
            </w:r>
          </w:p>
          <w:p w:rsidR="00D7274C" w:rsidRDefault="00F4138E">
            <w:r>
              <w:rPr>
                <w:rFonts w:ascii="Times New Roman" w:hAnsi="Times New Roman"/>
              </w:rPr>
              <w:t>2008</w:t>
            </w:r>
          </w:p>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pPr>
              <w:spacing w:after="0" w:line="100" w:lineRule="atLeast"/>
            </w:pPr>
            <w:r>
              <w:rPr>
                <w:rFonts w:ascii="Times-Roman" w:hAnsi="Times-Roman" w:cs="Times-Roman"/>
                <w:sz w:val="20"/>
                <w:szCs w:val="20"/>
                <w:lang w:eastAsia="et-EE"/>
              </w:rPr>
              <w:t>Appropriate pulmonary management includes</w:t>
            </w:r>
          </w:p>
          <w:p w:rsidR="00D7274C" w:rsidRDefault="00F4138E">
            <w:pPr>
              <w:spacing w:after="0" w:line="100" w:lineRule="atLeast"/>
            </w:pPr>
            <w:r>
              <w:rPr>
                <w:rFonts w:ascii="Times-Roman" w:hAnsi="Times-Roman" w:cs="Times-Roman"/>
                <w:sz w:val="20"/>
                <w:szCs w:val="20"/>
                <w:lang w:eastAsia="et-EE"/>
              </w:rPr>
              <w:t xml:space="preserve">aggressive pulmonary </w:t>
            </w:r>
            <w:r>
              <w:rPr>
                <w:rFonts w:ascii="Times-Roman" w:hAnsi="Times-Roman" w:cs="Times-Roman"/>
                <w:sz w:val="20"/>
                <w:szCs w:val="20"/>
                <w:lang w:eastAsia="et-EE"/>
              </w:rPr>
              <w:t>toilet and incentive spirometry,</w:t>
            </w:r>
          </w:p>
          <w:p w:rsidR="00D7274C" w:rsidRDefault="00F4138E">
            <w:pPr>
              <w:spacing w:after="0" w:line="100" w:lineRule="atLeast"/>
            </w:pPr>
            <w:r>
              <w:rPr>
                <w:rFonts w:ascii="Times-Roman" w:hAnsi="Times-Roman" w:cs="Times-Roman"/>
                <w:sz w:val="20"/>
                <w:szCs w:val="20"/>
                <w:lang w:eastAsia="et-EE"/>
              </w:rPr>
              <w:t>oxygen supplementation to avoid hypoxemia, and</w:t>
            </w:r>
          </w:p>
          <w:p w:rsidR="00D7274C" w:rsidRDefault="00F4138E">
            <w:pPr>
              <w:spacing w:after="0" w:line="100" w:lineRule="atLeast"/>
            </w:pPr>
            <w:r>
              <w:rPr>
                <w:rFonts w:ascii="Times-Roman" w:hAnsi="Times-Roman" w:cs="Times-Roman"/>
                <w:sz w:val="20"/>
                <w:szCs w:val="20"/>
                <w:lang w:eastAsia="et-EE"/>
              </w:rPr>
              <w:t>early institution of continuous positive airway pressure</w:t>
            </w:r>
          </w:p>
          <w:p w:rsidR="00D7274C" w:rsidRDefault="00F4138E">
            <w:r>
              <w:rPr>
                <w:rFonts w:ascii="Times-Roman" w:hAnsi="Times-Roman" w:cs="Times-Roman"/>
                <w:sz w:val="20"/>
                <w:szCs w:val="20"/>
                <w:lang w:eastAsia="et-EE"/>
              </w:rPr>
              <w:t xml:space="preserve">(CPAP) when clinically indicated </w:t>
            </w:r>
            <w:r>
              <w:rPr>
                <w:rFonts w:ascii="Times-Bold" w:hAnsi="Times-Bold" w:cs="Times-Bold"/>
                <w:b/>
                <w:bCs/>
                <w:sz w:val="20"/>
                <w:szCs w:val="20"/>
                <w:lang w:eastAsia="et-EE"/>
              </w:rPr>
              <w:t>(Grade D)</w:t>
            </w:r>
            <w:r>
              <w:rPr>
                <w:rFonts w:ascii="Times-Roman" w:hAnsi="Times-Roman" w:cs="Times-Roman"/>
                <w:sz w:val="20"/>
                <w:szCs w:val="20"/>
                <w:lang w:eastAsia="et-EE"/>
              </w:rPr>
              <w:t>.</w:t>
            </w:r>
          </w:p>
          <w:p w:rsidR="00D7274C" w:rsidRDefault="00F4138E">
            <w:pPr>
              <w:spacing w:after="0" w:line="100" w:lineRule="atLeast"/>
            </w:pPr>
            <w:r>
              <w:rPr>
                <w:rFonts w:ascii="Times-Roman" w:hAnsi="Times-Roman" w:cs="Times-Roman"/>
                <w:sz w:val="20"/>
                <w:szCs w:val="20"/>
                <w:lang w:eastAsia="et-EE"/>
              </w:rPr>
              <w:t>A review of the literature suggests that</w:t>
            </w:r>
          </w:p>
          <w:p w:rsidR="00D7274C" w:rsidRDefault="00F4138E">
            <w:pPr>
              <w:spacing w:after="0" w:line="100" w:lineRule="atLeast"/>
            </w:pPr>
            <w:r>
              <w:rPr>
                <w:rFonts w:ascii="Times-Roman" w:hAnsi="Times-Roman" w:cs="Times-Roman"/>
                <w:sz w:val="20"/>
                <w:szCs w:val="20"/>
                <w:lang w:eastAsia="et-EE"/>
              </w:rPr>
              <w:t xml:space="preserve">nasal CPAP can be used safely </w:t>
            </w:r>
            <w:r>
              <w:rPr>
                <w:rFonts w:ascii="Times-Roman" w:hAnsi="Times-Roman" w:cs="Times-Roman"/>
                <w:sz w:val="20"/>
                <w:szCs w:val="20"/>
                <w:lang w:eastAsia="et-EE"/>
              </w:rPr>
              <w:t>after RYGB in patients with</w:t>
            </w:r>
          </w:p>
          <w:p w:rsidR="00D7274C" w:rsidRDefault="00F4138E">
            <w:pPr>
              <w:spacing w:after="0" w:line="100" w:lineRule="atLeast"/>
            </w:pPr>
            <w:r>
              <w:rPr>
                <w:rFonts w:ascii="Times-Roman" w:hAnsi="Times-Roman" w:cs="Times-Roman"/>
                <w:sz w:val="20"/>
                <w:szCs w:val="20"/>
                <w:lang w:eastAsia="et-EE"/>
              </w:rPr>
              <w:t>sleep apnea without increasing the risk of a postoperative</w:t>
            </w:r>
          </w:p>
          <w:p w:rsidR="00D7274C" w:rsidRDefault="00F4138E">
            <w:pPr>
              <w:spacing w:after="0" w:line="100" w:lineRule="atLeast"/>
            </w:pPr>
            <w:r>
              <w:rPr>
                <w:rFonts w:ascii="Times-Roman" w:hAnsi="Times-Roman" w:cs="Times-Roman"/>
                <w:sz w:val="20"/>
                <w:szCs w:val="20"/>
                <w:lang w:eastAsia="et-EE"/>
              </w:rPr>
              <w:t>anastomotic leak; in contrast, the use of bilevel positive</w:t>
            </w:r>
          </w:p>
          <w:p w:rsidR="00D7274C" w:rsidRDefault="00F4138E">
            <w:r>
              <w:rPr>
                <w:rFonts w:ascii="Times-Roman" w:hAnsi="Times-Roman" w:cs="Times-Roman"/>
                <w:sz w:val="20"/>
                <w:szCs w:val="20"/>
                <w:lang w:eastAsia="et-EE"/>
              </w:rPr>
              <w:t>airway pressure may increase the risk of anastomotic leaks</w:t>
            </w:r>
          </w:p>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D7274C"/>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t>Kuni 2007</w:t>
            </w:r>
          </w:p>
        </w:tc>
      </w:tr>
      <w:tr w:rsidR="00D7274C">
        <w:tblPrEx>
          <w:tblCellMar>
            <w:top w:w="0" w:type="dxa"/>
            <w:bottom w:w="0" w:type="dxa"/>
          </w:tblCellMar>
        </w:tblPrEx>
        <w:trPr>
          <w:cantSplit/>
        </w:trPr>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lastRenderedPageBreak/>
              <w:t>USA 2013</w:t>
            </w:r>
          </w:p>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pPr>
              <w:spacing w:after="0" w:line="100" w:lineRule="atLeast"/>
            </w:pPr>
            <w:r>
              <w:rPr>
                <w:rFonts w:ascii="AdvP6975" w:hAnsi="AdvP6975" w:cs="AdvP6975"/>
                <w:color w:val="231F20"/>
                <w:sz w:val="18"/>
                <w:szCs w:val="18"/>
                <w:lang w:eastAsia="et-EE"/>
              </w:rPr>
              <w:t>Routine preoperative screening</w:t>
            </w:r>
            <w:r>
              <w:rPr>
                <w:rFonts w:ascii="AdvP6975" w:hAnsi="AdvP6975" w:cs="AdvP6975"/>
                <w:color w:val="231F20"/>
                <w:sz w:val="18"/>
                <w:szCs w:val="18"/>
                <w:lang w:eastAsia="et-EE"/>
              </w:rPr>
              <w:t xml:space="preserve"> with polysomnography</w:t>
            </w:r>
          </w:p>
          <w:p w:rsidR="00D7274C" w:rsidRDefault="00F4138E">
            <w:pPr>
              <w:spacing w:after="0" w:line="100" w:lineRule="atLeast"/>
            </w:pPr>
            <w:r>
              <w:rPr>
                <w:rFonts w:ascii="AdvP6975" w:hAnsi="AdvP6975" w:cs="AdvP6975"/>
                <w:color w:val="231F20"/>
                <w:sz w:val="18"/>
                <w:szCs w:val="18"/>
                <w:lang w:eastAsia="et-EE"/>
              </w:rPr>
              <w:t>should be considered, with further diagnostic testing and treatment</w:t>
            </w:r>
          </w:p>
          <w:p w:rsidR="00D7274C" w:rsidRDefault="00F4138E">
            <w:pPr>
              <w:spacing w:after="0" w:line="100" w:lineRule="atLeast"/>
            </w:pPr>
            <w:r>
              <w:rPr>
                <w:rFonts w:ascii="AdvP6975" w:hAnsi="AdvP6975" w:cs="AdvP6975"/>
                <w:color w:val="231F20"/>
                <w:sz w:val="18"/>
                <w:szCs w:val="18"/>
                <w:lang w:eastAsia="et-EE"/>
              </w:rPr>
              <w:t>of appropriate at-risk patients (181 [EL 4, CPG]). Standard</w:t>
            </w:r>
          </w:p>
          <w:p w:rsidR="00D7274C" w:rsidRDefault="00F4138E">
            <w:pPr>
              <w:spacing w:after="0" w:line="100" w:lineRule="atLeast"/>
            </w:pPr>
            <w:r>
              <w:rPr>
                <w:rFonts w:ascii="AdvP6975" w:hAnsi="AdvP6975" w:cs="AdvP6975"/>
                <w:color w:val="231F20"/>
                <w:sz w:val="18"/>
                <w:szCs w:val="18"/>
                <w:lang w:eastAsia="et-EE"/>
              </w:rPr>
              <w:t>preoperative management of overweight/obese patients with OSA</w:t>
            </w:r>
          </w:p>
          <w:p w:rsidR="00D7274C" w:rsidRDefault="00F4138E">
            <w:pPr>
              <w:spacing w:after="0" w:line="100" w:lineRule="atLeast"/>
            </w:pPr>
            <w:r>
              <w:rPr>
                <w:rFonts w:ascii="AdvP6975" w:hAnsi="AdvP6975" w:cs="AdvP6975"/>
                <w:color w:val="231F20"/>
                <w:sz w:val="18"/>
                <w:szCs w:val="18"/>
                <w:lang w:eastAsia="et-EE"/>
              </w:rPr>
              <w:t>using continuous positive airway pressure (C</w:t>
            </w:r>
            <w:r>
              <w:rPr>
                <w:rFonts w:ascii="AdvP6975" w:hAnsi="AdvP6975" w:cs="AdvP6975"/>
                <w:color w:val="231F20"/>
                <w:sz w:val="18"/>
                <w:szCs w:val="18"/>
                <w:lang w:eastAsia="et-EE"/>
              </w:rPr>
              <w:t>PAP) is recommended</w:t>
            </w:r>
          </w:p>
          <w:p w:rsidR="00D7274C" w:rsidRDefault="00F4138E">
            <w:pPr>
              <w:spacing w:after="0" w:line="100" w:lineRule="atLeast"/>
            </w:pPr>
            <w:r>
              <w:rPr>
                <w:rFonts w:ascii="AdvP6975" w:hAnsi="AdvP6975" w:cs="AdvP6975"/>
                <w:color w:val="231F20"/>
                <w:sz w:val="18"/>
                <w:szCs w:val="18"/>
                <w:lang w:eastAsia="et-EE"/>
              </w:rPr>
              <w:t>(182 [EL 4, review]).</w:t>
            </w:r>
          </w:p>
          <w:p w:rsidR="00D7274C" w:rsidRDefault="00F4138E">
            <w:pPr>
              <w:spacing w:after="0" w:line="100" w:lineRule="atLeast"/>
            </w:pPr>
            <w:r>
              <w:rPr>
                <w:rFonts w:ascii="AdvP6975" w:hAnsi="AdvP6975" w:cs="AdvP6975"/>
                <w:color w:val="231F20"/>
                <w:sz w:val="18"/>
                <w:szCs w:val="18"/>
                <w:lang w:eastAsia="et-EE"/>
              </w:rPr>
              <w:t>Postoperative CPAP improves arterial blood gas and</w:t>
            </w:r>
          </w:p>
          <w:p w:rsidR="00D7274C" w:rsidRDefault="00F4138E">
            <w:r>
              <w:rPr>
                <w:rFonts w:ascii="AdvP6975" w:hAnsi="AdvP6975" w:cs="AdvP6975"/>
                <w:color w:val="231F20"/>
                <w:sz w:val="18"/>
                <w:szCs w:val="18"/>
                <w:lang w:eastAsia="et-EE"/>
              </w:rPr>
              <w:t>reduces the need for intubation</w:t>
            </w:r>
          </w:p>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D7274C"/>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F4138E">
            <w:r>
              <w:rPr>
                <w:rFonts w:ascii="Times New Roman" w:hAnsi="Times New Roman"/>
              </w:rPr>
              <w:t>Kuni 2013</w:t>
            </w:r>
          </w:p>
        </w:tc>
      </w:tr>
      <w:tr w:rsidR="00D7274C">
        <w:tblPrEx>
          <w:tblCellMar>
            <w:top w:w="0" w:type="dxa"/>
            <w:bottom w:w="0" w:type="dxa"/>
          </w:tblCellMar>
        </w:tblPrEx>
        <w:trPr>
          <w:cantSplit/>
        </w:trPr>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D7274C"/>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D7274C"/>
        </w:tc>
        <w:tc>
          <w:tcPr>
            <w:tcW w:w="221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D7274C"/>
        </w:tc>
        <w:tc>
          <w:tcPr>
            <w:tcW w:w="221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7274C" w:rsidRDefault="00D7274C"/>
        </w:tc>
      </w:tr>
    </w:tbl>
    <w:p w:rsidR="00D7274C" w:rsidRDefault="00D7274C"/>
    <w:p w:rsidR="00D7274C" w:rsidRDefault="00D7274C">
      <w:pPr>
        <w:pStyle w:val="P43"/>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p w:rsidR="00D7274C" w:rsidRDefault="00D7274C">
      <w:pPr>
        <w:pStyle w:val="P1"/>
      </w:pPr>
    </w:p>
    <w:tbl>
      <w:tblPr>
        <w:tblW w:w="0" w:type="auto"/>
        <w:tblInd w:w="-10" w:type="dxa"/>
        <w:tblCellMar>
          <w:left w:w="10" w:type="dxa"/>
          <w:right w:w="10" w:type="dxa"/>
        </w:tblCellMar>
        <w:tblLook w:val="04A0"/>
      </w:tblPr>
      <w:tblGrid>
        <w:gridCol w:w="2085"/>
        <w:gridCol w:w="1625"/>
        <w:gridCol w:w="1626"/>
        <w:gridCol w:w="1672"/>
        <w:gridCol w:w="1642"/>
      </w:tblGrid>
      <w:tr w:rsidR="00D7274C">
        <w:tblPrEx>
          <w:tblCellMar>
            <w:top w:w="0" w:type="dxa"/>
            <w:bottom w:w="0" w:type="dxa"/>
          </w:tblCellMar>
        </w:tblPrEx>
        <w:trPr>
          <w:cantSplit/>
        </w:trPr>
        <w:tc>
          <w:tcPr>
            <w:tcW w:w="2100" w:type="dxa"/>
            <w:shd w:val="clear" w:color="auto" w:fill="FFFFFF"/>
            <w:tcMar>
              <w:top w:w="0" w:type="dxa"/>
              <w:left w:w="0" w:type="dxa"/>
              <w:bottom w:w="0" w:type="dxa"/>
              <w:right w:w="0" w:type="dxa"/>
            </w:tcMar>
          </w:tcPr>
          <w:p w:rsidR="00D7274C" w:rsidRDefault="00F4138E">
            <w:pPr>
              <w:pStyle w:val="P9"/>
            </w:pPr>
            <w:r>
              <w:rPr>
                <w:rFonts w:ascii="Times New Roman" w:hAnsi="Times New Roman" w:cs="Times New Roman"/>
                <w:szCs w:val="24"/>
                <w:lang w:val="fi-FI"/>
              </w:rPr>
              <w:lastRenderedPageBreak/>
              <w:t>Autor/Aasta/</w:t>
            </w:r>
          </w:p>
          <w:p w:rsidR="00D7274C" w:rsidRDefault="00F4138E">
            <w:pPr>
              <w:pStyle w:val="P9"/>
            </w:pPr>
            <w:r>
              <w:rPr>
                <w:rFonts w:ascii="Times New Roman" w:hAnsi="Times New Roman" w:cs="Times New Roman"/>
                <w:szCs w:val="24"/>
                <w:lang w:val="fi-FI"/>
              </w:rPr>
              <w:t>Uuringumeetod/</w:t>
            </w:r>
          </w:p>
          <w:p w:rsidR="00D7274C" w:rsidRDefault="00F4138E">
            <w:pPr>
              <w:pStyle w:val="P44"/>
            </w:pPr>
            <w:r>
              <w:rPr>
                <w:rFonts w:ascii="Times New Roman" w:hAnsi="Times New Roman" w:cs="Times New Roman"/>
                <w:szCs w:val="24"/>
                <w:lang w:val="fi-FI"/>
              </w:rPr>
              <w:t>Tõendusmaterjali kvaliteedi (TK) hinnang</w:t>
            </w:r>
          </w:p>
        </w:tc>
        <w:tc>
          <w:tcPr>
            <w:tcW w:w="1655" w:type="dxa"/>
            <w:shd w:val="clear" w:color="auto" w:fill="FFFFFF"/>
            <w:tcMar>
              <w:top w:w="0" w:type="dxa"/>
              <w:left w:w="0" w:type="dxa"/>
              <w:bottom w:w="0" w:type="dxa"/>
              <w:right w:w="0" w:type="dxa"/>
            </w:tcMar>
          </w:tcPr>
          <w:p w:rsidR="00D7274C" w:rsidRDefault="00F4138E">
            <w:pPr>
              <w:pStyle w:val="P10"/>
            </w:pPr>
            <w:r>
              <w:rPr>
                <w:rFonts w:ascii="Times New Roman" w:hAnsi="Times New Roman" w:cs="Times New Roman"/>
                <w:szCs w:val="24"/>
              </w:rPr>
              <w:t>Uuringu kestvus</w:t>
            </w:r>
          </w:p>
        </w:tc>
        <w:tc>
          <w:tcPr>
            <w:tcW w:w="1655" w:type="dxa"/>
            <w:shd w:val="clear" w:color="auto" w:fill="FFFFFF"/>
            <w:tcMar>
              <w:top w:w="0" w:type="dxa"/>
              <w:left w:w="0" w:type="dxa"/>
              <w:bottom w:w="0" w:type="dxa"/>
              <w:right w:w="0" w:type="dxa"/>
            </w:tcMar>
          </w:tcPr>
          <w:p w:rsidR="00D7274C" w:rsidRDefault="00F4138E">
            <w:pPr>
              <w:pStyle w:val="P9"/>
            </w:pPr>
            <w:r>
              <w:rPr>
                <w:rFonts w:ascii="Times New Roman" w:hAnsi="Times New Roman" w:cs="Times New Roman"/>
                <w:szCs w:val="24"/>
              </w:rPr>
              <w:t>Patsientide arv</w:t>
            </w:r>
          </w:p>
        </w:tc>
        <w:tc>
          <w:tcPr>
            <w:tcW w:w="1687" w:type="dxa"/>
            <w:shd w:val="clear" w:color="auto" w:fill="FFFFFF"/>
            <w:tcMar>
              <w:top w:w="0" w:type="dxa"/>
              <w:left w:w="0" w:type="dxa"/>
              <w:bottom w:w="0" w:type="dxa"/>
              <w:right w:w="0" w:type="dxa"/>
            </w:tcMar>
          </w:tcPr>
          <w:p w:rsidR="00D7274C" w:rsidRDefault="00F4138E">
            <w:pPr>
              <w:pStyle w:val="P9"/>
            </w:pPr>
            <w:r>
              <w:rPr>
                <w:rFonts w:ascii="Times New Roman" w:hAnsi="Times New Roman" w:cs="Times New Roman"/>
                <w:szCs w:val="24"/>
              </w:rPr>
              <w:t>Ravimeetodid</w:t>
            </w:r>
          </w:p>
        </w:tc>
        <w:tc>
          <w:tcPr>
            <w:tcW w:w="1658" w:type="dxa"/>
            <w:shd w:val="clear" w:color="auto" w:fill="FFFFFF"/>
            <w:tcMar>
              <w:top w:w="0" w:type="dxa"/>
              <w:left w:w="0" w:type="dxa"/>
              <w:bottom w:w="0" w:type="dxa"/>
              <w:right w:w="0" w:type="dxa"/>
            </w:tcMar>
          </w:tcPr>
          <w:p w:rsidR="00D7274C" w:rsidRDefault="00F4138E">
            <w:pPr>
              <w:pStyle w:val="P9"/>
            </w:pPr>
            <w:r>
              <w:rPr>
                <w:rFonts w:ascii="Times New Roman" w:hAnsi="Times New Roman" w:cs="Times New Roman"/>
                <w:szCs w:val="24"/>
              </w:rPr>
              <w:t>Peamised tulemused</w:t>
            </w:r>
          </w:p>
        </w:tc>
      </w:tr>
      <w:tr w:rsidR="00D7274C">
        <w:tblPrEx>
          <w:tblCellMar>
            <w:top w:w="0" w:type="dxa"/>
            <w:bottom w:w="0" w:type="dxa"/>
          </w:tblCellMar>
        </w:tblPrEx>
        <w:trPr>
          <w:cantSplit/>
        </w:trPr>
        <w:tc>
          <w:tcPr>
            <w:tcW w:w="2100" w:type="dxa"/>
            <w:shd w:val="clear" w:color="auto" w:fill="FFFFFF"/>
            <w:tcMar>
              <w:top w:w="0" w:type="dxa"/>
              <w:left w:w="0" w:type="dxa"/>
              <w:bottom w:w="0" w:type="dxa"/>
              <w:right w:w="0" w:type="dxa"/>
            </w:tcMar>
          </w:tcPr>
          <w:p w:rsidR="00D7274C" w:rsidRDefault="00F4138E">
            <w:pPr>
              <w:pStyle w:val="P4"/>
            </w:pPr>
            <w:r>
              <w:rPr>
                <w:rFonts w:ascii="Times New Roman" w:hAnsi="Times New Roman" w:cs="Times New Roman"/>
                <w:sz w:val="24"/>
                <w:szCs w:val="24"/>
              </w:rPr>
              <w:t>Huerta 2002</w:t>
            </w:r>
          </w:p>
          <w:p w:rsidR="00D7274C" w:rsidRDefault="00F4138E">
            <w:pPr>
              <w:pStyle w:val="P4"/>
            </w:pPr>
            <w:r>
              <w:rPr>
                <w:rFonts w:ascii="Times New Roman" w:hAnsi="Times New Roman" w:cs="Times New Roman"/>
                <w:sz w:val="24"/>
                <w:szCs w:val="24"/>
              </w:rPr>
              <w:t>Retrospektiivne kohrtuuring</w:t>
            </w:r>
          </w:p>
          <w:p w:rsidR="00D7274C" w:rsidRDefault="00D7274C">
            <w:pPr>
              <w:pStyle w:val="P4"/>
            </w:pPr>
          </w:p>
          <w:p w:rsidR="00D7274C" w:rsidRDefault="00F4138E">
            <w:pPr>
              <w:pStyle w:val="P4"/>
            </w:pPr>
            <w:r>
              <w:rPr>
                <w:rFonts w:ascii="Times New Roman" w:hAnsi="Times New Roman" w:cs="Times New Roman"/>
                <w:sz w:val="24"/>
                <w:szCs w:val="24"/>
              </w:rPr>
              <w:t>TK - Madal</w:t>
            </w:r>
          </w:p>
          <w:p w:rsidR="00D7274C" w:rsidRDefault="00D7274C">
            <w:pPr>
              <w:pStyle w:val="P4"/>
            </w:pPr>
          </w:p>
          <w:p w:rsidR="00D7274C" w:rsidRDefault="00D7274C">
            <w:pPr>
              <w:pStyle w:val="P4"/>
            </w:pPr>
          </w:p>
        </w:tc>
        <w:tc>
          <w:tcPr>
            <w:tcW w:w="1655" w:type="dxa"/>
            <w:shd w:val="clear" w:color="auto" w:fill="FFFFFF"/>
            <w:tcMar>
              <w:top w:w="0" w:type="dxa"/>
              <w:left w:w="0" w:type="dxa"/>
              <w:bottom w:w="0" w:type="dxa"/>
              <w:right w:w="0" w:type="dxa"/>
            </w:tcMar>
          </w:tcPr>
          <w:p w:rsidR="00D7274C" w:rsidRDefault="00F4138E">
            <w:pPr>
              <w:pStyle w:val="P4"/>
            </w:pPr>
            <w:r>
              <w:rPr>
                <w:rFonts w:ascii="Times New Roman" w:hAnsi="Times New Roman" w:cs="Times New Roman"/>
                <w:sz w:val="24"/>
                <w:szCs w:val="24"/>
              </w:rPr>
              <w:t>7 aastat</w:t>
            </w:r>
          </w:p>
        </w:tc>
        <w:tc>
          <w:tcPr>
            <w:tcW w:w="1655" w:type="dxa"/>
            <w:shd w:val="clear" w:color="auto" w:fill="FFFFFF"/>
            <w:tcMar>
              <w:top w:w="0" w:type="dxa"/>
              <w:left w:w="0" w:type="dxa"/>
              <w:bottom w:w="0" w:type="dxa"/>
              <w:right w:w="0" w:type="dxa"/>
            </w:tcMar>
          </w:tcPr>
          <w:p w:rsidR="00D7274C" w:rsidRDefault="00F4138E">
            <w:pPr>
              <w:pStyle w:val="P4"/>
            </w:pPr>
            <w:r>
              <w:rPr>
                <w:rFonts w:ascii="Times New Roman" w:hAnsi="Times New Roman" w:cs="Times New Roman"/>
                <w:sz w:val="24"/>
                <w:szCs w:val="24"/>
              </w:rPr>
              <w:t>1067</w:t>
            </w:r>
          </w:p>
        </w:tc>
        <w:tc>
          <w:tcPr>
            <w:tcW w:w="1687" w:type="dxa"/>
            <w:shd w:val="clear" w:color="auto" w:fill="FFFFFF"/>
            <w:tcMar>
              <w:top w:w="0" w:type="dxa"/>
              <w:left w:w="0" w:type="dxa"/>
              <w:bottom w:w="0" w:type="dxa"/>
              <w:right w:w="0" w:type="dxa"/>
            </w:tcMar>
          </w:tcPr>
          <w:p w:rsidR="00D7274C" w:rsidRDefault="00F4138E">
            <w:pPr>
              <w:pStyle w:val="P4"/>
            </w:pPr>
            <w:r>
              <w:rPr>
                <w:rFonts w:ascii="Times New Roman" w:hAnsi="Times New Roman" w:cs="Times New Roman"/>
                <w:sz w:val="24"/>
                <w:szCs w:val="24"/>
              </w:rPr>
              <w:t>RYGB</w:t>
            </w:r>
          </w:p>
          <w:p w:rsidR="00D7274C" w:rsidRDefault="00F4138E">
            <w:pPr>
              <w:pStyle w:val="P4"/>
            </w:pPr>
            <w:r>
              <w:rPr>
                <w:rFonts w:ascii="Times New Roman" w:hAnsi="Times New Roman" w:cs="Times New Roman"/>
                <w:sz w:val="24"/>
                <w:szCs w:val="24"/>
              </w:rPr>
              <w:t xml:space="preserve">CPAP vs no CPAP </w:t>
            </w:r>
          </w:p>
        </w:tc>
        <w:tc>
          <w:tcPr>
            <w:tcW w:w="1658" w:type="dxa"/>
            <w:shd w:val="clear" w:color="auto" w:fill="FFFFFF"/>
            <w:tcMar>
              <w:top w:w="0" w:type="dxa"/>
              <w:left w:w="0" w:type="dxa"/>
              <w:bottom w:w="0" w:type="dxa"/>
              <w:right w:w="0" w:type="dxa"/>
            </w:tcMar>
          </w:tcPr>
          <w:p w:rsidR="00D7274C" w:rsidRDefault="00F4138E">
            <w:pPr>
              <w:spacing w:after="0" w:line="100" w:lineRule="atLeast"/>
            </w:pPr>
            <w:r>
              <w:rPr>
                <w:rFonts w:ascii="Times New Roman" w:hAnsi="Times New Roman"/>
                <w:sz w:val="20"/>
                <w:szCs w:val="20"/>
                <w:lang w:eastAsia="et-EE"/>
              </w:rPr>
              <w:t>We conclude that CPAP is a useful modality for</w:t>
            </w:r>
          </w:p>
          <w:p w:rsidR="00D7274C" w:rsidRDefault="00F4138E">
            <w:pPr>
              <w:spacing w:after="0" w:line="100" w:lineRule="atLeast"/>
            </w:pPr>
            <w:r>
              <w:rPr>
                <w:rFonts w:ascii="Times New Roman" w:hAnsi="Times New Roman"/>
                <w:sz w:val="20"/>
                <w:szCs w:val="20"/>
                <w:lang w:eastAsia="et-EE"/>
              </w:rPr>
              <w:t>treating patients at risk for apnea after RYGB. There</w:t>
            </w:r>
          </w:p>
          <w:p w:rsidR="00D7274C" w:rsidRDefault="00F4138E">
            <w:pPr>
              <w:spacing w:after="0" w:line="100" w:lineRule="atLeast"/>
            </w:pPr>
            <w:r>
              <w:rPr>
                <w:rFonts w:ascii="Times New Roman" w:hAnsi="Times New Roman"/>
                <w:sz w:val="20"/>
                <w:szCs w:val="20"/>
                <w:lang w:eastAsia="et-EE"/>
              </w:rPr>
              <w:t xml:space="preserve">were no </w:t>
            </w:r>
            <w:r>
              <w:rPr>
                <w:rFonts w:ascii="Times New Roman" w:hAnsi="Times New Roman"/>
                <w:sz w:val="20"/>
                <w:szCs w:val="20"/>
                <w:lang w:eastAsia="et-EE"/>
              </w:rPr>
              <w:t>pulmonary complications in a high-risk patient</w:t>
            </w:r>
          </w:p>
          <w:p w:rsidR="00D7274C" w:rsidRDefault="00F4138E">
            <w:pPr>
              <w:spacing w:after="0" w:line="100" w:lineRule="atLeast"/>
            </w:pPr>
            <w:r>
              <w:rPr>
                <w:rFonts w:ascii="Times New Roman" w:hAnsi="Times New Roman"/>
                <w:sz w:val="20"/>
                <w:szCs w:val="20"/>
                <w:lang w:eastAsia="et-EE"/>
              </w:rPr>
              <w:t>population and no anatomic leaks were attributable</w:t>
            </w:r>
          </w:p>
          <w:p w:rsidR="00D7274C" w:rsidRDefault="00F4138E">
            <w:pPr>
              <w:spacing w:after="0" w:line="100" w:lineRule="atLeast"/>
            </w:pPr>
            <w:r>
              <w:rPr>
                <w:rFonts w:ascii="Times New Roman" w:hAnsi="Times New Roman"/>
                <w:sz w:val="20"/>
                <w:szCs w:val="20"/>
                <w:lang w:eastAsia="et-EE"/>
              </w:rPr>
              <w:t>to the use of CPAP. We recommend the routine</w:t>
            </w:r>
          </w:p>
          <w:p w:rsidR="00D7274C" w:rsidRDefault="00F4138E">
            <w:pPr>
              <w:spacing w:after="0" w:line="100" w:lineRule="atLeast"/>
            </w:pPr>
            <w:r>
              <w:rPr>
                <w:rFonts w:ascii="Times New Roman" w:hAnsi="Times New Roman"/>
                <w:sz w:val="20"/>
                <w:szCs w:val="20"/>
                <w:lang w:eastAsia="et-EE"/>
              </w:rPr>
              <w:t>use of postoperative CPAP for RYGB patientswith CPAP-dependent OSA</w:t>
            </w:r>
          </w:p>
        </w:tc>
      </w:tr>
      <w:tr w:rsidR="00D7274C">
        <w:tblPrEx>
          <w:tblCellMar>
            <w:top w:w="0" w:type="dxa"/>
            <w:bottom w:w="0" w:type="dxa"/>
          </w:tblCellMar>
        </w:tblPrEx>
        <w:trPr>
          <w:cantSplit/>
        </w:trPr>
        <w:tc>
          <w:tcPr>
            <w:tcW w:w="2100" w:type="dxa"/>
            <w:shd w:val="clear" w:color="auto" w:fill="FFFFFF"/>
            <w:tcMar>
              <w:top w:w="0" w:type="dxa"/>
              <w:left w:w="0" w:type="dxa"/>
              <w:bottom w:w="0" w:type="dxa"/>
              <w:right w:w="0" w:type="dxa"/>
            </w:tcMar>
          </w:tcPr>
          <w:p w:rsidR="00D7274C" w:rsidRDefault="00F4138E">
            <w:pPr>
              <w:pStyle w:val="P4"/>
            </w:pPr>
            <w:r>
              <w:rPr>
                <w:rFonts w:ascii="Arial" w:hAnsi="Arial" w:cs="Arial"/>
                <w:b/>
                <w:shd w:val="clear" w:color="auto" w:fill="FFFFFF"/>
              </w:rPr>
              <w:lastRenderedPageBreak/>
              <w:t>Health Quality Ontario</w:t>
            </w:r>
            <w:r>
              <w:rPr>
                <w:rFonts w:ascii="Arial" w:hAnsi="Arial" w:cs="Arial"/>
                <w:b/>
                <w:shd w:val="clear" w:color="auto" w:fill="FFFFFF"/>
              </w:rPr>
              <w:t xml:space="preserve">. 2006 </w:t>
            </w:r>
          </w:p>
          <w:p w:rsidR="00D7274C" w:rsidRDefault="00F4138E">
            <w:pPr>
              <w:pStyle w:val="P4"/>
            </w:pPr>
            <w:r>
              <w:rPr>
                <w:rFonts w:ascii="Arial" w:hAnsi="Arial" w:cs="Arial"/>
                <w:b/>
                <w:shd w:val="clear" w:color="auto" w:fill="FFFFFF"/>
              </w:rPr>
              <w:t>Metaanalüüs</w:t>
            </w:r>
          </w:p>
          <w:p w:rsidR="00D7274C" w:rsidRDefault="00D7274C">
            <w:pPr>
              <w:pStyle w:val="P4"/>
            </w:pPr>
          </w:p>
          <w:p w:rsidR="00D7274C" w:rsidRDefault="00F4138E">
            <w:pPr>
              <w:pStyle w:val="P4"/>
            </w:pPr>
            <w:r>
              <w:rPr>
                <w:rFonts w:ascii="Times New Roman" w:hAnsi="Times New Roman" w:cs="Times New Roman"/>
                <w:b/>
                <w:sz w:val="24"/>
                <w:szCs w:val="24"/>
              </w:rPr>
              <w:t>TK</w:t>
            </w:r>
            <w:r>
              <w:rPr>
                <w:rFonts w:ascii="Times New Roman" w:hAnsi="Times New Roman" w:cs="Times New Roman"/>
                <w:b/>
                <w:sz w:val="24"/>
                <w:szCs w:val="24"/>
              </w:rPr>
              <w:t xml:space="preserve"> - Kõrge</w:t>
            </w:r>
          </w:p>
        </w:tc>
        <w:tc>
          <w:tcPr>
            <w:tcW w:w="1655" w:type="dxa"/>
            <w:shd w:val="clear" w:color="auto" w:fill="FFFFFF"/>
            <w:tcMar>
              <w:top w:w="0" w:type="dxa"/>
              <w:left w:w="0" w:type="dxa"/>
              <w:bottom w:w="0" w:type="dxa"/>
              <w:right w:w="0" w:type="dxa"/>
            </w:tcMar>
          </w:tcPr>
          <w:p w:rsidR="00D7274C" w:rsidRDefault="00F4138E">
            <w:pPr>
              <w:pStyle w:val="P4"/>
            </w:pPr>
            <w:r>
              <w:rPr>
                <w:rFonts w:ascii="Times New Roman" w:hAnsi="Times New Roman" w:cs="Times New Roman"/>
                <w:sz w:val="24"/>
                <w:szCs w:val="24"/>
              </w:rPr>
              <w:t>59 artiklit, mis puudutavad uneapnoed</w:t>
            </w:r>
          </w:p>
        </w:tc>
        <w:tc>
          <w:tcPr>
            <w:tcW w:w="1655" w:type="dxa"/>
            <w:shd w:val="clear" w:color="auto" w:fill="FFFFFF"/>
            <w:tcMar>
              <w:top w:w="0" w:type="dxa"/>
              <w:left w:w="0" w:type="dxa"/>
              <w:bottom w:w="0" w:type="dxa"/>
              <w:right w:w="0" w:type="dxa"/>
            </w:tcMar>
          </w:tcPr>
          <w:p w:rsidR="00D7274C" w:rsidRDefault="00D7274C">
            <w:pPr>
              <w:pStyle w:val="P4"/>
            </w:pPr>
          </w:p>
        </w:tc>
        <w:tc>
          <w:tcPr>
            <w:tcW w:w="1687" w:type="dxa"/>
            <w:shd w:val="clear" w:color="auto" w:fill="FFFFFF"/>
            <w:tcMar>
              <w:top w:w="0" w:type="dxa"/>
              <w:left w:w="0" w:type="dxa"/>
              <w:bottom w:w="0" w:type="dxa"/>
              <w:right w:w="0" w:type="dxa"/>
            </w:tcMar>
          </w:tcPr>
          <w:p w:rsidR="00D7274C" w:rsidRDefault="00D7274C">
            <w:pPr>
              <w:pStyle w:val="P5"/>
            </w:pPr>
          </w:p>
          <w:p w:rsidR="00D7274C" w:rsidRDefault="00D7274C">
            <w:pPr>
              <w:pStyle w:val="P4"/>
            </w:pPr>
          </w:p>
        </w:tc>
        <w:tc>
          <w:tcPr>
            <w:tcW w:w="1658" w:type="dxa"/>
            <w:shd w:val="clear" w:color="auto" w:fill="FFFFFF"/>
            <w:tcMar>
              <w:top w:w="0" w:type="dxa"/>
              <w:left w:w="0" w:type="dxa"/>
              <w:bottom w:w="0" w:type="dxa"/>
              <w:right w:w="0" w:type="dxa"/>
            </w:tcMar>
          </w:tcPr>
          <w:p w:rsidR="00D7274C" w:rsidRDefault="00F4138E">
            <w:pPr>
              <w:spacing w:after="0" w:line="100" w:lineRule="atLeast"/>
            </w:pPr>
            <w:r>
              <w:rPr>
                <w:rFonts w:ascii="TimesNewRomanPSMT" w:hAnsi="TimesNewRomanPSMT" w:cs="TimesNewRomanPSMT"/>
                <w:lang w:eastAsia="et-EE"/>
              </w:rPr>
              <w:t>The results show that when morbidity costs were included, the mean incremental cost (Cdn) of the second</w:t>
            </w:r>
          </w:p>
          <w:p w:rsidR="00D7274C" w:rsidRDefault="00F4138E">
            <w:pPr>
              <w:spacing w:after="0" w:line="100" w:lineRule="atLeast"/>
            </w:pPr>
            <w:r>
              <w:rPr>
                <w:rFonts w:ascii="TimesNewRomanPSMT" w:hAnsi="TimesNewRomanPSMT" w:cs="TimesNewRomanPSMT"/>
                <w:lang w:eastAsia="et-EE"/>
              </w:rPr>
              <w:t>strategy compared with the first was -$3,168 (95% probability interval = -$2,570 to -$3,761), and the</w:t>
            </w:r>
          </w:p>
          <w:p w:rsidR="00D7274C" w:rsidRDefault="00F4138E">
            <w:pPr>
              <w:spacing w:after="0" w:line="100" w:lineRule="atLeast"/>
            </w:pPr>
            <w:r>
              <w:rPr>
                <w:rFonts w:ascii="TimesNewRomanPSMT" w:hAnsi="TimesNewRomanPSMT" w:cs="TimesNewRomanPSMT"/>
                <w:lang w:eastAsia="et-EE"/>
              </w:rPr>
              <w:t>mean incremental cost of the third strategy compared with the first strategy was -$6,908 (-$6,038 to</w:t>
            </w:r>
          </w:p>
          <w:p w:rsidR="00D7274C" w:rsidRDefault="00F4138E">
            <w:pPr>
              <w:spacing w:after="0" w:line="100" w:lineRule="atLeast"/>
            </w:pPr>
            <w:r>
              <w:rPr>
                <w:rFonts w:ascii="TimesNewRomanPSMT" w:hAnsi="TimesNewRomanPSMT" w:cs="TimesNewRomanPSMT"/>
                <w:lang w:eastAsia="et-EE"/>
              </w:rPr>
              <w:t>-$7,765). When morbidity costs were excluded, the corresponding mean incremental costs were -$142</w:t>
            </w:r>
          </w:p>
          <w:p w:rsidR="00D7274C" w:rsidRDefault="00F4138E">
            <w:pPr>
              <w:spacing w:after="0" w:line="100" w:lineRule="atLeast"/>
            </w:pPr>
            <w:r>
              <w:rPr>
                <w:rFonts w:ascii="TimesNewRomanPSMT" w:hAnsi="TimesNewRomanPSMT" w:cs="TimesNewRomanPSMT"/>
                <w:lang w:eastAsia="et-EE"/>
              </w:rPr>
              <w:t xml:space="preserve">(-$116 to -$168) and -$2,513 (-$2,465 to -$2,563). Thus, </w:t>
            </w:r>
            <w:r>
              <w:rPr>
                <w:rFonts w:ascii="TimesNewRomanPSMT" w:hAnsi="TimesNewRomanPSMT" w:cs="TimesNewRomanPSMT"/>
                <w:lang w:eastAsia="et-EE"/>
              </w:rPr>
              <w:t>both the second and third strategies are</w:t>
            </w:r>
          </w:p>
          <w:p w:rsidR="00D7274C" w:rsidRDefault="00F4138E">
            <w:pPr>
              <w:spacing w:after="0" w:line="100" w:lineRule="atLeast"/>
            </w:pPr>
            <w:r>
              <w:rPr>
                <w:rFonts w:ascii="TimesNewRomanPSMT" w:hAnsi="TimesNewRomanPSMT" w:cs="TimesNewRomanPSMT"/>
                <w:lang w:eastAsia="et-EE"/>
              </w:rPr>
              <w:t>cost-saving compared with the first strategy (current practice) and this conclusion does not change by</w:t>
            </w:r>
          </w:p>
          <w:p w:rsidR="00D7274C" w:rsidRDefault="00F4138E">
            <w:pPr>
              <w:spacing w:after="0" w:line="100" w:lineRule="atLeast"/>
            </w:pPr>
            <w:r>
              <w:rPr>
                <w:rFonts w:ascii="TimesNewRomanPSMT" w:hAnsi="TimesNewRomanPSMT" w:cs="TimesNewRomanPSMT"/>
                <w:lang w:eastAsia="et-EE"/>
              </w:rPr>
              <w:t>inclusion or exclusion of morbid obesity costs, although cost savings are greater when these costs are</w:t>
            </w:r>
          </w:p>
          <w:p w:rsidR="00D7274C" w:rsidRDefault="00F4138E">
            <w:pPr>
              <w:spacing w:after="0" w:line="100" w:lineRule="atLeast"/>
            </w:pPr>
            <w:r>
              <w:rPr>
                <w:rFonts w:ascii="TimesNewRomanPSMT" w:hAnsi="TimesNewRomanPSMT" w:cs="TimesNewRomanPSMT"/>
                <w:lang w:eastAsia="et-EE"/>
              </w:rPr>
              <w:t>included.</w:t>
            </w:r>
            <w:r>
              <w:rPr>
                <w:rFonts w:ascii="TimesNewRomanPSMT" w:hAnsi="TimesNewRomanPSMT" w:cs="TimesNewRomanPSMT"/>
                <w:lang w:eastAsia="et-EE"/>
              </w:rPr>
              <w:t xml:space="preserve"> The results also show that the mean incremental QALYs for the second strategy compared with the first</w:t>
            </w:r>
          </w:p>
          <w:p w:rsidR="00D7274C" w:rsidRDefault="00F4138E">
            <w:pPr>
              <w:spacing w:after="0" w:line="100" w:lineRule="atLeast"/>
            </w:pPr>
            <w:r>
              <w:rPr>
                <w:rFonts w:ascii="TimesNewRomanPSMT" w:hAnsi="TimesNewRomanPSMT" w:cs="TimesNewRomanPSMT"/>
                <w:lang w:eastAsia="et-EE"/>
              </w:rPr>
              <w:t>was 0.26 (0.24–0.27), and the mean incremental QALYs for the third strategy compared with the first</w:t>
            </w:r>
          </w:p>
          <w:p w:rsidR="00D7274C" w:rsidRDefault="00F4138E">
            <w:pPr>
              <w:spacing w:after="0" w:line="100" w:lineRule="atLeast"/>
            </w:pPr>
            <w:r>
              <w:rPr>
                <w:rFonts w:ascii="TimesNewRomanPSMT" w:hAnsi="TimesNewRomanPSMT" w:cs="TimesNewRomanPSMT"/>
                <w:lang w:eastAsia="et-EE"/>
              </w:rPr>
              <w:t>strategy was 0.28 (0.27–0.30). Hence, linking sleep c</w:t>
            </w:r>
            <w:r>
              <w:rPr>
                <w:rFonts w:ascii="TimesNewRomanPSMT" w:hAnsi="TimesNewRomanPSMT" w:cs="TimesNewRomanPSMT"/>
                <w:lang w:eastAsia="et-EE"/>
              </w:rPr>
              <w:t>linics to obesity clinics would not only result in</w:t>
            </w:r>
          </w:p>
          <w:p w:rsidR="00D7274C" w:rsidRDefault="00F4138E">
            <w:pPr>
              <w:pStyle w:val="P4"/>
            </w:pPr>
            <w:r>
              <w:rPr>
                <w:rFonts w:ascii="TimesNewRomanPSMT" w:hAnsi="TimesNewRomanPSMT" w:cs="TimesNewRomanPSMT"/>
                <w:lang w:eastAsia="et-EE"/>
              </w:rPr>
              <w:t>gains in QALYs but also cost-saving</w:t>
            </w:r>
          </w:p>
        </w:tc>
      </w:tr>
      <w:tr w:rsidR="00D7274C">
        <w:tblPrEx>
          <w:tblCellMar>
            <w:top w:w="0" w:type="dxa"/>
            <w:bottom w:w="0" w:type="dxa"/>
          </w:tblCellMar>
        </w:tblPrEx>
        <w:trPr>
          <w:cantSplit/>
        </w:trPr>
        <w:tc>
          <w:tcPr>
            <w:tcW w:w="2100" w:type="dxa"/>
            <w:shd w:val="clear" w:color="auto" w:fill="FFFFFF"/>
            <w:tcMar>
              <w:top w:w="0" w:type="dxa"/>
              <w:left w:w="0" w:type="dxa"/>
              <w:bottom w:w="0" w:type="dxa"/>
              <w:right w:w="0" w:type="dxa"/>
            </w:tcMar>
          </w:tcPr>
          <w:p w:rsidR="00D7274C" w:rsidRDefault="00D7274C">
            <w:pPr>
              <w:pStyle w:val="P4"/>
            </w:pPr>
          </w:p>
        </w:tc>
        <w:tc>
          <w:tcPr>
            <w:tcW w:w="1655" w:type="dxa"/>
            <w:shd w:val="clear" w:color="auto" w:fill="FFFFFF"/>
            <w:tcMar>
              <w:top w:w="0" w:type="dxa"/>
              <w:left w:w="0" w:type="dxa"/>
              <w:bottom w:w="0" w:type="dxa"/>
              <w:right w:w="0" w:type="dxa"/>
            </w:tcMar>
          </w:tcPr>
          <w:p w:rsidR="00D7274C" w:rsidRDefault="00D7274C">
            <w:pPr>
              <w:pStyle w:val="P1"/>
            </w:pPr>
          </w:p>
        </w:tc>
        <w:tc>
          <w:tcPr>
            <w:tcW w:w="1655" w:type="dxa"/>
            <w:shd w:val="clear" w:color="auto" w:fill="FFFFFF"/>
            <w:tcMar>
              <w:top w:w="0" w:type="dxa"/>
              <w:left w:w="0" w:type="dxa"/>
              <w:bottom w:w="0" w:type="dxa"/>
              <w:right w:w="0" w:type="dxa"/>
            </w:tcMar>
          </w:tcPr>
          <w:p w:rsidR="00D7274C" w:rsidRDefault="00D7274C">
            <w:pPr>
              <w:pStyle w:val="P1"/>
            </w:pPr>
          </w:p>
        </w:tc>
        <w:tc>
          <w:tcPr>
            <w:tcW w:w="1687" w:type="dxa"/>
            <w:shd w:val="clear" w:color="auto" w:fill="FFFFFF"/>
            <w:tcMar>
              <w:top w:w="0" w:type="dxa"/>
              <w:left w:w="0" w:type="dxa"/>
              <w:bottom w:w="0" w:type="dxa"/>
              <w:right w:w="0" w:type="dxa"/>
            </w:tcMar>
          </w:tcPr>
          <w:p w:rsidR="00D7274C" w:rsidRDefault="00D7274C">
            <w:pPr>
              <w:pStyle w:val="P1"/>
            </w:pPr>
          </w:p>
        </w:tc>
        <w:tc>
          <w:tcPr>
            <w:tcW w:w="1658" w:type="dxa"/>
            <w:shd w:val="clear" w:color="auto" w:fill="FFFFFF"/>
            <w:tcMar>
              <w:top w:w="0" w:type="dxa"/>
              <w:left w:w="0" w:type="dxa"/>
              <w:bottom w:w="0" w:type="dxa"/>
              <w:right w:w="0" w:type="dxa"/>
            </w:tcMar>
          </w:tcPr>
          <w:p w:rsidR="00D7274C" w:rsidRDefault="00D7274C">
            <w:pPr>
              <w:pStyle w:val="P14"/>
            </w:pPr>
          </w:p>
        </w:tc>
      </w:tr>
      <w:tr w:rsidR="00D7274C">
        <w:tblPrEx>
          <w:tblCellMar>
            <w:top w:w="0" w:type="dxa"/>
            <w:bottom w:w="0" w:type="dxa"/>
          </w:tblCellMar>
        </w:tblPrEx>
        <w:trPr>
          <w:cantSplit/>
        </w:trPr>
        <w:tc>
          <w:tcPr>
            <w:tcW w:w="2100" w:type="dxa"/>
            <w:shd w:val="clear" w:color="auto" w:fill="FFFFFF"/>
            <w:tcMar>
              <w:top w:w="0" w:type="dxa"/>
              <w:left w:w="0" w:type="dxa"/>
              <w:bottom w:w="0" w:type="dxa"/>
              <w:right w:w="0" w:type="dxa"/>
            </w:tcMar>
          </w:tcPr>
          <w:p w:rsidR="00D7274C" w:rsidRDefault="00F4138E">
            <w:pPr>
              <w:pStyle w:val="P4"/>
            </w:pPr>
            <w:r>
              <w:rPr>
                <w:rFonts w:ascii="Times New Roman" w:hAnsi="Times New Roman" w:cs="Times New Roman"/>
                <w:sz w:val="24"/>
                <w:szCs w:val="24"/>
              </w:rPr>
              <w:t>Greenburg 2009</w:t>
            </w:r>
          </w:p>
          <w:p w:rsidR="00D7274C" w:rsidRDefault="00F4138E">
            <w:pPr>
              <w:pStyle w:val="P4"/>
            </w:pPr>
            <w:r>
              <w:rPr>
                <w:rFonts w:ascii="Times New Roman" w:hAnsi="Times New Roman" w:cs="Times New Roman"/>
                <w:sz w:val="24"/>
                <w:szCs w:val="24"/>
              </w:rPr>
              <w:t>Metaanalüüs</w:t>
            </w:r>
          </w:p>
          <w:p w:rsidR="00D7274C" w:rsidRDefault="00D7274C">
            <w:pPr>
              <w:pStyle w:val="P4"/>
            </w:pPr>
          </w:p>
          <w:p w:rsidR="00D7274C" w:rsidRDefault="00F4138E">
            <w:pPr>
              <w:pStyle w:val="P4"/>
            </w:pPr>
            <w:r>
              <w:rPr>
                <w:rFonts w:ascii="Times New Roman" w:hAnsi="Times New Roman" w:cs="Times New Roman"/>
                <w:b/>
                <w:sz w:val="24"/>
                <w:szCs w:val="24"/>
              </w:rPr>
              <w:t>TK -Mõõdukas</w:t>
            </w:r>
          </w:p>
        </w:tc>
        <w:tc>
          <w:tcPr>
            <w:tcW w:w="1655" w:type="dxa"/>
            <w:shd w:val="clear" w:color="auto" w:fill="FFFFFF"/>
            <w:tcMar>
              <w:top w:w="0" w:type="dxa"/>
              <w:left w:w="0" w:type="dxa"/>
              <w:bottom w:w="0" w:type="dxa"/>
              <w:right w:w="0" w:type="dxa"/>
            </w:tcMar>
          </w:tcPr>
          <w:p w:rsidR="00D7274C" w:rsidRDefault="00D7274C">
            <w:pPr>
              <w:pStyle w:val="P1"/>
            </w:pPr>
          </w:p>
        </w:tc>
        <w:tc>
          <w:tcPr>
            <w:tcW w:w="1655" w:type="dxa"/>
            <w:shd w:val="clear" w:color="auto" w:fill="FFFFFF"/>
            <w:tcMar>
              <w:top w:w="0" w:type="dxa"/>
              <w:left w:w="0" w:type="dxa"/>
              <w:bottom w:w="0" w:type="dxa"/>
              <w:right w:w="0" w:type="dxa"/>
            </w:tcMar>
          </w:tcPr>
          <w:p w:rsidR="00D7274C" w:rsidRDefault="00D7274C">
            <w:pPr>
              <w:pStyle w:val="P1"/>
            </w:pPr>
          </w:p>
        </w:tc>
        <w:tc>
          <w:tcPr>
            <w:tcW w:w="1687" w:type="dxa"/>
            <w:shd w:val="clear" w:color="auto" w:fill="FFFFFF"/>
            <w:tcMar>
              <w:top w:w="0" w:type="dxa"/>
              <w:left w:w="0" w:type="dxa"/>
              <w:bottom w:w="0" w:type="dxa"/>
              <w:right w:w="0" w:type="dxa"/>
            </w:tcMar>
          </w:tcPr>
          <w:p w:rsidR="00D7274C" w:rsidRDefault="00D7274C">
            <w:pPr>
              <w:pStyle w:val="P1"/>
            </w:pPr>
          </w:p>
        </w:tc>
        <w:tc>
          <w:tcPr>
            <w:tcW w:w="1658" w:type="dxa"/>
            <w:shd w:val="clear" w:color="auto" w:fill="FFFFFF"/>
            <w:tcMar>
              <w:top w:w="0" w:type="dxa"/>
              <w:left w:w="0" w:type="dxa"/>
              <w:bottom w:w="0" w:type="dxa"/>
              <w:right w:w="0" w:type="dxa"/>
            </w:tcMar>
          </w:tcPr>
          <w:p w:rsidR="00D7274C" w:rsidRDefault="00F4138E">
            <w:pPr>
              <w:spacing w:after="0" w:line="100" w:lineRule="atLeast"/>
            </w:pPr>
            <w:r>
              <w:rPr>
                <w:rFonts w:ascii="Times-Roman" w:hAnsi="Times-Roman" w:cs="Times-Roman"/>
                <w:sz w:val="20"/>
                <w:szCs w:val="20"/>
                <w:lang w:eastAsia="et-EE"/>
              </w:rPr>
              <w:t>Two</w:t>
            </w:r>
          </w:p>
          <w:p w:rsidR="00D7274C" w:rsidRDefault="00F4138E">
            <w:pPr>
              <w:spacing w:after="0" w:line="100" w:lineRule="atLeast"/>
            </w:pPr>
            <w:r>
              <w:rPr>
                <w:rFonts w:ascii="Times-Roman" w:hAnsi="Times-Roman" w:cs="Times-Roman"/>
                <w:sz w:val="20"/>
                <w:szCs w:val="20"/>
                <w:lang w:eastAsia="et-EE"/>
              </w:rPr>
              <w:t>high-quality population-based cohort studies confirm that</w:t>
            </w:r>
          </w:p>
          <w:p w:rsidR="00D7274C" w:rsidRDefault="00F4138E">
            <w:pPr>
              <w:spacing w:after="0" w:line="100" w:lineRule="atLeast"/>
            </w:pPr>
            <w:r>
              <w:rPr>
                <w:rFonts w:ascii="Times-Roman" w:hAnsi="Times-Roman" w:cs="Times-Roman"/>
                <w:sz w:val="20"/>
                <w:szCs w:val="20"/>
                <w:lang w:eastAsia="et-EE"/>
              </w:rPr>
              <w:t>untreated OSA is an independent risk factor for</w:t>
            </w:r>
          </w:p>
          <w:p w:rsidR="00D7274C" w:rsidRDefault="00F4138E">
            <w:pPr>
              <w:spacing w:after="0" w:line="100" w:lineRule="atLeast"/>
            </w:pPr>
            <w:r>
              <w:rPr>
                <w:rFonts w:ascii="Times-Roman" w:hAnsi="Times-Roman" w:cs="Times-Roman"/>
                <w:sz w:val="20"/>
                <w:szCs w:val="20"/>
                <w:lang w:eastAsia="et-EE"/>
              </w:rPr>
              <w:t>death.</w:t>
            </w:r>
            <w:r>
              <w:rPr>
                <w:rFonts w:ascii="Times-Roman" w:hAnsi="Times-Roman" w:cs="Times-Roman"/>
                <w:color w:val="000064"/>
                <w:sz w:val="13"/>
                <w:szCs w:val="13"/>
                <w:lang w:eastAsia="et-EE"/>
              </w:rPr>
              <w:t xml:space="preserve"> </w:t>
            </w:r>
            <w:r>
              <w:rPr>
                <w:rFonts w:ascii="Times-Roman" w:hAnsi="Times-Roman" w:cs="Times-Roman"/>
                <w:sz w:val="20"/>
                <w:szCs w:val="20"/>
                <w:lang w:eastAsia="et-EE"/>
              </w:rPr>
              <w:t>Evidence suggests that even mild OSA is</w:t>
            </w:r>
          </w:p>
          <w:p w:rsidR="00D7274C" w:rsidRDefault="00F4138E">
            <w:pPr>
              <w:spacing w:after="0" w:line="100" w:lineRule="atLeast"/>
            </w:pPr>
            <w:r>
              <w:rPr>
                <w:rFonts w:ascii="Times-Roman" w:hAnsi="Times-Roman" w:cs="Times-Roman"/>
                <w:sz w:val="20"/>
                <w:szCs w:val="20"/>
                <w:lang w:eastAsia="et-EE"/>
              </w:rPr>
              <w:t>strongly associated with an increased risk for cardiovascular</w:t>
            </w:r>
          </w:p>
          <w:p w:rsidR="00D7274C" w:rsidRDefault="00F4138E">
            <w:pPr>
              <w:spacing w:after="0" w:line="100" w:lineRule="atLeast"/>
            </w:pPr>
            <w:r>
              <w:rPr>
                <w:rFonts w:ascii="Times-Roman" w:hAnsi="Times-Roman" w:cs="Times-Roman"/>
                <w:sz w:val="20"/>
                <w:szCs w:val="20"/>
                <w:lang w:eastAsia="et-EE"/>
              </w:rPr>
              <w:t>disease.</w:t>
            </w:r>
            <w:r>
              <w:rPr>
                <w:rFonts w:ascii="Times-Roman" w:hAnsi="Times-Roman" w:cs="Times-Roman"/>
                <w:color w:val="000064"/>
                <w:sz w:val="13"/>
                <w:szCs w:val="13"/>
                <w:lang w:eastAsia="et-EE"/>
              </w:rPr>
              <w:t xml:space="preserve"> </w:t>
            </w:r>
            <w:r>
              <w:rPr>
                <w:rFonts w:ascii="Times-Roman" w:hAnsi="Times-Roman" w:cs="Times-Roman"/>
                <w:sz w:val="20"/>
                <w:szCs w:val="20"/>
                <w:lang w:eastAsia="et-EE"/>
              </w:rPr>
              <w:t>Treatment of mild OSA with continuous</w:t>
            </w:r>
          </w:p>
          <w:p w:rsidR="00D7274C" w:rsidRDefault="00F4138E">
            <w:pPr>
              <w:spacing w:after="0" w:line="100" w:lineRule="atLeast"/>
            </w:pPr>
            <w:r>
              <w:rPr>
                <w:rFonts w:ascii="Times-Roman" w:hAnsi="Times-Roman" w:cs="Times-Roman"/>
                <w:sz w:val="20"/>
                <w:szCs w:val="20"/>
                <w:lang w:eastAsia="et-EE"/>
              </w:rPr>
              <w:t>positive airway pressure (CPAP) may lower rates of</w:t>
            </w:r>
          </w:p>
          <w:p w:rsidR="00D7274C" w:rsidRDefault="00F4138E">
            <w:pPr>
              <w:pStyle w:val="P16"/>
            </w:pPr>
            <w:r>
              <w:rPr>
                <w:rFonts w:ascii="Times-Roman" w:hAnsi="Times-Roman" w:cs="Times-Roman"/>
                <w:sz w:val="20"/>
                <w:lang w:eastAsia="et-EE"/>
              </w:rPr>
              <w:t>cardiovascular disease morbidity.</w:t>
            </w:r>
          </w:p>
        </w:tc>
      </w:tr>
      <w:tr w:rsidR="00D7274C">
        <w:tblPrEx>
          <w:tblCellMar>
            <w:top w:w="0" w:type="dxa"/>
            <w:bottom w:w="0" w:type="dxa"/>
          </w:tblCellMar>
        </w:tblPrEx>
        <w:trPr>
          <w:cantSplit/>
        </w:trPr>
        <w:tc>
          <w:tcPr>
            <w:tcW w:w="2100" w:type="dxa"/>
            <w:shd w:val="clear" w:color="auto" w:fill="FFFFFF"/>
            <w:tcMar>
              <w:top w:w="0" w:type="dxa"/>
              <w:left w:w="0" w:type="dxa"/>
              <w:bottom w:w="0" w:type="dxa"/>
              <w:right w:w="0" w:type="dxa"/>
            </w:tcMar>
          </w:tcPr>
          <w:p w:rsidR="00D7274C" w:rsidRDefault="00F4138E">
            <w:pPr>
              <w:pStyle w:val="P4"/>
            </w:pPr>
            <w:r>
              <w:rPr>
                <w:rFonts w:ascii="Times New Roman" w:hAnsi="Times New Roman" w:cs="Times New Roman"/>
                <w:sz w:val="24"/>
                <w:szCs w:val="24"/>
              </w:rPr>
              <w:lastRenderedPageBreak/>
              <w:t>Chiumello et al 2013</w:t>
            </w:r>
          </w:p>
          <w:p w:rsidR="00D7274C" w:rsidRDefault="00F4138E">
            <w:pPr>
              <w:pStyle w:val="P4"/>
            </w:pPr>
            <w:r>
              <w:rPr>
                <w:rFonts w:ascii="Times New Roman" w:hAnsi="Times New Roman" w:cs="Times New Roman"/>
                <w:sz w:val="24"/>
                <w:szCs w:val="24"/>
              </w:rPr>
              <w:t>Süstemaatiline ülevaade</w:t>
            </w:r>
          </w:p>
          <w:p w:rsidR="00D7274C" w:rsidRDefault="00D7274C">
            <w:pPr>
              <w:pStyle w:val="P4"/>
            </w:pPr>
          </w:p>
          <w:p w:rsidR="00D7274C" w:rsidRDefault="00F4138E">
            <w:pPr>
              <w:pStyle w:val="P4"/>
            </w:pPr>
            <w:r>
              <w:rPr>
                <w:rFonts w:ascii="Times New Roman" w:hAnsi="Times New Roman" w:cs="Times New Roman"/>
                <w:sz w:val="24"/>
                <w:szCs w:val="24"/>
              </w:rPr>
              <w:t>TK- Madal</w:t>
            </w:r>
          </w:p>
        </w:tc>
        <w:tc>
          <w:tcPr>
            <w:tcW w:w="1655" w:type="dxa"/>
            <w:shd w:val="clear" w:color="auto" w:fill="FFFFFF"/>
            <w:tcMar>
              <w:top w:w="0" w:type="dxa"/>
              <w:left w:w="0" w:type="dxa"/>
              <w:bottom w:w="0" w:type="dxa"/>
              <w:right w:w="0" w:type="dxa"/>
            </w:tcMar>
          </w:tcPr>
          <w:p w:rsidR="00D7274C" w:rsidRDefault="00D7274C">
            <w:pPr>
              <w:pStyle w:val="P1"/>
            </w:pPr>
          </w:p>
        </w:tc>
        <w:tc>
          <w:tcPr>
            <w:tcW w:w="1655" w:type="dxa"/>
            <w:shd w:val="clear" w:color="auto" w:fill="FFFFFF"/>
            <w:tcMar>
              <w:top w:w="0" w:type="dxa"/>
              <w:left w:w="0" w:type="dxa"/>
              <w:bottom w:w="0" w:type="dxa"/>
              <w:right w:w="0" w:type="dxa"/>
            </w:tcMar>
          </w:tcPr>
          <w:p w:rsidR="00D7274C" w:rsidRDefault="00D7274C">
            <w:pPr>
              <w:pStyle w:val="P1"/>
            </w:pPr>
          </w:p>
        </w:tc>
        <w:tc>
          <w:tcPr>
            <w:tcW w:w="1687" w:type="dxa"/>
            <w:shd w:val="clear" w:color="auto" w:fill="FFFFFF"/>
            <w:tcMar>
              <w:top w:w="0" w:type="dxa"/>
              <w:left w:w="0" w:type="dxa"/>
              <w:bottom w:w="0" w:type="dxa"/>
              <w:right w:w="0" w:type="dxa"/>
            </w:tcMar>
          </w:tcPr>
          <w:p w:rsidR="00D7274C" w:rsidRDefault="00D7274C">
            <w:pPr>
              <w:pStyle w:val="P1"/>
            </w:pPr>
          </w:p>
        </w:tc>
        <w:tc>
          <w:tcPr>
            <w:tcW w:w="1658" w:type="dxa"/>
            <w:shd w:val="clear" w:color="auto" w:fill="FFFFFF"/>
            <w:tcMar>
              <w:top w:w="0" w:type="dxa"/>
              <w:left w:w="0" w:type="dxa"/>
              <w:bottom w:w="0" w:type="dxa"/>
              <w:right w:w="0" w:type="dxa"/>
            </w:tcMar>
          </w:tcPr>
          <w:p w:rsidR="00D7274C" w:rsidRDefault="00F4138E">
            <w:pPr>
              <w:spacing w:after="0" w:line="100" w:lineRule="atLeast"/>
            </w:pPr>
            <w:r>
              <w:rPr>
                <w:rFonts w:ascii="AdvPTimes" w:hAnsi="AdvPTimes" w:cs="AdvPTimes"/>
                <w:sz w:val="21"/>
                <w:szCs w:val="21"/>
                <w:lang w:eastAsia="et-EE"/>
              </w:rPr>
              <w:t>CPAP applied after surgery</w:t>
            </w:r>
          </w:p>
          <w:p w:rsidR="00D7274C" w:rsidRDefault="00F4138E">
            <w:pPr>
              <w:spacing w:after="0" w:line="100" w:lineRule="atLeast"/>
            </w:pPr>
            <w:r>
              <w:rPr>
                <w:rFonts w:ascii="AdvPTimes" w:hAnsi="AdvPTimes" w:cs="AdvPTimes"/>
                <w:sz w:val="21"/>
                <w:szCs w:val="21"/>
                <w:lang w:eastAsia="et-EE"/>
              </w:rPr>
              <w:t>in the post-surgical care unit for 8 h significantly</w:t>
            </w:r>
          </w:p>
          <w:p w:rsidR="00D7274C" w:rsidRDefault="00F4138E">
            <w:pPr>
              <w:spacing w:after="0" w:line="100" w:lineRule="atLeast"/>
            </w:pPr>
            <w:r>
              <w:rPr>
                <w:rFonts w:ascii="AdvPTimes" w:hAnsi="AdvPTimes" w:cs="AdvPTimes"/>
                <w:sz w:val="21"/>
                <w:szCs w:val="21"/>
                <w:lang w:eastAsia="et-EE"/>
              </w:rPr>
              <w:t>improved arterial oxygenation without any influence on</w:t>
            </w:r>
          </w:p>
          <w:p w:rsidR="00D7274C" w:rsidRDefault="00F4138E">
            <w:pPr>
              <w:pStyle w:val="P48"/>
            </w:pPr>
            <w:r>
              <w:rPr>
                <w:rFonts w:ascii="AdvPTimes" w:hAnsi="AdvPTimes" w:cs="AdvPTimes"/>
                <w:sz w:val="21"/>
                <w:szCs w:val="21"/>
                <w:lang w:eastAsia="et-EE"/>
              </w:rPr>
              <w:t>carbon dioxide elimination.</w:t>
            </w:r>
          </w:p>
          <w:p w:rsidR="00D7274C" w:rsidRDefault="00F4138E">
            <w:pPr>
              <w:spacing w:after="0" w:line="100" w:lineRule="atLeast"/>
            </w:pPr>
            <w:r>
              <w:rPr>
                <w:rFonts w:ascii="AdvPTimes" w:hAnsi="AdvPTimes" w:cs="AdvPTimes"/>
                <w:sz w:val="21"/>
                <w:szCs w:val="21"/>
                <w:lang w:eastAsia="et-EE"/>
              </w:rPr>
              <w:t xml:space="preserve">Neligan et al. </w:t>
            </w:r>
            <w:r>
              <w:rPr>
                <w:rFonts w:ascii="AdvPTimes" w:hAnsi="AdvPTimes" w:cs="AdvPTimes"/>
                <w:sz w:val="21"/>
                <w:szCs w:val="21"/>
                <w:lang w:eastAsia="et-EE"/>
              </w:rPr>
              <w:t>evaluated, in 40 morbidly obese</w:t>
            </w:r>
          </w:p>
          <w:p w:rsidR="00D7274C" w:rsidRDefault="00F4138E">
            <w:pPr>
              <w:spacing w:after="0" w:line="100" w:lineRule="atLeast"/>
            </w:pPr>
            <w:r>
              <w:rPr>
                <w:rFonts w:ascii="AdvPTimes" w:hAnsi="AdvPTimes" w:cs="AdvPTimes"/>
                <w:sz w:val="21"/>
                <w:szCs w:val="21"/>
                <w:lang w:eastAsia="et-EE"/>
              </w:rPr>
              <w:t>pat</w:t>
            </w:r>
            <w:r>
              <w:rPr>
                <w:rFonts w:ascii="AdvPTimes" w:hAnsi="AdvPTimes" w:cs="AdvPTimes"/>
                <w:sz w:val="21"/>
                <w:szCs w:val="21"/>
                <w:lang w:eastAsia="et-EE"/>
              </w:rPr>
              <w:t>ients undergoing laparoscopic gastric bypass surgery,</w:t>
            </w:r>
          </w:p>
          <w:p w:rsidR="00D7274C" w:rsidRDefault="00F4138E">
            <w:pPr>
              <w:spacing w:after="0" w:line="100" w:lineRule="atLeast"/>
            </w:pPr>
            <w:r>
              <w:rPr>
                <w:rFonts w:ascii="AdvPTimes" w:hAnsi="AdvPTimes" w:cs="AdvPTimes"/>
                <w:sz w:val="21"/>
                <w:szCs w:val="21"/>
                <w:lang w:eastAsia="et-EE"/>
              </w:rPr>
              <w:t>CPAP applied immediately after extubation in the operating</w:t>
            </w:r>
          </w:p>
          <w:p w:rsidR="00D7274C" w:rsidRDefault="00F4138E">
            <w:pPr>
              <w:spacing w:after="0" w:line="100" w:lineRule="atLeast"/>
            </w:pPr>
            <w:r>
              <w:rPr>
                <w:rFonts w:ascii="AdvPTimes" w:hAnsi="AdvPTimes" w:cs="AdvPTimes"/>
                <w:sz w:val="21"/>
                <w:szCs w:val="21"/>
                <w:lang w:eastAsia="et-EE"/>
              </w:rPr>
              <w:t>room or after 30 min in the post-surgical care unit.</w:t>
            </w:r>
          </w:p>
          <w:p w:rsidR="00D7274C" w:rsidRDefault="00F4138E">
            <w:pPr>
              <w:spacing w:after="0" w:line="100" w:lineRule="atLeast"/>
            </w:pPr>
            <w:r>
              <w:rPr>
                <w:rFonts w:ascii="AdvPTimes" w:hAnsi="AdvPTimes" w:cs="AdvPTimes"/>
                <w:sz w:val="21"/>
                <w:szCs w:val="21"/>
                <w:lang w:eastAsia="et-EE"/>
              </w:rPr>
              <w:t>In both groups CPAP was applied for a minimum of 8 h.</w:t>
            </w:r>
          </w:p>
          <w:p w:rsidR="00D7274C" w:rsidRDefault="00F4138E">
            <w:pPr>
              <w:spacing w:after="0" w:line="100" w:lineRule="atLeast"/>
            </w:pPr>
            <w:r>
              <w:rPr>
                <w:rFonts w:ascii="AdvPTimes" w:hAnsi="AdvPTimes" w:cs="AdvPTimes"/>
                <w:sz w:val="21"/>
                <w:szCs w:val="21"/>
                <w:lang w:eastAsia="et-EE"/>
              </w:rPr>
              <w:t>The CPAP significantly preserved lun</w:t>
            </w:r>
            <w:r>
              <w:rPr>
                <w:rFonts w:ascii="AdvPTimes" w:hAnsi="AdvPTimes" w:cs="AdvPTimes"/>
                <w:sz w:val="21"/>
                <w:szCs w:val="21"/>
                <w:lang w:eastAsia="et-EE"/>
              </w:rPr>
              <w:t>g volume after 1 h</w:t>
            </w:r>
          </w:p>
          <w:p w:rsidR="00D7274C" w:rsidRDefault="00F4138E">
            <w:pPr>
              <w:pStyle w:val="P48"/>
            </w:pPr>
            <w:r>
              <w:rPr>
                <w:rFonts w:ascii="AdvPTimes" w:hAnsi="AdvPTimes" w:cs="AdvPTimes"/>
                <w:sz w:val="21"/>
                <w:szCs w:val="21"/>
                <w:lang w:eastAsia="et-EE"/>
              </w:rPr>
              <w:t>and at day 1 after surgery</w:t>
            </w:r>
          </w:p>
        </w:tc>
      </w:tr>
    </w:tbl>
    <w:p w:rsidR="00D7274C" w:rsidRDefault="00D7274C">
      <w:pPr>
        <w:pStyle w:val="P3"/>
      </w:pPr>
    </w:p>
    <w:p w:rsidR="00D7274C" w:rsidRDefault="00D7274C">
      <w:pPr>
        <w:pStyle w:val="P3"/>
      </w:pPr>
    </w:p>
    <w:p w:rsidR="00D7274C" w:rsidRDefault="00D7274C">
      <w:pPr>
        <w:pStyle w:val="P3"/>
      </w:pPr>
    </w:p>
    <w:p w:rsidR="00D7274C" w:rsidRDefault="00D7274C">
      <w:pPr>
        <w:pStyle w:val="P3"/>
      </w:pPr>
    </w:p>
    <w:p w:rsidR="00D7274C" w:rsidRDefault="00D7274C">
      <w:pPr>
        <w:pStyle w:val="P3"/>
      </w:pPr>
    </w:p>
    <w:p w:rsidR="00D7274C" w:rsidRDefault="00D7274C">
      <w:pPr>
        <w:pStyle w:val="P3"/>
      </w:pPr>
    </w:p>
    <w:p w:rsidR="00D7274C" w:rsidRDefault="00D7274C">
      <w:pPr>
        <w:pStyle w:val="P3"/>
      </w:pPr>
    </w:p>
    <w:p w:rsidR="00D7274C" w:rsidRDefault="00F4138E">
      <w:r>
        <w:rPr>
          <w:rFonts w:ascii="Times New Roman" w:hAnsi="Times New Roman"/>
        </w:rPr>
        <w:t>Viited kirjandusele</w:t>
      </w:r>
    </w:p>
    <w:p w:rsidR="00D7274C" w:rsidRDefault="00F4138E">
      <w:pPr>
        <w:spacing w:after="0" w:line="100" w:lineRule="atLeast"/>
      </w:pPr>
      <w:r>
        <w:rPr>
          <w:rFonts w:ascii="AGaramond-Bold" w:hAnsi="AGaramond-Bold" w:cs="AGaramond-Bold"/>
          <w:b/>
          <w:bCs/>
          <w:sz w:val="16"/>
          <w:szCs w:val="16"/>
          <w:lang w:eastAsia="et-EE"/>
        </w:rPr>
        <w:t>WHO 2000</w:t>
      </w:r>
    </w:p>
    <w:p w:rsidR="00D7274C" w:rsidRDefault="00F4138E">
      <w:pPr>
        <w:spacing w:after="0" w:line="100" w:lineRule="atLeast"/>
      </w:pPr>
      <w:r>
        <w:rPr>
          <w:rFonts w:ascii="AGaramond-Regular" w:hAnsi="AGaramond-Regular" w:cs="AGaramond-Regular"/>
          <w:sz w:val="16"/>
          <w:szCs w:val="16"/>
          <w:lang w:eastAsia="et-EE"/>
        </w:rPr>
        <w:t>World Health Organization. Obesity: preventing and</w:t>
      </w:r>
    </w:p>
    <w:p w:rsidR="00D7274C" w:rsidRDefault="00F4138E">
      <w:pPr>
        <w:spacing w:after="0" w:line="100" w:lineRule="atLeast"/>
      </w:pPr>
      <w:r>
        <w:rPr>
          <w:rFonts w:ascii="AGaramond-Regular" w:hAnsi="AGaramond-Regular" w:cs="AGaramond-Regular"/>
          <w:sz w:val="16"/>
          <w:szCs w:val="16"/>
          <w:lang w:eastAsia="et-EE"/>
        </w:rPr>
        <w:t>managing the global epidemic. Report of a WHO</w:t>
      </w:r>
    </w:p>
    <w:p w:rsidR="00D7274C" w:rsidRDefault="00F4138E">
      <w:pPr>
        <w:spacing w:after="0" w:line="100" w:lineRule="atLeast"/>
      </w:pPr>
      <w:r>
        <w:rPr>
          <w:rFonts w:ascii="AGaramond-Regular" w:hAnsi="AGaramond-Regular" w:cs="AGaramond-Regular"/>
          <w:sz w:val="16"/>
          <w:szCs w:val="16"/>
          <w:lang w:eastAsia="et-EE"/>
        </w:rPr>
        <w:t>consultation. WHO Technical Report Series 2000; Vol.</w:t>
      </w:r>
    </w:p>
    <w:p w:rsidR="00D7274C" w:rsidRDefault="00F4138E">
      <w:r>
        <w:rPr>
          <w:rFonts w:ascii="AGaramond-Regular" w:hAnsi="AGaramond-Regular" w:cs="AGaramond-Regular"/>
          <w:sz w:val="16"/>
          <w:szCs w:val="16"/>
          <w:lang w:eastAsia="et-EE"/>
        </w:rPr>
        <w:t>894.</w:t>
      </w:r>
    </w:p>
    <w:p w:rsidR="00D7274C" w:rsidRDefault="00F4138E">
      <w:pPr>
        <w:spacing w:after="0" w:line="100" w:lineRule="atLeast"/>
      </w:pPr>
      <w:r>
        <w:rPr>
          <w:rFonts w:ascii="AdvTNR" w:hAnsi="AdvTNR" w:cs="AdvTNR"/>
          <w:sz w:val="16"/>
          <w:szCs w:val="16"/>
          <w:lang w:eastAsia="et-EE"/>
        </w:rPr>
        <w:t>Buchwald H, Avidor</w:t>
      </w:r>
      <w:r>
        <w:rPr>
          <w:rFonts w:ascii="AdvTNR" w:hAnsi="AdvTNR" w:cs="AdvTNR"/>
          <w:sz w:val="16"/>
          <w:szCs w:val="16"/>
          <w:lang w:eastAsia="et-EE"/>
        </w:rPr>
        <w:t xml:space="preserve"> Y, Braunwald E, et al. Bariatric surgery: a</w:t>
      </w:r>
    </w:p>
    <w:p w:rsidR="00D7274C" w:rsidRDefault="00F4138E">
      <w:r>
        <w:rPr>
          <w:rFonts w:ascii="AdvTNR" w:hAnsi="AdvTNR" w:cs="AdvTNR"/>
          <w:sz w:val="16"/>
          <w:szCs w:val="16"/>
          <w:lang w:eastAsia="et-EE"/>
        </w:rPr>
        <w:lastRenderedPageBreak/>
        <w:t xml:space="preserve">systematic review and meta-analysis. </w:t>
      </w:r>
      <w:r>
        <w:rPr>
          <w:rFonts w:ascii="AdvTNR-Italic" w:hAnsi="AdvTNR-Italic" w:cs="AdvTNR-Italic"/>
          <w:i/>
          <w:iCs/>
          <w:sz w:val="16"/>
          <w:szCs w:val="16"/>
          <w:lang w:eastAsia="et-EE"/>
        </w:rPr>
        <w:t>JAMA</w:t>
      </w:r>
      <w:r>
        <w:rPr>
          <w:rFonts w:ascii="AdvTNR" w:hAnsi="AdvTNR" w:cs="AdvTNR"/>
          <w:sz w:val="16"/>
          <w:szCs w:val="16"/>
          <w:lang w:eastAsia="et-EE"/>
        </w:rPr>
        <w:t>. 2004;292:1724–1737.</w:t>
      </w:r>
    </w:p>
    <w:p w:rsidR="00D7274C" w:rsidRDefault="00F4138E">
      <w:pPr>
        <w:spacing w:after="0" w:line="100" w:lineRule="atLeast"/>
      </w:pPr>
      <w:r>
        <w:rPr>
          <w:rFonts w:ascii="AdvTNR" w:hAnsi="AdvTNR" w:cs="AdvTNR"/>
          <w:sz w:val="16"/>
          <w:szCs w:val="16"/>
          <w:lang w:eastAsia="et-EE"/>
        </w:rPr>
        <w:t>Dixon JB, O’Brien PE, Playfair J, et al. Adjustable gastric banding and</w:t>
      </w:r>
    </w:p>
    <w:p w:rsidR="00D7274C" w:rsidRDefault="00F4138E">
      <w:pPr>
        <w:spacing w:after="0" w:line="100" w:lineRule="atLeast"/>
      </w:pPr>
      <w:r>
        <w:rPr>
          <w:rFonts w:ascii="AdvTNR" w:hAnsi="AdvTNR" w:cs="AdvTNR"/>
          <w:sz w:val="16"/>
          <w:szCs w:val="16"/>
          <w:lang w:eastAsia="et-EE"/>
        </w:rPr>
        <w:t>conventional therapy for type 2 diabetes: a randomized controlled trial.</w:t>
      </w:r>
    </w:p>
    <w:p w:rsidR="00D7274C" w:rsidRDefault="00F4138E">
      <w:r>
        <w:rPr>
          <w:rFonts w:ascii="AdvTNR-Italic" w:hAnsi="AdvTNR-Italic" w:cs="AdvTNR-Italic"/>
          <w:i/>
          <w:iCs/>
          <w:sz w:val="16"/>
          <w:szCs w:val="16"/>
          <w:lang w:eastAsia="et-EE"/>
        </w:rPr>
        <w:t>JAMA</w:t>
      </w:r>
      <w:r>
        <w:rPr>
          <w:rFonts w:ascii="AdvTNR" w:hAnsi="AdvTNR" w:cs="AdvTNR"/>
          <w:sz w:val="16"/>
          <w:szCs w:val="16"/>
          <w:lang w:eastAsia="et-EE"/>
        </w:rPr>
        <w:t>. 2008;299:316–323.</w:t>
      </w:r>
      <w:r>
        <w:rPr>
          <w:rFonts w:ascii="Times New Roman" w:hAnsi="Times New Roman"/>
          <w:b/>
        </w:rPr>
        <w:t xml:space="preserve"> </w:t>
      </w:r>
    </w:p>
    <w:p w:rsidR="00D7274C" w:rsidRDefault="00F4138E">
      <w:pPr>
        <w:spacing w:after="0" w:line="100" w:lineRule="atLeast"/>
      </w:pPr>
      <w:r>
        <w:rPr>
          <w:rFonts w:ascii="Times-Roman" w:hAnsi="Times-Roman" w:cs="Times-Roman"/>
          <w:sz w:val="16"/>
          <w:szCs w:val="16"/>
          <w:lang w:eastAsia="et-EE"/>
        </w:rPr>
        <w:t>Frey WC, Pilcher J. Obstructive sleep-related breathing disorders in</w:t>
      </w:r>
    </w:p>
    <w:p w:rsidR="00D7274C" w:rsidRDefault="00F4138E">
      <w:r>
        <w:rPr>
          <w:rFonts w:ascii="Times-Roman" w:hAnsi="Times-Roman" w:cs="Times-Roman"/>
          <w:sz w:val="16"/>
          <w:szCs w:val="16"/>
          <w:lang w:eastAsia="et-EE"/>
        </w:rPr>
        <w:t xml:space="preserve">patients evaluated for bariatric surgery. </w:t>
      </w:r>
      <w:r>
        <w:rPr>
          <w:rFonts w:ascii="Times-Italic" w:hAnsi="Times-Italic" w:cs="Times-Italic"/>
          <w:i/>
          <w:iCs/>
          <w:sz w:val="16"/>
          <w:szCs w:val="16"/>
          <w:lang w:eastAsia="et-EE"/>
        </w:rPr>
        <w:t>Obes Surg</w:t>
      </w:r>
      <w:r>
        <w:rPr>
          <w:rFonts w:ascii="Times-Roman" w:hAnsi="Times-Roman" w:cs="Times-Roman"/>
          <w:sz w:val="16"/>
          <w:szCs w:val="16"/>
          <w:lang w:eastAsia="et-EE"/>
        </w:rPr>
        <w:t>. 2003;13:676-683.</w:t>
      </w:r>
    </w:p>
    <w:p w:rsidR="00D7274C" w:rsidRDefault="00F4138E">
      <w:pPr>
        <w:spacing w:after="0" w:line="100" w:lineRule="atLeast"/>
      </w:pPr>
      <w:r>
        <w:rPr>
          <w:rFonts w:ascii="Times-Roman" w:hAnsi="Times-Roman" w:cs="Times-Roman"/>
          <w:sz w:val="16"/>
          <w:szCs w:val="16"/>
          <w:lang w:eastAsia="et-EE"/>
        </w:rPr>
        <w:t>O’Keeffe T, Patterson EJ. Evidence supporting routine polysomnography</w:t>
      </w:r>
    </w:p>
    <w:p w:rsidR="00D7274C" w:rsidRDefault="00F4138E">
      <w:r>
        <w:rPr>
          <w:rFonts w:ascii="Times-Roman" w:hAnsi="Times-Roman" w:cs="Times-Roman"/>
          <w:sz w:val="16"/>
          <w:szCs w:val="16"/>
          <w:lang w:eastAsia="et-EE"/>
        </w:rPr>
        <w:t>before bariatric surge</w:t>
      </w:r>
      <w:r>
        <w:rPr>
          <w:rFonts w:ascii="Times-Roman" w:hAnsi="Times-Roman" w:cs="Times-Roman"/>
          <w:sz w:val="16"/>
          <w:szCs w:val="16"/>
          <w:lang w:eastAsia="et-EE"/>
        </w:rPr>
        <w:t xml:space="preserve">ry. </w:t>
      </w:r>
      <w:r>
        <w:rPr>
          <w:rFonts w:ascii="Times-Italic" w:hAnsi="Times-Italic" w:cs="Times-Italic"/>
          <w:i/>
          <w:iCs/>
          <w:sz w:val="16"/>
          <w:szCs w:val="16"/>
          <w:lang w:eastAsia="et-EE"/>
        </w:rPr>
        <w:t>Obes Surg</w:t>
      </w:r>
      <w:r>
        <w:rPr>
          <w:rFonts w:ascii="Times-Roman" w:hAnsi="Times-Roman" w:cs="Times-Roman"/>
          <w:sz w:val="16"/>
          <w:szCs w:val="16"/>
          <w:lang w:eastAsia="et-EE"/>
        </w:rPr>
        <w:t>. 2004;14:23-26.</w:t>
      </w:r>
    </w:p>
    <w:p w:rsidR="00D7274C" w:rsidRDefault="00F4138E">
      <w:pPr>
        <w:spacing w:after="0" w:line="100" w:lineRule="atLeast"/>
      </w:pPr>
      <w:r>
        <w:rPr>
          <w:rFonts w:ascii="Times-Roman" w:hAnsi="Times-Roman" w:cs="Times-Roman"/>
          <w:color w:val="231F20"/>
          <w:sz w:val="16"/>
          <w:szCs w:val="16"/>
          <w:lang w:eastAsia="et-EE"/>
        </w:rPr>
        <w:t>Young T, Finn L, Peppard PE, et al. Sleep disordered breathing and</w:t>
      </w:r>
    </w:p>
    <w:p w:rsidR="00D7274C" w:rsidRDefault="00F4138E">
      <w:pPr>
        <w:spacing w:after="0" w:line="100" w:lineRule="atLeast"/>
      </w:pPr>
      <w:r>
        <w:rPr>
          <w:rFonts w:ascii="Times-Roman" w:hAnsi="Times-Roman" w:cs="Times-Roman"/>
          <w:color w:val="231F20"/>
          <w:sz w:val="16"/>
          <w:szCs w:val="16"/>
          <w:lang w:eastAsia="et-EE"/>
        </w:rPr>
        <w:t>mortality: eighteen-year follow-up of the Wisconsin sleep cohort.</w:t>
      </w:r>
    </w:p>
    <w:p w:rsidR="00D7274C" w:rsidRDefault="00F4138E">
      <w:r>
        <w:rPr>
          <w:rFonts w:ascii="Times-Italic" w:hAnsi="Times-Italic" w:cs="Times-Italic"/>
          <w:i/>
          <w:iCs/>
          <w:color w:val="231F20"/>
          <w:sz w:val="16"/>
          <w:szCs w:val="16"/>
          <w:lang w:eastAsia="et-EE"/>
        </w:rPr>
        <w:t>Sleep</w:t>
      </w:r>
      <w:r>
        <w:rPr>
          <w:rFonts w:ascii="Times-Roman" w:hAnsi="Times-Roman" w:cs="Times-Roman"/>
          <w:color w:val="231F20"/>
          <w:sz w:val="16"/>
          <w:szCs w:val="16"/>
          <w:lang w:eastAsia="et-EE"/>
        </w:rPr>
        <w:t>. 2008;31:1071-1078.</w:t>
      </w:r>
    </w:p>
    <w:p w:rsidR="00D7274C" w:rsidRDefault="00F4138E">
      <w:pPr>
        <w:spacing w:after="0" w:line="100" w:lineRule="atLeast"/>
      </w:pPr>
      <w:r>
        <w:rPr>
          <w:rFonts w:ascii="Times-Roman" w:hAnsi="Times-Roman" w:cs="Times-Roman"/>
          <w:color w:val="231F20"/>
          <w:sz w:val="16"/>
          <w:szCs w:val="16"/>
          <w:lang w:eastAsia="et-EE"/>
        </w:rPr>
        <w:t>Marshall NS, Wong KK, Liu PY, et al. Sleep apnea as an independent</w:t>
      </w:r>
    </w:p>
    <w:p w:rsidR="00D7274C" w:rsidRDefault="00F4138E">
      <w:pPr>
        <w:spacing w:after="0" w:line="100" w:lineRule="atLeast"/>
      </w:pPr>
      <w:r>
        <w:rPr>
          <w:rFonts w:ascii="Times-Roman" w:hAnsi="Times-Roman" w:cs="Times-Roman"/>
          <w:color w:val="231F20"/>
          <w:sz w:val="16"/>
          <w:szCs w:val="16"/>
          <w:lang w:eastAsia="et-EE"/>
        </w:rPr>
        <w:t xml:space="preserve">risk factor for all-cause mortality: the Busselton Health Study. </w:t>
      </w:r>
      <w:r>
        <w:rPr>
          <w:rFonts w:ascii="Times-Italic" w:hAnsi="Times-Italic" w:cs="Times-Italic"/>
          <w:i/>
          <w:iCs/>
          <w:color w:val="231F20"/>
          <w:sz w:val="16"/>
          <w:szCs w:val="16"/>
          <w:lang w:eastAsia="et-EE"/>
        </w:rPr>
        <w:t>Sleep</w:t>
      </w:r>
      <w:r>
        <w:rPr>
          <w:rFonts w:ascii="Times-Roman" w:hAnsi="Times-Roman" w:cs="Times-Roman"/>
          <w:color w:val="231F20"/>
          <w:sz w:val="16"/>
          <w:szCs w:val="16"/>
          <w:lang w:eastAsia="et-EE"/>
        </w:rPr>
        <w:t>.</w:t>
      </w:r>
    </w:p>
    <w:p w:rsidR="00D7274C" w:rsidRDefault="00F4138E">
      <w:r>
        <w:rPr>
          <w:rFonts w:ascii="Times-Roman" w:hAnsi="Times-Roman" w:cs="Times-Roman"/>
          <w:color w:val="231F20"/>
          <w:sz w:val="16"/>
          <w:szCs w:val="16"/>
          <w:lang w:eastAsia="et-EE"/>
        </w:rPr>
        <w:t>2008;31:1079-1085.</w:t>
      </w:r>
    </w:p>
    <w:p w:rsidR="00D7274C" w:rsidRDefault="00F4138E">
      <w:pPr>
        <w:spacing w:after="0" w:line="100" w:lineRule="atLeast"/>
      </w:pPr>
      <w:r>
        <w:rPr>
          <w:rFonts w:ascii="Times-Roman" w:hAnsi="Times-Roman" w:cs="Times-Roman"/>
          <w:color w:val="231F20"/>
          <w:sz w:val="16"/>
          <w:szCs w:val="16"/>
          <w:lang w:eastAsia="et-EE"/>
        </w:rPr>
        <w:t>Buchner NJ, Sanner BM, Borgel J, Rump LC. Continuous positive</w:t>
      </w:r>
    </w:p>
    <w:p w:rsidR="00D7274C" w:rsidRDefault="00F4138E">
      <w:pPr>
        <w:spacing w:after="0" w:line="100" w:lineRule="atLeast"/>
      </w:pPr>
      <w:r>
        <w:rPr>
          <w:rFonts w:ascii="Times-Roman" w:hAnsi="Times-Roman" w:cs="Times-Roman"/>
          <w:color w:val="231F20"/>
          <w:sz w:val="16"/>
          <w:szCs w:val="16"/>
          <w:lang w:eastAsia="et-EE"/>
        </w:rPr>
        <w:t>airway pressure treatment of mild to moderate obstructive sleep apnea</w:t>
      </w:r>
    </w:p>
    <w:p w:rsidR="00D7274C" w:rsidRDefault="00F4138E">
      <w:pPr>
        <w:spacing w:after="0" w:line="100" w:lineRule="atLeast"/>
      </w:pPr>
      <w:r>
        <w:rPr>
          <w:rFonts w:ascii="Times-Roman" w:hAnsi="Times-Roman" w:cs="Times-Roman"/>
          <w:color w:val="231F20"/>
          <w:sz w:val="16"/>
          <w:szCs w:val="16"/>
          <w:lang w:eastAsia="et-EE"/>
        </w:rPr>
        <w:t xml:space="preserve">reduces cardiovascular risk. </w:t>
      </w:r>
      <w:r>
        <w:rPr>
          <w:rFonts w:ascii="Times-Italic" w:hAnsi="Times-Italic" w:cs="Times-Italic"/>
          <w:i/>
          <w:iCs/>
          <w:color w:val="231F20"/>
          <w:sz w:val="16"/>
          <w:szCs w:val="16"/>
          <w:lang w:eastAsia="et-EE"/>
        </w:rPr>
        <w:t>Am J</w:t>
      </w:r>
      <w:r>
        <w:rPr>
          <w:rFonts w:ascii="Times-Italic" w:hAnsi="Times-Italic" w:cs="Times-Italic"/>
          <w:i/>
          <w:iCs/>
          <w:color w:val="231F20"/>
          <w:sz w:val="16"/>
          <w:szCs w:val="16"/>
          <w:lang w:eastAsia="et-EE"/>
        </w:rPr>
        <w:t xml:space="preserve"> Respir Crit Care Med</w:t>
      </w:r>
      <w:r>
        <w:rPr>
          <w:rFonts w:ascii="Times-Roman" w:hAnsi="Times-Roman" w:cs="Times-Roman"/>
          <w:color w:val="231F20"/>
          <w:sz w:val="16"/>
          <w:szCs w:val="16"/>
          <w:lang w:eastAsia="et-EE"/>
        </w:rPr>
        <w:t>. 2007;176:</w:t>
      </w:r>
    </w:p>
    <w:p w:rsidR="00D7274C" w:rsidRDefault="00F4138E">
      <w:r>
        <w:rPr>
          <w:rFonts w:ascii="Times-Roman" w:hAnsi="Times-Roman" w:cs="Times-Roman"/>
          <w:color w:val="231F20"/>
          <w:sz w:val="16"/>
          <w:szCs w:val="16"/>
          <w:lang w:eastAsia="et-EE"/>
        </w:rPr>
        <w:t>1274-1280.</w:t>
      </w:r>
    </w:p>
    <w:p w:rsidR="00D7274C" w:rsidRPr="00FB1644" w:rsidRDefault="00F4138E">
      <w:pPr>
        <w:pStyle w:val="Heading1"/>
        <w:shd w:val="clear" w:color="auto" w:fill="FFFFFF"/>
        <w:spacing w:line="270" w:lineRule="atLeast"/>
        <w:rPr>
          <w:rFonts w:cs="Times New Roman"/>
          <w:sz w:val="16"/>
          <w:szCs w:val="16"/>
        </w:rPr>
      </w:pPr>
      <w:r w:rsidRPr="00FB1644">
        <w:rPr>
          <w:rFonts w:cs="Times New Roman"/>
          <w:b w:val="0"/>
          <w:sz w:val="16"/>
          <w:szCs w:val="16"/>
          <w:shd w:val="clear" w:color="auto" w:fill="FFFFFF"/>
        </w:rPr>
        <w:t>Health Quality Ontario</w:t>
      </w:r>
      <w:r w:rsidRPr="00FB1644">
        <w:rPr>
          <w:rFonts w:cs="Times New Roman"/>
          <w:b w:val="0"/>
          <w:sz w:val="16"/>
          <w:szCs w:val="16"/>
          <w:shd w:val="clear" w:color="auto" w:fill="FFFFFF"/>
        </w:rPr>
        <w:t xml:space="preserve">. 2006 </w:t>
      </w:r>
      <w:r w:rsidRPr="00FB1644">
        <w:rPr>
          <w:rFonts w:cs="Times New Roman"/>
          <w:b w:val="0"/>
          <w:sz w:val="16"/>
          <w:szCs w:val="16"/>
        </w:rPr>
        <w:t>Polysomnography in patients with obstructive sleep apnea: an evidence-based analysis.</w:t>
      </w:r>
    </w:p>
    <w:p w:rsidR="00D7274C" w:rsidRPr="00FB1644" w:rsidRDefault="00F4138E">
      <w:pPr>
        <w:spacing w:after="0" w:line="100" w:lineRule="atLeast"/>
        <w:rPr>
          <w:rFonts w:ascii="Times New Roman" w:hAnsi="Times New Roman" w:cs="Times New Roman"/>
          <w:sz w:val="16"/>
          <w:szCs w:val="16"/>
        </w:rPr>
      </w:pPr>
      <w:r w:rsidRPr="00FB1644">
        <w:rPr>
          <w:rFonts w:ascii="Times New Roman" w:hAnsi="Times New Roman" w:cs="Times New Roman"/>
          <w:sz w:val="16"/>
          <w:szCs w:val="16"/>
        </w:rPr>
        <w:t xml:space="preserve">Greenburg et al 2009 </w:t>
      </w:r>
      <w:r w:rsidRPr="00FB1644">
        <w:rPr>
          <w:rFonts w:ascii="Times New Roman" w:hAnsi="Times New Roman" w:cs="Times New Roman"/>
          <w:bCs/>
          <w:sz w:val="16"/>
          <w:szCs w:val="16"/>
          <w:lang w:eastAsia="et-EE"/>
        </w:rPr>
        <w:t>Effects of Surgical Weight Loss on Measures of</w:t>
      </w:r>
    </w:p>
    <w:p w:rsidR="00D7274C" w:rsidRPr="00FB1644" w:rsidRDefault="00F4138E">
      <w:pPr>
        <w:pStyle w:val="Heading1"/>
        <w:shd w:val="clear" w:color="auto" w:fill="FFFFFF"/>
        <w:spacing w:line="270" w:lineRule="atLeast"/>
        <w:rPr>
          <w:rFonts w:cs="Times New Roman"/>
          <w:sz w:val="16"/>
          <w:szCs w:val="16"/>
        </w:rPr>
      </w:pPr>
      <w:r w:rsidRPr="00FB1644">
        <w:rPr>
          <w:rFonts w:cs="Times New Roman"/>
          <w:b w:val="0"/>
          <w:bCs w:val="0"/>
          <w:sz w:val="16"/>
          <w:szCs w:val="16"/>
        </w:rPr>
        <w:t xml:space="preserve">Obstructive Sleep Apnea: A </w:t>
      </w:r>
      <w:r w:rsidRPr="00FB1644">
        <w:rPr>
          <w:rFonts w:cs="Times New Roman"/>
          <w:b w:val="0"/>
          <w:bCs w:val="0"/>
          <w:sz w:val="16"/>
          <w:szCs w:val="16"/>
        </w:rPr>
        <w:t>Meta-Analysis. The American Journal of medicine</w:t>
      </w:r>
    </w:p>
    <w:p w:rsidR="00D7274C" w:rsidRDefault="00D7274C"/>
    <w:sectPr w:rsidR="00D7274C" w:rsidSect="00D7274C">
      <w:headerReference w:type="default" r:id="rId7"/>
      <w:footerReference w:type="default" r:id="rId8"/>
      <w:pgSz w:w="12240" w:h="15840"/>
      <w:pgMar w:top="1440" w:right="1800" w:bottom="1440" w:left="1800" w:header="720" w:footer="72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38E" w:rsidRDefault="00F4138E" w:rsidP="00D7274C">
      <w:pPr>
        <w:spacing w:after="0" w:line="240" w:lineRule="auto"/>
      </w:pPr>
      <w:r>
        <w:separator/>
      </w:r>
    </w:p>
  </w:endnote>
  <w:endnote w:type="continuationSeparator" w:id="1">
    <w:p w:rsidR="00F4138E" w:rsidRDefault="00F4138E" w:rsidP="00D72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3713a231+20">
    <w:altName w:val="Times New Roman"/>
    <w:panose1 w:val="00000000000000000000"/>
    <w:charset w:val="00"/>
    <w:family w:val="roman"/>
    <w:notTrueType/>
    <w:pitch w:val="default"/>
    <w:sig w:usb0="00000003" w:usb1="00000000" w:usb2="00000000" w:usb3="00000000" w:csb0="00000001" w:csb1="00000000"/>
  </w:font>
  <w:font w:name="Arial1">
    <w:altName w:val="Times New Roman"/>
    <w:panose1 w:val="00000000000000000000"/>
    <w:charset w:val="00"/>
    <w:family w:val="roman"/>
    <w:notTrueType/>
    <w:pitch w:val="variable"/>
    <w:sig w:usb0="00000003" w:usb1="00000000" w:usb2="00000000" w:usb3="00000000" w:csb0="00000001" w:csb1="00000000"/>
  </w:font>
  <w:font w:name="AdvTT73efd071">
    <w:panose1 w:val="00000000000000000000"/>
    <w:charset w:val="00"/>
    <w:family w:val="roman"/>
    <w:notTrueType/>
    <w:pitch w:val="default"/>
    <w:sig w:usb0="00000000" w:usb1="00000000" w:usb2="00000000" w:usb3="00000000" w:csb0="00000000" w:csb1="00000000"/>
  </w:font>
  <w:font w:name="AGaramond-Regular1">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Garamond-Regular">
    <w:altName w:val="Times New Roman"/>
    <w:panose1 w:val="00000000000000000000"/>
    <w:charset w:val="00"/>
    <w:family w:val="roman"/>
    <w:notTrueType/>
    <w:pitch w:val="variable"/>
    <w:sig w:usb0="00000003" w:usb1="00000000" w:usb2="00000000" w:usb3="00000000" w:csb0="00000001" w:csb1="00000000"/>
  </w:font>
  <w:font w:name="Berkeley-Medium">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AdvP6975">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dvPTimes">
    <w:altName w:val="Times New Roman"/>
    <w:panose1 w:val="00000000000000000000"/>
    <w:charset w:val="00"/>
    <w:family w:val="roman"/>
    <w:notTrueType/>
    <w:pitch w:val="default"/>
    <w:sig w:usb0="00000000" w:usb1="00000000" w:usb2="00000000" w:usb3="00000000" w:csb0="00000000" w:csb1="00000000"/>
  </w:font>
  <w:font w:name="AGaramond-Bold">
    <w:altName w:val="Times New Roman"/>
    <w:panose1 w:val="00000000000000000000"/>
    <w:charset w:val="00"/>
    <w:family w:val="roman"/>
    <w:notTrueType/>
    <w:pitch w:val="default"/>
    <w:sig w:usb0="00000000" w:usb1="00000000" w:usb2="00000000" w:usb3="00000000" w:csb0="00000000" w:csb1="00000000"/>
  </w:font>
  <w:font w:name="AdvTNR">
    <w:altName w:val="Times New Roman"/>
    <w:panose1 w:val="00000000000000000000"/>
    <w:charset w:val="00"/>
    <w:family w:val="roman"/>
    <w:notTrueType/>
    <w:pitch w:val="default"/>
    <w:sig w:usb0="00000000" w:usb1="00000000" w:usb2="00000000" w:usb3="00000000" w:csb0="00000000" w:csb1="00000000"/>
  </w:font>
  <w:font w:name="AdvTNR-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4C" w:rsidRDefault="00D7274C">
    <w:pPr>
      <w:pStyle w:val="Footer"/>
      <w:jc w:val="right"/>
    </w:pPr>
    <w:r>
      <w:fldChar w:fldCharType="begin"/>
    </w:r>
    <w:r w:rsidR="00F4138E">
      <w:instrText>PAGE</w:instrText>
    </w:r>
    <w:r>
      <w:fldChar w:fldCharType="separate"/>
    </w:r>
    <w:r w:rsidR="00FB1644">
      <w:rPr>
        <w:noProof/>
      </w:rPr>
      <w:t>9</w:t>
    </w:r>
    <w:r>
      <w:fldChar w:fldCharType="end"/>
    </w:r>
  </w:p>
  <w:p w:rsidR="00D7274C" w:rsidRDefault="00D727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38E" w:rsidRDefault="00F4138E" w:rsidP="00D7274C">
      <w:pPr>
        <w:spacing w:after="0" w:line="240" w:lineRule="auto"/>
      </w:pPr>
      <w:r>
        <w:separator/>
      </w:r>
    </w:p>
  </w:footnote>
  <w:footnote w:type="continuationSeparator" w:id="1">
    <w:p w:rsidR="00F4138E" w:rsidRDefault="00F4138E" w:rsidP="00D727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4C" w:rsidRDefault="00F4138E">
    <w:pPr>
      <w:pStyle w:val="Header"/>
    </w:pPr>
    <w:r>
      <w:rPr>
        <w:rFonts w:ascii="Times New Roman" w:hAnsi="Times New Roman"/>
        <w:b/>
      </w:rPr>
      <w:t>Bariaatria_K8_EvSu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71829"/>
    <w:multiLevelType w:val="multilevel"/>
    <w:tmpl w:val="15BAD9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B361075"/>
    <w:multiLevelType w:val="multilevel"/>
    <w:tmpl w:val="06567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characterSpacingControl w:val="doNotCompress"/>
  <w:footnotePr>
    <w:footnote w:id="0"/>
    <w:footnote w:id="1"/>
  </w:footnotePr>
  <w:endnotePr>
    <w:endnote w:id="0"/>
    <w:endnote w:id="1"/>
  </w:endnotePr>
  <w:compat>
    <w:useFELayout/>
  </w:compat>
  <w:rsids>
    <w:rsidRoot w:val="00D7274C"/>
    <w:rsid w:val="00D7274C"/>
    <w:rsid w:val="00F4138E"/>
    <w:rsid w:val="00FB1644"/>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274C"/>
    <w:pPr>
      <w:suppressAutoHyphens/>
    </w:pPr>
    <w:rPr>
      <w:rFonts w:ascii="Arial" w:eastAsia="Calibri" w:hAnsi="Arial" w:cs="Arial"/>
      <w:color w:val="000000"/>
      <w:sz w:val="24"/>
      <w:szCs w:val="24"/>
      <w:lang w:val="en-US" w:eastAsia="en-US"/>
    </w:rPr>
  </w:style>
  <w:style w:type="paragraph" w:styleId="Heading1">
    <w:name w:val="heading 1"/>
    <w:basedOn w:val="Normal"/>
    <w:next w:val="Textbody"/>
    <w:rsid w:val="00D7274C"/>
    <w:pPr>
      <w:spacing w:before="28" w:after="28" w:line="100" w:lineRule="atLeast"/>
      <w:outlineLvl w:val="0"/>
    </w:pPr>
    <w:rPr>
      <w:rFonts w:ascii="Times New Roman" w:hAnsi="Times New Roman"/>
      <w:b/>
      <w:bCs/>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1">
    <w:name w:val="T1"/>
    <w:rsid w:val="00D7274C"/>
    <w:rPr>
      <w:color w:val="131413"/>
    </w:rPr>
  </w:style>
  <w:style w:type="character" w:customStyle="1" w:styleId="T2">
    <w:name w:val="T2"/>
    <w:rsid w:val="00D7274C"/>
    <w:rPr>
      <w:rFonts w:ascii="AdvTT3713a231" w:hAnsi="AdvTT3713a231"/>
      <w:color w:val="131413"/>
      <w:sz w:val="20"/>
    </w:rPr>
  </w:style>
  <w:style w:type="character" w:customStyle="1" w:styleId="T3">
    <w:name w:val="T3"/>
    <w:rsid w:val="00D7274C"/>
    <w:rPr>
      <w:rFonts w:ascii="AdvTT3713a231" w:hAnsi="AdvTT3713a231"/>
      <w:color w:val="131413"/>
      <w:sz w:val="20"/>
    </w:rPr>
  </w:style>
  <w:style w:type="character" w:customStyle="1" w:styleId="T4">
    <w:name w:val="T4"/>
    <w:rsid w:val="00D7274C"/>
    <w:rPr>
      <w:rFonts w:ascii="AdvTT3713a231+20" w:hAnsi="AdvTT3713a231+20"/>
      <w:color w:val="131413"/>
      <w:sz w:val="20"/>
    </w:rPr>
  </w:style>
  <w:style w:type="character" w:customStyle="1" w:styleId="T5">
    <w:name w:val="T5"/>
    <w:rsid w:val="00D7274C"/>
    <w:rPr>
      <w:rFonts w:eastAsia="Arial1" w:cs="Arial1"/>
      <w:color w:val="131413"/>
    </w:rPr>
  </w:style>
  <w:style w:type="character" w:customStyle="1" w:styleId="T6">
    <w:name w:val="T6"/>
    <w:rsid w:val="00D7274C"/>
    <w:rPr>
      <w:rFonts w:eastAsia="Arial1" w:cs="Arial1"/>
      <w:color w:val="131413"/>
    </w:rPr>
  </w:style>
  <w:style w:type="character" w:customStyle="1" w:styleId="T7">
    <w:name w:val="T7"/>
    <w:rsid w:val="00D7274C"/>
    <w:rPr>
      <w:rFonts w:ascii="AdvTT73efd071" w:eastAsia="Arial1" w:hAnsi="AdvTT73efd071" w:cs="Arial1"/>
      <w:color w:val="131413"/>
      <w:sz w:val="18"/>
    </w:rPr>
  </w:style>
  <w:style w:type="character" w:customStyle="1" w:styleId="T8">
    <w:name w:val="T8"/>
    <w:rsid w:val="00D7274C"/>
    <w:rPr>
      <w:rFonts w:ascii="Arial" w:hAnsi="Arial"/>
      <w:color w:val="131413"/>
      <w:sz w:val="20"/>
    </w:rPr>
  </w:style>
  <w:style w:type="character" w:customStyle="1" w:styleId="T9">
    <w:name w:val="T9"/>
    <w:rsid w:val="00D7274C"/>
    <w:rPr>
      <w:rFonts w:ascii="Arial" w:eastAsia="Arial1" w:hAnsi="Arial" w:cs="Arial1"/>
      <w:color w:val="131413"/>
      <w:sz w:val="20"/>
    </w:rPr>
  </w:style>
  <w:style w:type="character" w:customStyle="1" w:styleId="T10">
    <w:name w:val="T10"/>
    <w:rsid w:val="00D7274C"/>
    <w:rPr>
      <w:sz w:val="18"/>
    </w:rPr>
  </w:style>
  <w:style w:type="character" w:customStyle="1" w:styleId="T11">
    <w:name w:val="T11"/>
    <w:rsid w:val="00D7274C"/>
    <w:rPr>
      <w:sz w:val="20"/>
    </w:rPr>
  </w:style>
  <w:style w:type="character" w:customStyle="1" w:styleId="T12">
    <w:name w:val="T12"/>
    <w:rsid w:val="00D7274C"/>
  </w:style>
  <w:style w:type="character" w:customStyle="1" w:styleId="T13">
    <w:name w:val="T13"/>
    <w:rsid w:val="00D7274C"/>
  </w:style>
  <w:style w:type="character" w:customStyle="1" w:styleId="T14">
    <w:name w:val="T14"/>
    <w:rsid w:val="00D7274C"/>
    <w:rPr>
      <w:color w:val="00000A"/>
    </w:rPr>
  </w:style>
  <w:style w:type="character" w:customStyle="1" w:styleId="T15">
    <w:name w:val="T15"/>
    <w:rsid w:val="00D7274C"/>
    <w:rPr>
      <w:rFonts w:ascii="AGaramond-Regular1" w:hAnsi="AGaramond-Regular1"/>
      <w:color w:val="00000A"/>
      <w:sz w:val="18"/>
    </w:rPr>
  </w:style>
  <w:style w:type="character" w:customStyle="1" w:styleId="T16">
    <w:name w:val="T16"/>
    <w:rsid w:val="00D7274C"/>
  </w:style>
  <w:style w:type="character" w:customStyle="1" w:styleId="T17">
    <w:name w:val="T17"/>
    <w:rsid w:val="00D7274C"/>
    <w:rPr>
      <w:rFonts w:ascii="AGaramond-Regular1" w:hAnsi="AGaramond-Regular1"/>
      <w:color w:val="0000FF"/>
      <w:sz w:val="18"/>
    </w:rPr>
  </w:style>
  <w:style w:type="character" w:customStyle="1" w:styleId="T18">
    <w:name w:val="T18"/>
    <w:rsid w:val="00D7274C"/>
    <w:rPr>
      <w:rFonts w:ascii="AGaramond-Regular1" w:hAnsi="AGaramond-Regular1"/>
      <w:sz w:val="18"/>
    </w:rPr>
  </w:style>
  <w:style w:type="character" w:customStyle="1" w:styleId="T19">
    <w:name w:val="T19"/>
    <w:rsid w:val="00D7274C"/>
  </w:style>
  <w:style w:type="character" w:customStyle="1" w:styleId="T20">
    <w:name w:val="T20"/>
    <w:rsid w:val="00D7274C"/>
    <w:rPr>
      <w:rFonts w:ascii="Times-Roman" w:hAnsi="Times-Roman"/>
      <w:sz w:val="22"/>
    </w:rPr>
  </w:style>
  <w:style w:type="character" w:customStyle="1" w:styleId="HeaderChar">
    <w:name w:val="Header Char"/>
    <w:rsid w:val="00D7274C"/>
    <w:rPr>
      <w:rFonts w:ascii="Calibri" w:hAnsi="Calibri"/>
      <w:sz w:val="22"/>
      <w:szCs w:val="22"/>
      <w:lang w:eastAsia="en-US"/>
    </w:rPr>
  </w:style>
  <w:style w:type="character" w:customStyle="1" w:styleId="FooterChar">
    <w:name w:val="Footer Char"/>
    <w:rsid w:val="00D7274C"/>
    <w:rPr>
      <w:rFonts w:ascii="Calibri" w:hAnsi="Calibri"/>
      <w:sz w:val="22"/>
      <w:szCs w:val="22"/>
      <w:lang w:eastAsia="en-US"/>
    </w:rPr>
  </w:style>
  <w:style w:type="character" w:customStyle="1" w:styleId="InternetLink">
    <w:name w:val="Internet Link"/>
    <w:basedOn w:val="DefaultParagraphFont"/>
    <w:rsid w:val="00D7274C"/>
    <w:rPr>
      <w:color w:val="0000FF"/>
      <w:u w:val="single"/>
      <w:lang w:val="en-US" w:eastAsia="en-US" w:bidi="en-US"/>
    </w:rPr>
  </w:style>
  <w:style w:type="character" w:customStyle="1" w:styleId="Heading1Char">
    <w:name w:val="Heading 1 Char"/>
    <w:basedOn w:val="DefaultParagraphFont"/>
    <w:rsid w:val="00D7274C"/>
    <w:rPr>
      <w:b/>
      <w:bCs/>
      <w:sz w:val="48"/>
      <w:szCs w:val="48"/>
    </w:rPr>
  </w:style>
  <w:style w:type="paragraph" w:customStyle="1" w:styleId="Heading">
    <w:name w:val="Heading"/>
    <w:basedOn w:val="Normal"/>
    <w:next w:val="Textbody"/>
    <w:rsid w:val="00D7274C"/>
    <w:pPr>
      <w:keepNext/>
      <w:spacing w:before="240" w:after="120"/>
    </w:pPr>
    <w:rPr>
      <w:rFonts w:eastAsia="Microsoft YaHei" w:cs="Mangal"/>
      <w:sz w:val="28"/>
      <w:szCs w:val="28"/>
    </w:rPr>
  </w:style>
  <w:style w:type="paragraph" w:customStyle="1" w:styleId="Textbody">
    <w:name w:val="Text body"/>
    <w:basedOn w:val="Normal"/>
    <w:rsid w:val="00D7274C"/>
    <w:pPr>
      <w:spacing w:after="120"/>
    </w:pPr>
  </w:style>
  <w:style w:type="paragraph" w:styleId="List">
    <w:name w:val="List"/>
    <w:basedOn w:val="Textbody"/>
    <w:rsid w:val="00D7274C"/>
    <w:rPr>
      <w:rFonts w:cs="Mangal"/>
    </w:rPr>
  </w:style>
  <w:style w:type="paragraph" w:styleId="Caption">
    <w:name w:val="caption"/>
    <w:basedOn w:val="Normal"/>
    <w:rsid w:val="00D7274C"/>
    <w:pPr>
      <w:suppressLineNumbers/>
      <w:spacing w:before="120" w:after="120"/>
    </w:pPr>
    <w:rPr>
      <w:rFonts w:cs="Mangal"/>
      <w:i/>
      <w:iCs/>
    </w:rPr>
  </w:style>
  <w:style w:type="paragraph" w:customStyle="1" w:styleId="Index">
    <w:name w:val="Index"/>
    <w:basedOn w:val="Normal"/>
    <w:rsid w:val="00D7274C"/>
    <w:pPr>
      <w:suppressLineNumbers/>
    </w:pPr>
    <w:rPr>
      <w:rFonts w:cs="Mangal"/>
    </w:rPr>
  </w:style>
  <w:style w:type="paragraph" w:customStyle="1" w:styleId="wNormal">
    <w:name w:val="wNormal"/>
    <w:basedOn w:val="Normal"/>
    <w:rsid w:val="00D7274C"/>
    <w:pPr>
      <w:widowControl w:val="0"/>
      <w:spacing w:after="0" w:line="100" w:lineRule="atLeast"/>
    </w:pPr>
    <w:rPr>
      <w:rFonts w:ascii="Times New Roman" w:hAnsi="Times New Roman"/>
      <w:szCs w:val="20"/>
    </w:rPr>
  </w:style>
  <w:style w:type="paragraph" w:customStyle="1" w:styleId="P1">
    <w:name w:val="P1"/>
    <w:basedOn w:val="wNormal"/>
    <w:rsid w:val="00D7274C"/>
    <w:rPr>
      <w:rFonts w:ascii="Arial1" w:eastAsia="Arial1" w:hAnsi="Arial1" w:cs="Arial1"/>
    </w:rPr>
  </w:style>
  <w:style w:type="paragraph" w:customStyle="1" w:styleId="P2">
    <w:name w:val="P2"/>
    <w:basedOn w:val="wNormal"/>
    <w:rsid w:val="00D7274C"/>
    <w:rPr>
      <w:rFonts w:ascii="Arial1" w:eastAsia="Arial1" w:hAnsi="Arial1" w:cs="Arial1"/>
    </w:rPr>
  </w:style>
  <w:style w:type="paragraph" w:customStyle="1" w:styleId="P3">
    <w:name w:val="P3"/>
    <w:basedOn w:val="wNormal"/>
    <w:rsid w:val="00D7274C"/>
    <w:rPr>
      <w:rFonts w:ascii="Arial1" w:eastAsia="Arial1" w:hAnsi="Arial1" w:cs="Arial1"/>
    </w:rPr>
  </w:style>
  <w:style w:type="paragraph" w:customStyle="1" w:styleId="P4">
    <w:name w:val="P4"/>
    <w:basedOn w:val="wNormal"/>
    <w:rsid w:val="00D7274C"/>
    <w:rPr>
      <w:rFonts w:ascii="Arial1" w:eastAsia="Arial1" w:hAnsi="Arial1" w:cs="Arial1"/>
      <w:sz w:val="20"/>
    </w:rPr>
  </w:style>
  <w:style w:type="paragraph" w:customStyle="1" w:styleId="P5">
    <w:name w:val="P5"/>
    <w:basedOn w:val="wNormal"/>
    <w:rsid w:val="00D7274C"/>
    <w:rPr>
      <w:rFonts w:ascii="Arial1" w:eastAsia="Arial1" w:hAnsi="Arial1" w:cs="Arial1"/>
      <w:sz w:val="20"/>
    </w:rPr>
  </w:style>
  <w:style w:type="paragraph" w:customStyle="1" w:styleId="P6">
    <w:name w:val="P6"/>
    <w:basedOn w:val="wNormal"/>
    <w:rsid w:val="00D7274C"/>
    <w:rPr>
      <w:rFonts w:ascii="Arial1" w:eastAsia="Arial1" w:hAnsi="Arial1" w:cs="Arial1"/>
      <w:sz w:val="20"/>
    </w:rPr>
  </w:style>
  <w:style w:type="paragraph" w:customStyle="1" w:styleId="P7">
    <w:name w:val="P7"/>
    <w:basedOn w:val="wNormal"/>
    <w:rsid w:val="00D7274C"/>
    <w:rPr>
      <w:rFonts w:ascii="Arial1" w:eastAsia="Arial1" w:hAnsi="Arial1" w:cs="Arial1"/>
      <w:sz w:val="20"/>
    </w:rPr>
  </w:style>
  <w:style w:type="paragraph" w:customStyle="1" w:styleId="P8">
    <w:name w:val="P8"/>
    <w:basedOn w:val="wNormal"/>
    <w:rsid w:val="00D7274C"/>
    <w:rPr>
      <w:rFonts w:ascii="Arial1" w:eastAsia="Arial1" w:hAnsi="Arial1" w:cs="Arial1"/>
      <w:b/>
      <w:sz w:val="20"/>
    </w:rPr>
  </w:style>
  <w:style w:type="paragraph" w:customStyle="1" w:styleId="P9">
    <w:name w:val="P9"/>
    <w:basedOn w:val="wNormal"/>
    <w:rsid w:val="00D7274C"/>
    <w:pPr>
      <w:jc w:val="center"/>
    </w:pPr>
    <w:rPr>
      <w:rFonts w:ascii="Arial1" w:eastAsia="Arial1" w:hAnsi="Arial1" w:cs="Arial1"/>
      <w:b/>
    </w:rPr>
  </w:style>
  <w:style w:type="paragraph" w:customStyle="1" w:styleId="P10">
    <w:name w:val="P10"/>
    <w:basedOn w:val="wNormal"/>
    <w:rsid w:val="00D7274C"/>
    <w:pPr>
      <w:tabs>
        <w:tab w:val="left" w:pos="0"/>
      </w:tabs>
      <w:jc w:val="center"/>
    </w:pPr>
    <w:rPr>
      <w:rFonts w:ascii="Arial1" w:eastAsia="Arial1" w:hAnsi="Arial1" w:cs="Arial1"/>
      <w:b/>
    </w:rPr>
  </w:style>
  <w:style w:type="paragraph" w:customStyle="1" w:styleId="P11">
    <w:name w:val="P11"/>
    <w:basedOn w:val="wNormal"/>
    <w:rsid w:val="00D7274C"/>
    <w:pPr>
      <w:jc w:val="center"/>
    </w:pPr>
    <w:rPr>
      <w:rFonts w:ascii="Arial1" w:eastAsia="Arial1" w:hAnsi="Arial1" w:cs="Arial1"/>
      <w:b/>
      <w:sz w:val="22"/>
    </w:rPr>
  </w:style>
  <w:style w:type="paragraph" w:customStyle="1" w:styleId="P12">
    <w:name w:val="P12"/>
    <w:basedOn w:val="wNormal"/>
    <w:rsid w:val="00D7274C"/>
    <w:pPr>
      <w:tabs>
        <w:tab w:val="left" w:pos="0"/>
      </w:tabs>
      <w:jc w:val="center"/>
    </w:pPr>
    <w:rPr>
      <w:rFonts w:ascii="Arial1" w:eastAsia="Arial1" w:hAnsi="Arial1" w:cs="Arial1"/>
      <w:b/>
      <w:sz w:val="22"/>
    </w:rPr>
  </w:style>
  <w:style w:type="paragraph" w:customStyle="1" w:styleId="P13">
    <w:name w:val="P13"/>
    <w:basedOn w:val="wNormal"/>
    <w:rsid w:val="00D7274C"/>
    <w:pPr>
      <w:jc w:val="center"/>
    </w:pPr>
    <w:rPr>
      <w:rFonts w:ascii="Arial1" w:eastAsia="Arial1" w:hAnsi="Arial1" w:cs="Arial1"/>
      <w:b/>
      <w:sz w:val="22"/>
    </w:rPr>
  </w:style>
  <w:style w:type="paragraph" w:customStyle="1" w:styleId="P14">
    <w:name w:val="P14"/>
    <w:basedOn w:val="wNormal"/>
    <w:rsid w:val="00D7274C"/>
    <w:rPr>
      <w:rFonts w:ascii="AGaramond-Regular" w:eastAsia="AGaramond-Regular" w:hAnsi="AGaramond-Regular" w:cs="AGaramond-Regular"/>
      <w:sz w:val="18"/>
    </w:rPr>
  </w:style>
  <w:style w:type="paragraph" w:customStyle="1" w:styleId="P15">
    <w:name w:val="P15"/>
    <w:basedOn w:val="wNormal"/>
    <w:rsid w:val="00D7274C"/>
    <w:rPr>
      <w:rFonts w:ascii="AGaramond-Regular" w:eastAsia="AGaramond-Regular" w:hAnsi="AGaramond-Regular" w:cs="AGaramond-Regular"/>
      <w:b/>
      <w:sz w:val="18"/>
    </w:rPr>
  </w:style>
  <w:style w:type="paragraph" w:customStyle="1" w:styleId="P16">
    <w:name w:val="P16"/>
    <w:basedOn w:val="wNormal"/>
    <w:rsid w:val="00D7274C"/>
    <w:rPr>
      <w:rFonts w:ascii="AGaramond-Regular" w:eastAsia="AGaramond-Regular" w:hAnsi="AGaramond-Regular" w:cs="AGaramond-Regular"/>
    </w:rPr>
  </w:style>
  <w:style w:type="paragraph" w:customStyle="1" w:styleId="P17">
    <w:name w:val="P17"/>
    <w:basedOn w:val="wNormal"/>
    <w:rsid w:val="00D7274C"/>
  </w:style>
  <w:style w:type="paragraph" w:customStyle="1" w:styleId="P18">
    <w:name w:val="P18"/>
    <w:basedOn w:val="wNormal"/>
    <w:rsid w:val="00D7274C"/>
    <w:rPr>
      <w:b/>
    </w:rPr>
  </w:style>
  <w:style w:type="paragraph" w:customStyle="1" w:styleId="P19">
    <w:name w:val="P19"/>
    <w:basedOn w:val="wNormal"/>
    <w:rsid w:val="00D7274C"/>
    <w:rPr>
      <w:rFonts w:ascii="Arial" w:eastAsia="Arial1" w:hAnsi="Arial" w:cs="Arial1"/>
      <w:sz w:val="20"/>
    </w:rPr>
  </w:style>
  <w:style w:type="paragraph" w:customStyle="1" w:styleId="P20">
    <w:name w:val="P20"/>
    <w:basedOn w:val="wNormal"/>
    <w:rsid w:val="00D7274C"/>
    <w:rPr>
      <w:rFonts w:ascii="Arial" w:eastAsia="Arial1" w:hAnsi="Arial" w:cs="Arial1"/>
      <w:sz w:val="20"/>
    </w:rPr>
  </w:style>
  <w:style w:type="paragraph" w:customStyle="1" w:styleId="P21">
    <w:name w:val="P21"/>
    <w:basedOn w:val="wNormal"/>
    <w:rsid w:val="00D7274C"/>
    <w:rPr>
      <w:rFonts w:ascii="Arial" w:eastAsia="Arial1" w:hAnsi="Arial" w:cs="Arial1"/>
      <w:sz w:val="20"/>
    </w:rPr>
  </w:style>
  <w:style w:type="paragraph" w:customStyle="1" w:styleId="P22">
    <w:name w:val="P22"/>
    <w:basedOn w:val="wNormal"/>
    <w:rsid w:val="00D7274C"/>
    <w:rPr>
      <w:rFonts w:ascii="Arial" w:eastAsia="Arial1" w:hAnsi="Arial" w:cs="Arial1"/>
      <w:sz w:val="20"/>
    </w:rPr>
  </w:style>
  <w:style w:type="paragraph" w:customStyle="1" w:styleId="P23">
    <w:name w:val="P23"/>
    <w:basedOn w:val="wNormal"/>
    <w:rsid w:val="00D7274C"/>
    <w:rPr>
      <w:rFonts w:ascii="Arial" w:eastAsia="Arial1" w:hAnsi="Arial" w:cs="Arial1"/>
      <w:b/>
      <w:sz w:val="20"/>
    </w:rPr>
  </w:style>
  <w:style w:type="paragraph" w:customStyle="1" w:styleId="P24">
    <w:name w:val="P24"/>
    <w:basedOn w:val="wNormal"/>
    <w:rsid w:val="00D7274C"/>
    <w:rPr>
      <w:rFonts w:ascii="Arial" w:hAnsi="Arial"/>
      <w:b/>
      <w:sz w:val="20"/>
    </w:rPr>
  </w:style>
  <w:style w:type="paragraph" w:customStyle="1" w:styleId="P25">
    <w:name w:val="P25"/>
    <w:basedOn w:val="wNormal"/>
    <w:rsid w:val="00D7274C"/>
    <w:rPr>
      <w:rFonts w:ascii="Arial" w:hAnsi="Arial"/>
      <w:b/>
      <w:sz w:val="20"/>
    </w:rPr>
  </w:style>
  <w:style w:type="paragraph" w:customStyle="1" w:styleId="P26">
    <w:name w:val="P26"/>
    <w:basedOn w:val="wNormal"/>
    <w:rsid w:val="00D7274C"/>
    <w:rPr>
      <w:rFonts w:ascii="Arial" w:hAnsi="Arial"/>
      <w:sz w:val="20"/>
    </w:rPr>
  </w:style>
  <w:style w:type="paragraph" w:customStyle="1" w:styleId="P27">
    <w:name w:val="P27"/>
    <w:basedOn w:val="wNormal"/>
    <w:rsid w:val="00D7274C"/>
    <w:rPr>
      <w:rFonts w:ascii="Arial" w:hAnsi="Arial"/>
      <w:sz w:val="20"/>
    </w:rPr>
  </w:style>
  <w:style w:type="paragraph" w:customStyle="1" w:styleId="P28">
    <w:name w:val="P28"/>
    <w:basedOn w:val="wNormal"/>
    <w:rsid w:val="00D7274C"/>
    <w:rPr>
      <w:rFonts w:ascii="Arial" w:hAnsi="Arial"/>
      <w:sz w:val="20"/>
    </w:rPr>
  </w:style>
  <w:style w:type="paragraph" w:customStyle="1" w:styleId="P29">
    <w:name w:val="P29"/>
    <w:basedOn w:val="Normal"/>
    <w:rsid w:val="00D7274C"/>
    <w:pPr>
      <w:widowControl w:val="0"/>
      <w:spacing w:after="120" w:line="100" w:lineRule="atLeast"/>
    </w:pPr>
    <w:rPr>
      <w:sz w:val="20"/>
      <w:szCs w:val="20"/>
    </w:rPr>
  </w:style>
  <w:style w:type="paragraph" w:customStyle="1" w:styleId="P30">
    <w:name w:val="P30"/>
    <w:basedOn w:val="Normal"/>
    <w:rsid w:val="00D7274C"/>
    <w:pPr>
      <w:widowControl w:val="0"/>
      <w:spacing w:after="0" w:line="100" w:lineRule="atLeast"/>
    </w:pPr>
    <w:rPr>
      <w:sz w:val="20"/>
      <w:szCs w:val="20"/>
    </w:rPr>
  </w:style>
  <w:style w:type="paragraph" w:customStyle="1" w:styleId="P31">
    <w:name w:val="P31"/>
    <w:basedOn w:val="Normal"/>
    <w:rsid w:val="00D7274C"/>
    <w:pPr>
      <w:widowControl w:val="0"/>
      <w:spacing w:after="0" w:line="100" w:lineRule="atLeast"/>
    </w:pPr>
    <w:rPr>
      <w:sz w:val="20"/>
      <w:szCs w:val="20"/>
    </w:rPr>
  </w:style>
  <w:style w:type="paragraph" w:customStyle="1" w:styleId="P32">
    <w:name w:val="P32"/>
    <w:basedOn w:val="Normal"/>
    <w:rsid w:val="00D7274C"/>
    <w:pPr>
      <w:widowControl w:val="0"/>
      <w:suppressLineNumbers/>
      <w:spacing w:after="0" w:line="100" w:lineRule="atLeast"/>
    </w:pPr>
    <w:rPr>
      <w:rFonts w:ascii="Arial1" w:eastAsia="Arial1" w:hAnsi="Arial1" w:cs="Arial1"/>
      <w:szCs w:val="20"/>
    </w:rPr>
  </w:style>
  <w:style w:type="paragraph" w:customStyle="1" w:styleId="P33">
    <w:name w:val="P33"/>
    <w:basedOn w:val="Normal"/>
    <w:rsid w:val="00D7274C"/>
    <w:pPr>
      <w:widowControl w:val="0"/>
      <w:suppressLineNumbers/>
      <w:spacing w:after="0" w:line="100" w:lineRule="atLeast"/>
    </w:pPr>
    <w:rPr>
      <w:rFonts w:ascii="Arial1" w:eastAsia="Arial1" w:hAnsi="Arial1" w:cs="Arial1"/>
      <w:szCs w:val="20"/>
    </w:rPr>
  </w:style>
  <w:style w:type="paragraph" w:customStyle="1" w:styleId="P34">
    <w:name w:val="P34"/>
    <w:basedOn w:val="Normal"/>
    <w:rsid w:val="00D7274C"/>
    <w:pPr>
      <w:widowControl w:val="0"/>
      <w:suppressLineNumbers/>
      <w:spacing w:after="0" w:line="100" w:lineRule="atLeast"/>
    </w:pPr>
    <w:rPr>
      <w:rFonts w:ascii="Arial1" w:eastAsia="Arial1" w:hAnsi="Arial1" w:cs="Arial1"/>
      <w:b/>
      <w:szCs w:val="20"/>
    </w:rPr>
  </w:style>
  <w:style w:type="paragraph" w:customStyle="1" w:styleId="P35">
    <w:name w:val="P35"/>
    <w:basedOn w:val="Normal"/>
    <w:rsid w:val="00D7274C"/>
    <w:pPr>
      <w:widowControl w:val="0"/>
      <w:suppressLineNumbers/>
      <w:spacing w:after="0" w:line="100" w:lineRule="atLeast"/>
    </w:pPr>
    <w:rPr>
      <w:rFonts w:eastAsia="Arial1" w:cs="Arial1"/>
      <w:sz w:val="20"/>
      <w:szCs w:val="20"/>
    </w:rPr>
  </w:style>
  <w:style w:type="paragraph" w:customStyle="1" w:styleId="P36">
    <w:name w:val="P36"/>
    <w:basedOn w:val="Normal"/>
    <w:rsid w:val="00D7274C"/>
    <w:pPr>
      <w:widowControl w:val="0"/>
      <w:suppressLineNumbers/>
      <w:spacing w:after="0" w:line="100" w:lineRule="atLeast"/>
    </w:pPr>
    <w:rPr>
      <w:rFonts w:eastAsia="Arial1" w:cs="Arial1"/>
      <w:sz w:val="20"/>
      <w:szCs w:val="20"/>
    </w:rPr>
  </w:style>
  <w:style w:type="paragraph" w:customStyle="1" w:styleId="P37">
    <w:name w:val="P37"/>
    <w:basedOn w:val="Normal"/>
    <w:rsid w:val="00D7274C"/>
    <w:pPr>
      <w:widowControl w:val="0"/>
      <w:suppressLineNumbers/>
      <w:spacing w:after="0" w:line="100" w:lineRule="atLeast"/>
    </w:pPr>
    <w:rPr>
      <w:rFonts w:eastAsia="Arial1" w:cs="Arial1"/>
      <w:b/>
      <w:sz w:val="20"/>
      <w:szCs w:val="20"/>
    </w:rPr>
  </w:style>
  <w:style w:type="paragraph" w:customStyle="1" w:styleId="P38">
    <w:name w:val="P38"/>
    <w:basedOn w:val="Normal"/>
    <w:rsid w:val="00D7274C"/>
    <w:pPr>
      <w:widowControl w:val="0"/>
      <w:spacing w:after="0" w:line="100" w:lineRule="atLeast"/>
    </w:pPr>
    <w:rPr>
      <w:rFonts w:ascii="Times New Roman" w:hAnsi="Times New Roman"/>
      <w:szCs w:val="20"/>
    </w:rPr>
  </w:style>
  <w:style w:type="paragraph" w:customStyle="1" w:styleId="P39">
    <w:name w:val="P39"/>
    <w:basedOn w:val="Normal"/>
    <w:rsid w:val="00D7274C"/>
    <w:pPr>
      <w:widowControl w:val="0"/>
      <w:spacing w:after="0" w:line="100" w:lineRule="atLeast"/>
    </w:pPr>
    <w:rPr>
      <w:rFonts w:ascii="Arial1" w:hAnsi="Arial1"/>
      <w:szCs w:val="20"/>
    </w:rPr>
  </w:style>
  <w:style w:type="paragraph" w:customStyle="1" w:styleId="P40">
    <w:name w:val="P40"/>
    <w:basedOn w:val="Normal"/>
    <w:rsid w:val="00D7274C"/>
    <w:pPr>
      <w:widowControl w:val="0"/>
      <w:spacing w:after="0" w:line="100" w:lineRule="atLeast"/>
    </w:pPr>
    <w:rPr>
      <w:rFonts w:eastAsia="Arial1" w:cs="Arial1"/>
      <w:sz w:val="20"/>
      <w:szCs w:val="20"/>
    </w:rPr>
  </w:style>
  <w:style w:type="paragraph" w:customStyle="1" w:styleId="P41">
    <w:name w:val="P41"/>
    <w:basedOn w:val="Normal"/>
    <w:rsid w:val="00D7274C"/>
    <w:pPr>
      <w:widowControl w:val="0"/>
      <w:spacing w:after="0" w:line="100" w:lineRule="atLeast"/>
    </w:pPr>
    <w:rPr>
      <w:sz w:val="20"/>
      <w:szCs w:val="20"/>
    </w:rPr>
  </w:style>
  <w:style w:type="paragraph" w:customStyle="1" w:styleId="P42">
    <w:name w:val="P42"/>
    <w:basedOn w:val="Normal"/>
    <w:rsid w:val="00D7274C"/>
    <w:pPr>
      <w:widowControl w:val="0"/>
      <w:spacing w:after="0" w:line="100" w:lineRule="atLeast"/>
    </w:pPr>
    <w:rPr>
      <w:sz w:val="20"/>
      <w:szCs w:val="20"/>
    </w:rPr>
  </w:style>
  <w:style w:type="paragraph" w:customStyle="1" w:styleId="P43">
    <w:name w:val="P43"/>
    <w:basedOn w:val="wNormal"/>
    <w:rsid w:val="00D7274C"/>
    <w:rPr>
      <w:rFonts w:ascii="Arial1" w:eastAsia="Arial1" w:hAnsi="Arial1" w:cs="Arial1"/>
    </w:rPr>
  </w:style>
  <w:style w:type="paragraph" w:customStyle="1" w:styleId="P44">
    <w:name w:val="P44"/>
    <w:basedOn w:val="wNormal"/>
    <w:rsid w:val="00D7274C"/>
    <w:rPr>
      <w:rFonts w:ascii="Arial1" w:eastAsia="Arial1" w:hAnsi="Arial1" w:cs="Arial1"/>
      <w:b/>
    </w:rPr>
  </w:style>
  <w:style w:type="paragraph" w:customStyle="1" w:styleId="P45">
    <w:name w:val="P45"/>
    <w:basedOn w:val="wNormal"/>
    <w:rsid w:val="00D7274C"/>
    <w:rPr>
      <w:rFonts w:ascii="Arial1" w:eastAsia="Arial1" w:hAnsi="Arial1" w:cs="Arial1"/>
      <w:sz w:val="20"/>
    </w:rPr>
  </w:style>
  <w:style w:type="paragraph" w:customStyle="1" w:styleId="P48">
    <w:name w:val="P48"/>
    <w:basedOn w:val="wNormal"/>
    <w:rsid w:val="00D7274C"/>
    <w:rPr>
      <w:rFonts w:ascii="Arial1" w:eastAsia="Arial1" w:hAnsi="Arial1" w:cs="Arial1"/>
    </w:rPr>
  </w:style>
  <w:style w:type="paragraph" w:customStyle="1" w:styleId="P49">
    <w:name w:val="P49"/>
    <w:basedOn w:val="wNormal"/>
    <w:rsid w:val="00D7274C"/>
    <w:rPr>
      <w:rFonts w:ascii="Arial1" w:eastAsia="Arial1" w:hAnsi="Arial1" w:cs="Arial1"/>
      <w:b/>
      <w:sz w:val="22"/>
    </w:rPr>
  </w:style>
  <w:style w:type="paragraph" w:customStyle="1" w:styleId="P54">
    <w:name w:val="P54"/>
    <w:basedOn w:val="Normal"/>
    <w:rsid w:val="00D7274C"/>
    <w:pPr>
      <w:widowControl w:val="0"/>
      <w:suppressLineNumbers/>
      <w:spacing w:after="0" w:line="100" w:lineRule="atLeast"/>
    </w:pPr>
    <w:rPr>
      <w:rFonts w:ascii="Arial1" w:eastAsia="Arial1" w:hAnsi="Arial1" w:cs="Arial1"/>
      <w:szCs w:val="20"/>
    </w:rPr>
  </w:style>
  <w:style w:type="paragraph" w:customStyle="1" w:styleId="P55">
    <w:name w:val="P55"/>
    <w:basedOn w:val="Normal"/>
    <w:rsid w:val="00D7274C"/>
    <w:pPr>
      <w:widowControl w:val="0"/>
      <w:spacing w:after="0" w:line="100" w:lineRule="atLeast"/>
    </w:pPr>
    <w:rPr>
      <w:rFonts w:ascii="Berkeley-Medium" w:eastAsia="Arial1" w:hAnsi="Berkeley-Medium" w:cs="Arial1"/>
      <w:color w:val="231F20"/>
      <w:sz w:val="20"/>
      <w:szCs w:val="20"/>
    </w:rPr>
  </w:style>
  <w:style w:type="paragraph" w:customStyle="1" w:styleId="P56">
    <w:name w:val="P56"/>
    <w:basedOn w:val="Normal"/>
    <w:rsid w:val="00D7274C"/>
    <w:pPr>
      <w:widowControl w:val="0"/>
      <w:spacing w:after="0" w:line="100" w:lineRule="atLeast"/>
    </w:pPr>
    <w:rPr>
      <w:rFonts w:ascii="Berkeley-Medium" w:hAnsi="Berkeley-Medium"/>
      <w:color w:val="231F20"/>
      <w:sz w:val="20"/>
      <w:szCs w:val="20"/>
    </w:rPr>
  </w:style>
  <w:style w:type="paragraph" w:customStyle="1" w:styleId="P57">
    <w:name w:val="P57"/>
    <w:basedOn w:val="Normal"/>
    <w:rsid w:val="00D7274C"/>
    <w:pPr>
      <w:widowControl w:val="0"/>
      <w:spacing w:after="0" w:line="100" w:lineRule="atLeast"/>
    </w:pPr>
    <w:rPr>
      <w:rFonts w:ascii="AdvTT3713a231" w:eastAsia="Arial1" w:hAnsi="AdvTT3713a231" w:cs="Arial1"/>
      <w:color w:val="131413"/>
      <w:sz w:val="20"/>
      <w:szCs w:val="20"/>
    </w:rPr>
  </w:style>
  <w:style w:type="paragraph" w:customStyle="1" w:styleId="P58">
    <w:name w:val="P58"/>
    <w:basedOn w:val="Normal"/>
    <w:rsid w:val="00D7274C"/>
    <w:pPr>
      <w:widowControl w:val="0"/>
      <w:spacing w:after="0" w:line="100" w:lineRule="atLeast"/>
    </w:pPr>
    <w:rPr>
      <w:rFonts w:ascii="AdvTT3713a231" w:hAnsi="AdvTT3713a231"/>
      <w:color w:val="131413"/>
      <w:sz w:val="20"/>
      <w:szCs w:val="20"/>
    </w:rPr>
  </w:style>
  <w:style w:type="paragraph" w:customStyle="1" w:styleId="P59">
    <w:name w:val="P59"/>
    <w:basedOn w:val="Normal"/>
    <w:rsid w:val="00D7274C"/>
    <w:pPr>
      <w:widowControl w:val="0"/>
      <w:spacing w:after="0" w:line="100" w:lineRule="atLeast"/>
    </w:pPr>
    <w:rPr>
      <w:rFonts w:ascii="AdvTT3713a231" w:hAnsi="AdvTT3713a231"/>
      <w:color w:val="131413"/>
      <w:sz w:val="20"/>
      <w:szCs w:val="20"/>
    </w:rPr>
  </w:style>
  <w:style w:type="paragraph" w:customStyle="1" w:styleId="P60">
    <w:name w:val="P60"/>
    <w:basedOn w:val="Normal"/>
    <w:rsid w:val="00D7274C"/>
    <w:pPr>
      <w:widowControl w:val="0"/>
      <w:spacing w:after="0" w:line="100" w:lineRule="atLeast"/>
    </w:pPr>
    <w:rPr>
      <w:color w:val="131413"/>
      <w:sz w:val="20"/>
      <w:szCs w:val="20"/>
    </w:rPr>
  </w:style>
  <w:style w:type="paragraph" w:customStyle="1" w:styleId="P61">
    <w:name w:val="P61"/>
    <w:basedOn w:val="Normal"/>
    <w:rsid w:val="00D7274C"/>
    <w:pPr>
      <w:widowControl w:val="0"/>
      <w:spacing w:after="0" w:line="100" w:lineRule="atLeast"/>
    </w:pPr>
    <w:rPr>
      <w:color w:val="131413"/>
      <w:sz w:val="20"/>
      <w:szCs w:val="20"/>
    </w:rPr>
  </w:style>
  <w:style w:type="paragraph" w:customStyle="1" w:styleId="P62">
    <w:name w:val="P62"/>
    <w:basedOn w:val="Normal"/>
    <w:rsid w:val="00D7274C"/>
    <w:pPr>
      <w:widowControl w:val="0"/>
      <w:spacing w:after="0" w:line="100" w:lineRule="atLeast"/>
    </w:pPr>
    <w:rPr>
      <w:rFonts w:eastAsia="Arial1" w:cs="Arial1"/>
      <w:color w:val="131413"/>
      <w:sz w:val="20"/>
      <w:szCs w:val="20"/>
    </w:rPr>
  </w:style>
  <w:style w:type="paragraph" w:customStyle="1" w:styleId="P64">
    <w:name w:val="P64"/>
    <w:basedOn w:val="Normal"/>
    <w:rsid w:val="00D7274C"/>
    <w:pPr>
      <w:widowControl w:val="0"/>
      <w:spacing w:after="0" w:line="100" w:lineRule="atLeast"/>
    </w:pPr>
    <w:rPr>
      <w:rFonts w:ascii="Arial1" w:eastAsia="Arial1" w:hAnsi="Arial1" w:cs="Arial1"/>
      <w:szCs w:val="20"/>
    </w:rPr>
  </w:style>
  <w:style w:type="paragraph" w:styleId="Header">
    <w:name w:val="header"/>
    <w:basedOn w:val="Normal"/>
    <w:rsid w:val="00D7274C"/>
    <w:pPr>
      <w:suppressLineNumbers/>
      <w:tabs>
        <w:tab w:val="center" w:pos="4536"/>
        <w:tab w:val="right" w:pos="9072"/>
      </w:tabs>
    </w:pPr>
  </w:style>
  <w:style w:type="paragraph" w:styleId="Footer">
    <w:name w:val="footer"/>
    <w:basedOn w:val="Normal"/>
    <w:rsid w:val="00D7274C"/>
    <w:pPr>
      <w:suppressLineNumbers/>
      <w:tabs>
        <w:tab w:val="center" w:pos="4536"/>
        <w:tab w:val="right" w:pos="9072"/>
      </w:tabs>
    </w:pPr>
  </w:style>
  <w:style w:type="paragraph" w:customStyle="1" w:styleId="wP1">
    <w:name w:val="wP1"/>
    <w:basedOn w:val="Normal"/>
    <w:rsid w:val="00D7274C"/>
    <w:pPr>
      <w:widowControl w:val="0"/>
      <w:spacing w:after="0" w:line="100" w:lineRule="atLeast"/>
    </w:pPr>
    <w:rPr>
      <w:rFonts w:ascii="Arial1" w:eastAsia="Arial1" w:hAnsi="Arial1" w:cs="Arial1"/>
      <w:lang w:bidi="sa-IN"/>
    </w:rPr>
  </w:style>
  <w:style w:type="paragraph" w:customStyle="1" w:styleId="wP4">
    <w:name w:val="wP4"/>
    <w:basedOn w:val="Normal"/>
    <w:rsid w:val="00D7274C"/>
    <w:pPr>
      <w:widowControl w:val="0"/>
      <w:spacing w:after="0" w:line="100" w:lineRule="atLeast"/>
    </w:pPr>
    <w:rPr>
      <w:rFonts w:ascii="Arial1" w:eastAsia="Arial1" w:hAnsi="Arial1" w:cs="Arial1"/>
      <w:sz w:val="20"/>
      <w:lang w:bidi="sa-IN"/>
    </w:rPr>
  </w:style>
  <w:style w:type="paragraph" w:styleId="ListParagraph">
    <w:name w:val="List Paragraph"/>
    <w:basedOn w:val="Normal"/>
    <w:rsid w:val="00D727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1774</TotalTime>
  <Pages>9</Pages>
  <Words>1470</Words>
  <Characters>8528</Characters>
  <Application>Microsoft Office Word</Application>
  <DocSecurity>0</DocSecurity>
  <Lines>71</Lines>
  <Paragraphs>19</Paragraphs>
  <ScaleCrop>false</ScaleCrop>
  <Company/>
  <LinksUpToDate>false</LinksUpToDate>
  <CharactersWithSpaces>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 patsiendi rasvtõve kirurgiline ravi vs konservatiivse ravimeetodiga on tulemuslikum</dc:title>
  <dc:creator>KL</dc:creator>
  <cp:lastModifiedBy>Kaur Liivak</cp:lastModifiedBy>
  <cp:revision>6</cp:revision>
  <dcterms:created xsi:type="dcterms:W3CDTF">2014-09-22T21:12:00Z</dcterms:created>
  <dcterms:modified xsi:type="dcterms:W3CDTF">2015-11-30T00:07:00Z</dcterms:modified>
</cp:coreProperties>
</file>