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9FDA9" w14:textId="64EA21EF" w:rsidR="00D14D43" w:rsidRPr="009501B2" w:rsidRDefault="00246AD3" w:rsidP="00D14D43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501B2">
        <w:rPr>
          <w:b/>
          <w:lang w:val="et-EE"/>
        </w:rPr>
        <w:t>Kliiniline küsimus nr 7.2</w:t>
      </w:r>
      <w:r w:rsidR="006A3BAC" w:rsidRPr="009501B2">
        <w:rPr>
          <w:b/>
          <w:lang w:val="et-EE"/>
        </w:rPr>
        <w:t>:</w:t>
      </w:r>
      <w:r w:rsidR="006A3BAC" w:rsidRPr="009501B2">
        <w:rPr>
          <w:lang w:val="et-EE"/>
        </w:rPr>
        <w:t xml:space="preserve"> </w:t>
      </w:r>
      <w:r w:rsidR="00D14D43" w:rsidRPr="009501B2">
        <w:rPr>
          <w:rFonts w:ascii="Times-Roman" w:hAnsi="Times-Roman" w:cs="Times-Roman"/>
          <w:lang w:val="et-EE"/>
        </w:rPr>
        <w:t>Kas bariaatrilise kirurgia patsiendi ravitulemuse parandamiseks tuleb kõiki täiskasvanuid uurida enne kirurgilist sekkumist järgmiste meetoditega (võrreldes meetodi mittekasutamisega):</w:t>
      </w:r>
    </w:p>
    <w:p w14:paraId="11F50AEC" w14:textId="77777777" w:rsidR="00D14D43" w:rsidRPr="009501B2" w:rsidRDefault="00D14D43" w:rsidP="00D14D43">
      <w:pPr>
        <w:autoSpaceDE w:val="0"/>
        <w:autoSpaceDN w:val="0"/>
        <w:adjustRightInd w:val="0"/>
        <w:rPr>
          <w:rFonts w:ascii="Times-Roman" w:hAnsi="Times-Roman" w:cs="Times-Roman"/>
          <w:b/>
          <w:color w:val="D9D9D9" w:themeColor="background1" w:themeShade="D9"/>
          <w:lang w:val="et-EE"/>
        </w:rPr>
      </w:pPr>
      <w:r w:rsidRPr="009501B2">
        <w:rPr>
          <w:rFonts w:ascii="Courier" w:hAnsi="Courier" w:cs="Courier"/>
          <w:color w:val="D9D9D9" w:themeColor="background1" w:themeShade="D9"/>
          <w:lang w:val="et-EE"/>
        </w:rPr>
        <w:t xml:space="preserve">- </w:t>
      </w:r>
      <w:r w:rsidRPr="009501B2">
        <w:rPr>
          <w:rFonts w:ascii="Times-Roman" w:hAnsi="Times-Roman" w:cs="Times-Roman"/>
          <w:b/>
          <w:color w:val="D9D9D9" w:themeColor="background1" w:themeShade="D9"/>
          <w:lang w:val="et-EE"/>
        </w:rPr>
        <w:t>Polüsomnograafia</w:t>
      </w:r>
    </w:p>
    <w:p w14:paraId="00B0C100" w14:textId="77777777" w:rsidR="00D14D43" w:rsidRPr="009501B2" w:rsidRDefault="00D14D43" w:rsidP="00D14D43">
      <w:pPr>
        <w:autoSpaceDE w:val="0"/>
        <w:autoSpaceDN w:val="0"/>
        <w:adjustRightInd w:val="0"/>
        <w:rPr>
          <w:rFonts w:ascii="Times-Roman" w:hAnsi="Times-Roman" w:cs="Times-Roman"/>
          <w:b/>
          <w:color w:val="D9D9D9" w:themeColor="background1" w:themeShade="D9"/>
          <w:lang w:val="et-EE"/>
        </w:rPr>
      </w:pPr>
      <w:r w:rsidRPr="009501B2">
        <w:rPr>
          <w:rFonts w:ascii="Courier" w:hAnsi="Courier" w:cs="Courier"/>
          <w:b/>
          <w:color w:val="D9D9D9" w:themeColor="background1" w:themeShade="D9"/>
          <w:lang w:val="et-EE"/>
        </w:rPr>
        <w:t xml:space="preserve">- </w:t>
      </w:r>
      <w:r w:rsidRPr="009501B2">
        <w:rPr>
          <w:rFonts w:ascii="Times-Roman" w:hAnsi="Times-Roman" w:cs="Times-Roman"/>
          <w:b/>
          <w:color w:val="D9D9D9" w:themeColor="background1" w:themeShade="D9"/>
          <w:lang w:val="et-EE"/>
        </w:rPr>
        <w:t>röntgenülesvõte rindkerest</w:t>
      </w:r>
    </w:p>
    <w:p w14:paraId="17E8D87F" w14:textId="77777777" w:rsidR="00D14D43" w:rsidRPr="009501B2" w:rsidRDefault="00D14D43" w:rsidP="00D14D43">
      <w:pPr>
        <w:autoSpaceDE w:val="0"/>
        <w:autoSpaceDN w:val="0"/>
        <w:adjustRightInd w:val="0"/>
        <w:rPr>
          <w:rFonts w:ascii="Times-Roman" w:hAnsi="Times-Roman" w:cs="Times-Roman"/>
          <w:b/>
          <w:color w:val="D9D9D9" w:themeColor="background1" w:themeShade="D9"/>
          <w:lang w:val="et-EE"/>
        </w:rPr>
      </w:pPr>
      <w:r w:rsidRPr="009501B2">
        <w:rPr>
          <w:rFonts w:ascii="Courier" w:hAnsi="Courier" w:cs="Courier"/>
          <w:b/>
          <w:color w:val="D9D9D9" w:themeColor="background1" w:themeShade="D9"/>
          <w:lang w:val="et-EE"/>
        </w:rPr>
        <w:t xml:space="preserve">- </w:t>
      </w:r>
      <w:r w:rsidRPr="009501B2">
        <w:rPr>
          <w:rFonts w:ascii="Times-Roman" w:hAnsi="Times-Roman" w:cs="Times-Roman"/>
          <w:b/>
          <w:color w:val="D9D9D9" w:themeColor="background1" w:themeShade="D9"/>
          <w:lang w:val="et-EE"/>
        </w:rPr>
        <w:t>ülemise seedetrakti endoskoopia – KAIRE</w:t>
      </w:r>
    </w:p>
    <w:p w14:paraId="5AC63C27" w14:textId="77777777" w:rsidR="00D14D43" w:rsidRPr="009501B2" w:rsidRDefault="00D14D43" w:rsidP="00D14D43">
      <w:pPr>
        <w:autoSpaceDE w:val="0"/>
        <w:autoSpaceDN w:val="0"/>
        <w:adjustRightInd w:val="0"/>
        <w:rPr>
          <w:rFonts w:ascii="Times-Roman" w:hAnsi="Times-Roman" w:cs="Times-Roman"/>
          <w:b/>
          <w:lang w:val="et-EE"/>
        </w:rPr>
      </w:pPr>
    </w:p>
    <w:p w14:paraId="01FE9C78" w14:textId="77777777" w:rsidR="00D14D43" w:rsidRPr="009501B2" w:rsidRDefault="00D14D43" w:rsidP="00D14D43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501B2">
        <w:rPr>
          <w:rFonts w:ascii="Courier" w:hAnsi="Courier" w:cs="Courier"/>
          <w:lang w:val="et-EE"/>
        </w:rPr>
        <w:t xml:space="preserve">- </w:t>
      </w:r>
      <w:r w:rsidRPr="009501B2">
        <w:rPr>
          <w:rFonts w:ascii="Times-Roman" w:hAnsi="Times-Roman" w:cs="Times-Roman"/>
          <w:lang w:val="et-EE"/>
        </w:rPr>
        <w:t>Kolesterool ja verelipiidid</w:t>
      </w:r>
    </w:p>
    <w:p w14:paraId="1FC55FCB" w14:textId="77777777" w:rsidR="00D14D43" w:rsidRPr="009501B2" w:rsidRDefault="00D14D43" w:rsidP="00D14D43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501B2">
        <w:rPr>
          <w:rFonts w:ascii="Courier" w:hAnsi="Courier" w:cs="Courier"/>
          <w:lang w:val="et-EE"/>
        </w:rPr>
        <w:t xml:space="preserve">- </w:t>
      </w:r>
      <w:r w:rsidRPr="009501B2">
        <w:rPr>
          <w:rFonts w:ascii="Times-Roman" w:hAnsi="Times-Roman" w:cs="Times-Roman"/>
          <w:lang w:val="et-EE"/>
        </w:rPr>
        <w:t>TSH</w:t>
      </w:r>
    </w:p>
    <w:p w14:paraId="71F8AB10" w14:textId="77777777" w:rsidR="00D14D43" w:rsidRPr="009501B2" w:rsidRDefault="00D14D43" w:rsidP="00D14D43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501B2">
        <w:rPr>
          <w:rFonts w:ascii="Courier" w:hAnsi="Courier" w:cs="Courier"/>
          <w:lang w:val="et-EE"/>
        </w:rPr>
        <w:t xml:space="preserve">- </w:t>
      </w:r>
      <w:r w:rsidRPr="009501B2">
        <w:rPr>
          <w:rFonts w:ascii="Times-Roman" w:hAnsi="Times-Roman" w:cs="Times-Roman"/>
          <w:lang w:val="et-EE"/>
        </w:rPr>
        <w:t>PTH</w:t>
      </w:r>
    </w:p>
    <w:p w14:paraId="6BC77E1E" w14:textId="77777777" w:rsidR="00D14D43" w:rsidRPr="009501B2" w:rsidRDefault="00D14D43" w:rsidP="00D14D43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501B2">
        <w:rPr>
          <w:rFonts w:ascii="Courier" w:hAnsi="Courier" w:cs="Courier"/>
          <w:lang w:val="et-EE"/>
        </w:rPr>
        <w:t xml:space="preserve">- </w:t>
      </w:r>
      <w:r w:rsidRPr="009501B2">
        <w:rPr>
          <w:rFonts w:ascii="Times-Roman" w:hAnsi="Times-Roman" w:cs="Times-Roman"/>
          <w:lang w:val="et-EE"/>
        </w:rPr>
        <w:t>Tsink</w:t>
      </w:r>
    </w:p>
    <w:p w14:paraId="5F3E4819" w14:textId="77777777" w:rsidR="00D14D43" w:rsidRPr="009501B2" w:rsidRDefault="00D14D43" w:rsidP="00D14D43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501B2">
        <w:rPr>
          <w:rFonts w:ascii="Courier" w:hAnsi="Courier" w:cs="Courier"/>
          <w:lang w:val="et-EE"/>
        </w:rPr>
        <w:t xml:space="preserve">- </w:t>
      </w:r>
      <w:r w:rsidRPr="009501B2">
        <w:rPr>
          <w:rFonts w:ascii="Times-Roman" w:hAnsi="Times-Roman" w:cs="Times-Roman"/>
          <w:lang w:val="et-EE"/>
        </w:rPr>
        <w:t>B12, foolhape</w:t>
      </w:r>
    </w:p>
    <w:p w14:paraId="7360C304" w14:textId="77777777" w:rsidR="00D14D43" w:rsidRPr="009501B2" w:rsidRDefault="00D14D43" w:rsidP="00D14D43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501B2">
        <w:rPr>
          <w:rFonts w:ascii="Courier" w:hAnsi="Courier" w:cs="Courier"/>
          <w:lang w:val="et-EE"/>
        </w:rPr>
        <w:t xml:space="preserve">- </w:t>
      </w:r>
      <w:r w:rsidRPr="009501B2">
        <w:rPr>
          <w:rFonts w:ascii="Times-Roman" w:hAnsi="Times-Roman" w:cs="Times-Roman"/>
          <w:lang w:val="et-EE"/>
        </w:rPr>
        <w:t>raud, feritiin</w:t>
      </w:r>
    </w:p>
    <w:p w14:paraId="62266BC9" w14:textId="77777777" w:rsidR="00D14D43" w:rsidRPr="009501B2" w:rsidRDefault="00D14D43" w:rsidP="00D14D43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501B2">
        <w:rPr>
          <w:rFonts w:ascii="Courier" w:hAnsi="Courier" w:cs="Courier"/>
          <w:lang w:val="et-EE"/>
        </w:rPr>
        <w:t xml:space="preserve">- </w:t>
      </w:r>
      <w:r w:rsidRPr="009501B2">
        <w:rPr>
          <w:rFonts w:ascii="Times-Roman" w:hAnsi="Times-Roman" w:cs="Times-Roman"/>
          <w:lang w:val="et-EE"/>
        </w:rPr>
        <w:t>Kaltsium</w:t>
      </w:r>
    </w:p>
    <w:p w14:paraId="7701D742" w14:textId="77777777" w:rsidR="00D14D43" w:rsidRPr="009501B2" w:rsidRDefault="00D14D43" w:rsidP="00D14D43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9501B2">
        <w:rPr>
          <w:rFonts w:ascii="Courier" w:hAnsi="Courier" w:cs="Courier"/>
          <w:lang w:val="et-EE"/>
        </w:rPr>
        <w:t xml:space="preserve">- </w:t>
      </w:r>
      <w:r w:rsidRPr="009501B2">
        <w:rPr>
          <w:rFonts w:ascii="Times-Roman" w:hAnsi="Times-Roman" w:cs="Times-Roman"/>
          <w:lang w:val="et-EE"/>
        </w:rPr>
        <w:t>25(OH) D3 vitamiin</w:t>
      </w:r>
    </w:p>
    <w:p w14:paraId="1CABE5A1" w14:textId="77777777" w:rsidR="00D14D43" w:rsidRPr="009501B2" w:rsidRDefault="00D14D43" w:rsidP="00D14D43">
      <w:pPr>
        <w:autoSpaceDE w:val="0"/>
        <w:autoSpaceDN w:val="0"/>
        <w:adjustRightInd w:val="0"/>
        <w:rPr>
          <w:lang w:val="et-EE"/>
        </w:rPr>
      </w:pPr>
      <w:r w:rsidRPr="009501B2">
        <w:rPr>
          <w:rFonts w:ascii="Courier" w:hAnsi="Courier" w:cs="Courier"/>
          <w:lang w:val="et-EE"/>
        </w:rPr>
        <w:t xml:space="preserve">- </w:t>
      </w:r>
      <w:r w:rsidRPr="009501B2">
        <w:rPr>
          <w:rFonts w:ascii="Times-Roman" w:hAnsi="Times-Roman" w:cs="Times-Roman"/>
          <w:lang w:val="et-EE"/>
        </w:rPr>
        <w:t xml:space="preserve">Glükoosi tolerantsuse test </w:t>
      </w:r>
    </w:p>
    <w:p w14:paraId="099525A3" w14:textId="77777777" w:rsidR="006A3BAC" w:rsidRPr="009501B2" w:rsidRDefault="006A3BAC" w:rsidP="003276D8">
      <w:pPr>
        <w:autoSpaceDE w:val="0"/>
        <w:autoSpaceDN w:val="0"/>
        <w:adjustRightInd w:val="0"/>
        <w:rPr>
          <w:b/>
          <w:bCs/>
          <w:lang w:val="et-EE"/>
        </w:rPr>
      </w:pPr>
    </w:p>
    <w:p w14:paraId="39D19104" w14:textId="77777777" w:rsidR="006A3BAC" w:rsidRPr="009501B2" w:rsidRDefault="006A3BAC" w:rsidP="00D14D43">
      <w:pPr>
        <w:autoSpaceDE w:val="0"/>
        <w:autoSpaceDN w:val="0"/>
        <w:adjustRightInd w:val="0"/>
        <w:rPr>
          <w:i/>
          <w:iCs/>
          <w:lang w:val="et-EE"/>
        </w:rPr>
      </w:pPr>
      <w:r w:rsidRPr="009501B2">
        <w:rPr>
          <w:b/>
          <w:bCs/>
          <w:lang w:val="et-EE"/>
        </w:rPr>
        <w:t xml:space="preserve">Tulemusnäitajad: </w:t>
      </w:r>
      <w:r w:rsidR="00D14D43" w:rsidRPr="009501B2">
        <w:rPr>
          <w:rFonts w:ascii="Times-Italic" w:hAnsi="Times-Italic" w:cs="Times-Italic"/>
          <w:i/>
          <w:iCs/>
          <w:lang w:val="et-EE"/>
        </w:rPr>
        <w:t>Uuringumeetodi tundlikkus ja spetsiifilisus, positiivne ja negatiivne ennustatav väärtus, kulutõhusus</w:t>
      </w:r>
    </w:p>
    <w:p w14:paraId="37B52623" w14:textId="77777777" w:rsidR="00D14D43" w:rsidRPr="009501B2" w:rsidRDefault="00D14D43" w:rsidP="003276D8">
      <w:pPr>
        <w:autoSpaceDE w:val="0"/>
        <w:autoSpaceDN w:val="0"/>
        <w:adjustRightInd w:val="0"/>
        <w:rPr>
          <w:i/>
          <w:iCs/>
          <w:lang w:val="et-EE"/>
        </w:rPr>
      </w:pPr>
    </w:p>
    <w:p w14:paraId="3B84E4D5" w14:textId="77777777" w:rsidR="00D14D43" w:rsidRPr="009501B2" w:rsidRDefault="00D14D43" w:rsidP="003276D8">
      <w:pPr>
        <w:autoSpaceDE w:val="0"/>
        <w:autoSpaceDN w:val="0"/>
        <w:adjustRightInd w:val="0"/>
        <w:rPr>
          <w:i/>
          <w:iCs/>
          <w:lang w:val="et-EE"/>
        </w:rPr>
      </w:pPr>
    </w:p>
    <w:p w14:paraId="744B8A3B" w14:textId="77777777" w:rsidR="006A3BAC" w:rsidRPr="009501B2" w:rsidRDefault="006A3BAC" w:rsidP="003276D8">
      <w:pPr>
        <w:pBdr>
          <w:bottom w:val="single" w:sz="18" w:space="4" w:color="E5E5E5"/>
        </w:pBdr>
        <w:spacing w:after="300"/>
        <w:rPr>
          <w:b/>
          <w:lang w:val="et-EE"/>
        </w:rPr>
      </w:pPr>
      <w:r w:rsidRPr="009501B2">
        <w:rPr>
          <w:b/>
          <w:lang w:val="et-EE" w:eastAsia="et-EE"/>
        </w:rPr>
        <w:t>Kokkuvõte:</w:t>
      </w:r>
      <w:r w:rsidRPr="009501B2">
        <w:rPr>
          <w:b/>
          <w:lang w:val="et-EE"/>
        </w:rPr>
        <w:t xml:space="preserve"> </w:t>
      </w:r>
    </w:p>
    <w:p w14:paraId="14A860CE" w14:textId="17871759" w:rsidR="00B9193A" w:rsidRPr="009501B2" w:rsidRDefault="00B9193A" w:rsidP="00A958DF">
      <w:pPr>
        <w:pStyle w:val="ListParagraph"/>
        <w:numPr>
          <w:ilvl w:val="0"/>
          <w:numId w:val="10"/>
        </w:numPr>
        <w:rPr>
          <w:lang w:val="et-EE"/>
        </w:rPr>
      </w:pPr>
      <w:r w:rsidRPr="009501B2">
        <w:rPr>
          <w:rFonts w:eastAsiaTheme="minorEastAsia"/>
          <w:color w:val="1A1818"/>
          <w:sz w:val="22"/>
          <w:szCs w:val="22"/>
          <w:lang w:val="et-EE" w:eastAsia="ja-JP"/>
        </w:rPr>
        <w:t xml:space="preserve">Kaks ravijuhendit (USA ja Saksa) soovitavad kasutada vähemalt mõnda uuringumeetodit. Mõlemad soovitavad määrata </w:t>
      </w:r>
      <w:r w:rsidRPr="009501B2">
        <w:rPr>
          <w:rFonts w:eastAsiaTheme="minorEastAsia"/>
          <w:b/>
          <w:color w:val="1A1818"/>
          <w:sz w:val="22"/>
          <w:szCs w:val="22"/>
          <w:lang w:val="et-EE" w:eastAsia="ja-JP"/>
        </w:rPr>
        <w:t>kolesterooli ja verelipiide tase</w:t>
      </w:r>
      <w:r w:rsidRPr="009501B2">
        <w:rPr>
          <w:rFonts w:eastAsiaTheme="minorEastAsia"/>
          <w:color w:val="1A1818"/>
          <w:sz w:val="22"/>
          <w:szCs w:val="22"/>
          <w:lang w:val="et-EE" w:eastAsia="ja-JP"/>
        </w:rPr>
        <w:t xml:space="preserve"> (</w:t>
      </w:r>
      <w:r w:rsidRPr="009501B2">
        <w:rPr>
          <w:color w:val="131413"/>
          <w:lang w:val="et-EE"/>
        </w:rPr>
        <w:t>tõenduspõhisuse tase</w:t>
      </w:r>
      <w:r w:rsidRPr="009501B2">
        <w:rPr>
          <w:lang w:val="et-EE"/>
        </w:rPr>
        <w:t xml:space="preserve"> A). Saksamaa raviju</w:t>
      </w:r>
      <w:r w:rsidR="0009428C" w:rsidRPr="009501B2">
        <w:rPr>
          <w:lang w:val="et-EE"/>
        </w:rPr>
        <w:t xml:space="preserve">hend soovitab kilpnäärmehormoonide analüüsi kõigile, kuid USA ravijuhend soovitab </w:t>
      </w:r>
      <w:r w:rsidR="0009428C" w:rsidRPr="009501B2">
        <w:rPr>
          <w:b/>
          <w:lang w:val="et-EE"/>
        </w:rPr>
        <w:t>TSH</w:t>
      </w:r>
      <w:r w:rsidR="0009428C" w:rsidRPr="009501B2">
        <w:rPr>
          <w:lang w:val="et-EE"/>
        </w:rPr>
        <w:t xml:space="preserve"> määramist vaid nendele patsientidele, kellel on risk primaarseks hüpotüreoidismiks (</w:t>
      </w:r>
      <w:r w:rsidR="0009428C" w:rsidRPr="009501B2">
        <w:rPr>
          <w:color w:val="131413"/>
          <w:lang w:val="et-EE"/>
        </w:rPr>
        <w:t>tõenduspõhisuse tase</w:t>
      </w:r>
      <w:r w:rsidR="0009428C" w:rsidRPr="009501B2">
        <w:rPr>
          <w:rFonts w:eastAsiaTheme="minorEastAsia"/>
          <w:color w:val="1A1818"/>
          <w:sz w:val="22"/>
          <w:szCs w:val="22"/>
          <w:lang w:val="et-EE" w:eastAsia="ja-JP"/>
        </w:rPr>
        <w:t xml:space="preserve"> B</w:t>
      </w:r>
      <w:r w:rsidR="0009428C" w:rsidRPr="009501B2">
        <w:rPr>
          <w:lang w:val="et-EE"/>
        </w:rPr>
        <w:t>)</w:t>
      </w:r>
      <w:r w:rsidRPr="009501B2">
        <w:rPr>
          <w:lang w:val="et-EE"/>
        </w:rPr>
        <w:t xml:space="preserve">. USA ravijuhend soovitab lisaks määrata </w:t>
      </w:r>
      <w:r w:rsidRPr="009501B2">
        <w:rPr>
          <w:b/>
          <w:lang w:val="et-EE"/>
        </w:rPr>
        <w:t>foolhappe, B</w:t>
      </w:r>
      <w:r w:rsidRPr="004F2384">
        <w:rPr>
          <w:b/>
          <w:vertAlign w:val="subscript"/>
          <w:lang w:val="et-EE"/>
        </w:rPr>
        <w:t>12</w:t>
      </w:r>
      <w:r w:rsidRPr="009501B2">
        <w:rPr>
          <w:b/>
          <w:lang w:val="et-EE"/>
        </w:rPr>
        <w:t>-, D-vitamiini, raua ja ferritiini</w:t>
      </w:r>
      <w:r w:rsidRPr="009501B2">
        <w:rPr>
          <w:lang w:val="et-EE"/>
        </w:rPr>
        <w:t xml:space="preserve"> tasemed. Sak</w:t>
      </w:r>
      <w:r w:rsidR="00A958DF" w:rsidRPr="009501B2">
        <w:rPr>
          <w:lang w:val="et-EE"/>
        </w:rPr>
        <w:t>samaa ravijuhend soovitab</w:t>
      </w:r>
      <w:r w:rsidRPr="009501B2">
        <w:rPr>
          <w:lang w:val="et-EE"/>
        </w:rPr>
        <w:t xml:space="preserve"> </w:t>
      </w:r>
      <w:r w:rsidR="00A958DF" w:rsidRPr="009501B2">
        <w:rPr>
          <w:b/>
          <w:lang w:val="et-EE"/>
        </w:rPr>
        <w:t>glükoosi tolerantsuse testi,</w:t>
      </w:r>
      <w:r w:rsidRPr="009501B2">
        <w:rPr>
          <w:lang w:val="et-EE"/>
        </w:rPr>
        <w:t xml:space="preserve"> USA ravijuhend </w:t>
      </w:r>
      <w:r w:rsidR="00A958DF" w:rsidRPr="009501B2">
        <w:rPr>
          <w:lang w:val="et-EE"/>
        </w:rPr>
        <w:t xml:space="preserve">soovitab </w:t>
      </w:r>
      <w:r w:rsidRPr="009501B2">
        <w:rPr>
          <w:lang w:val="et-EE"/>
        </w:rPr>
        <w:t>optimiseerida glükeemiline kontroll.</w:t>
      </w:r>
    </w:p>
    <w:p w14:paraId="34977F7C" w14:textId="0908F6A1" w:rsidR="00A958DF" w:rsidRPr="009501B2" w:rsidRDefault="00A958DF" w:rsidP="00A958DF">
      <w:pPr>
        <w:pStyle w:val="ListParagraph"/>
        <w:numPr>
          <w:ilvl w:val="0"/>
          <w:numId w:val="10"/>
        </w:numPr>
        <w:rPr>
          <w:rFonts w:eastAsiaTheme="minorEastAsia"/>
          <w:b/>
          <w:color w:val="1A1818"/>
          <w:sz w:val="22"/>
          <w:szCs w:val="22"/>
          <w:lang w:val="et-EE" w:eastAsia="ja-JP"/>
        </w:rPr>
      </w:pPr>
      <w:r w:rsidRPr="009501B2">
        <w:rPr>
          <w:lang w:val="et-EE"/>
        </w:rPr>
        <w:t>Endokrinoloogide ühingu poolt välja antud ravijuhendis (2010) soovitatakse regulaarselt läbi viia kliinilised ja biokeemilised analüüsid (</w:t>
      </w:r>
      <w:r w:rsidRPr="009501B2">
        <w:rPr>
          <w:rFonts w:eastAsiaTheme="minorEastAsia"/>
          <w:color w:val="1A1718"/>
          <w:szCs w:val="15"/>
          <w:lang w:val="et-EE" w:eastAsia="ja-JP"/>
        </w:rPr>
        <w:t xml:space="preserve">tugev soovitus, tõendusmaterjal keskmise kvaliteediga). Preoperatiivselt </w:t>
      </w:r>
      <w:r w:rsidRPr="009501B2">
        <w:rPr>
          <w:rFonts w:eastAsiaTheme="minorEastAsia"/>
          <w:b/>
          <w:color w:val="1A1718"/>
          <w:szCs w:val="15"/>
          <w:lang w:val="et-EE" w:eastAsia="ja-JP"/>
        </w:rPr>
        <w:t>määrata raud/ferritin, B</w:t>
      </w:r>
      <w:r w:rsidRPr="004F2384">
        <w:rPr>
          <w:rFonts w:eastAsiaTheme="minorEastAsia"/>
          <w:b/>
          <w:color w:val="1A1718"/>
          <w:szCs w:val="15"/>
          <w:vertAlign w:val="subscript"/>
          <w:lang w:val="et-EE" w:eastAsia="ja-JP"/>
        </w:rPr>
        <w:t>12</w:t>
      </w:r>
      <w:r w:rsidRPr="009501B2">
        <w:rPr>
          <w:rFonts w:eastAsiaTheme="minorEastAsia"/>
          <w:b/>
          <w:color w:val="1A1718"/>
          <w:szCs w:val="15"/>
          <w:lang w:val="et-EE" w:eastAsia="ja-JP"/>
        </w:rPr>
        <w:t>-vitamiin, folaat, Ca, PTH, D-vitamiin ja tsink.</w:t>
      </w:r>
    </w:p>
    <w:p w14:paraId="54828114" w14:textId="507D3537" w:rsidR="00A958DF" w:rsidRPr="009501B2" w:rsidRDefault="00A958DF" w:rsidP="00A958DF">
      <w:pPr>
        <w:pStyle w:val="ListParagraph"/>
        <w:numPr>
          <w:ilvl w:val="0"/>
          <w:numId w:val="10"/>
        </w:numPr>
        <w:rPr>
          <w:rFonts w:eastAsiaTheme="minorEastAsia"/>
          <w:b/>
          <w:color w:val="1A1818"/>
          <w:sz w:val="22"/>
          <w:szCs w:val="22"/>
          <w:lang w:val="et-EE" w:eastAsia="ja-JP"/>
        </w:rPr>
      </w:pPr>
      <w:r w:rsidRPr="009501B2">
        <w:rPr>
          <w:lang w:val="et-EE"/>
        </w:rPr>
        <w:t>Mõõduka tõenduspõhisusega süstemaatilises ülevaateartiklis</w:t>
      </w:r>
      <w:r w:rsidR="00703039" w:rsidRPr="009501B2">
        <w:rPr>
          <w:lang w:val="et-EE"/>
        </w:rPr>
        <w:t xml:space="preserve"> (Gomes de Lima et al)</w:t>
      </w:r>
      <w:r w:rsidRPr="009501B2">
        <w:rPr>
          <w:lang w:val="et-EE"/>
        </w:rPr>
        <w:t xml:space="preserve"> </w:t>
      </w:r>
      <w:r w:rsidR="001A6942" w:rsidRPr="009501B2">
        <w:rPr>
          <w:lang w:val="et-EE"/>
        </w:rPr>
        <w:t xml:space="preserve">leiti, et levinuimad on </w:t>
      </w:r>
      <w:r w:rsidRPr="00B5480C">
        <w:rPr>
          <w:b/>
          <w:bCs/>
          <w:color w:val="000000"/>
          <w:kern w:val="36"/>
          <w:lang w:val="et-EE" w:eastAsia="et-EE"/>
        </w:rPr>
        <w:t xml:space="preserve">raua, ferritiini, tiamiini, D-vitamiini, </w:t>
      </w:r>
      <w:r w:rsidR="001A6942" w:rsidRPr="00B5480C">
        <w:rPr>
          <w:b/>
          <w:bCs/>
          <w:color w:val="000000"/>
          <w:kern w:val="36"/>
          <w:lang w:val="et-EE" w:eastAsia="et-EE"/>
        </w:rPr>
        <w:t>seleeni, tsingi, B</w:t>
      </w:r>
      <w:r w:rsidR="001A6942" w:rsidRPr="004F2384">
        <w:rPr>
          <w:b/>
          <w:bCs/>
          <w:color w:val="000000"/>
          <w:kern w:val="36"/>
          <w:vertAlign w:val="subscript"/>
          <w:lang w:val="et-EE" w:eastAsia="et-EE"/>
        </w:rPr>
        <w:t>12</w:t>
      </w:r>
      <w:r w:rsidR="001A6942" w:rsidRPr="00B5480C">
        <w:rPr>
          <w:b/>
          <w:bCs/>
          <w:color w:val="000000"/>
          <w:kern w:val="36"/>
          <w:lang w:val="et-EE" w:eastAsia="et-EE"/>
        </w:rPr>
        <w:t xml:space="preserve">-vitamiini ja </w:t>
      </w:r>
      <w:r w:rsidRPr="00B5480C">
        <w:rPr>
          <w:b/>
          <w:bCs/>
          <w:color w:val="000000"/>
          <w:kern w:val="36"/>
          <w:lang w:val="et-EE" w:eastAsia="et-EE"/>
        </w:rPr>
        <w:t>foolhappe</w:t>
      </w:r>
      <w:r w:rsidR="001A6942" w:rsidRPr="00B5480C">
        <w:rPr>
          <w:b/>
          <w:bCs/>
          <w:color w:val="000000"/>
          <w:kern w:val="36"/>
          <w:lang w:val="et-EE" w:eastAsia="et-EE"/>
        </w:rPr>
        <w:t xml:space="preserve"> madalad tasemed</w:t>
      </w:r>
      <w:r w:rsidRPr="00B5480C">
        <w:rPr>
          <w:b/>
          <w:bCs/>
          <w:color w:val="000000"/>
          <w:kern w:val="36"/>
          <w:lang w:val="et-EE" w:eastAsia="et-EE"/>
        </w:rPr>
        <w:t xml:space="preserve"> ning kõrge PTH tase.</w:t>
      </w:r>
      <w:r w:rsidR="001A6942" w:rsidRPr="00B5480C">
        <w:rPr>
          <w:b/>
          <w:bCs/>
          <w:color w:val="000000"/>
          <w:kern w:val="36"/>
          <w:lang w:val="et-EE" w:eastAsia="et-EE"/>
        </w:rPr>
        <w:t xml:space="preserve"> </w:t>
      </w:r>
      <w:r w:rsidR="001A6942" w:rsidRPr="00B5480C">
        <w:rPr>
          <w:bCs/>
          <w:color w:val="000000"/>
          <w:kern w:val="36"/>
          <w:lang w:val="et-EE" w:eastAsia="et-EE"/>
        </w:rPr>
        <w:t xml:space="preserve">Madala </w:t>
      </w:r>
      <w:r w:rsidR="001A6942" w:rsidRPr="009501B2">
        <w:rPr>
          <w:bCs/>
          <w:color w:val="000000"/>
          <w:kern w:val="36"/>
          <w:lang w:val="et-EE" w:eastAsia="et-EE"/>
        </w:rPr>
        <w:t>tõenduspõhisusega süstemaatilises ülevaateartiklis</w:t>
      </w:r>
      <w:r w:rsidR="00703039" w:rsidRPr="009501B2">
        <w:rPr>
          <w:bCs/>
          <w:color w:val="000000"/>
          <w:kern w:val="36"/>
          <w:lang w:val="et-EE" w:eastAsia="et-EE"/>
        </w:rPr>
        <w:t xml:space="preserve"> (Stroh et al)</w:t>
      </w:r>
      <w:r w:rsidR="001A6942" w:rsidRPr="009501B2">
        <w:rPr>
          <w:bCs/>
          <w:color w:val="000000"/>
          <w:kern w:val="36"/>
          <w:lang w:val="et-EE" w:eastAsia="et-EE"/>
        </w:rPr>
        <w:t xml:space="preserve"> soovitatakse määrata </w:t>
      </w:r>
      <w:r w:rsidR="001A6942" w:rsidRPr="00B5480C">
        <w:rPr>
          <w:b/>
          <w:lang w:val="et-EE"/>
        </w:rPr>
        <w:t>raua, B</w:t>
      </w:r>
      <w:r w:rsidR="001A6942" w:rsidRPr="00B5480C">
        <w:rPr>
          <w:b/>
          <w:vertAlign w:val="subscript"/>
          <w:lang w:val="et-EE"/>
        </w:rPr>
        <w:t>12,</w:t>
      </w:r>
      <w:r w:rsidR="001A6942" w:rsidRPr="00B5480C">
        <w:rPr>
          <w:b/>
          <w:lang w:val="et-EE"/>
        </w:rPr>
        <w:t>-</w:t>
      </w:r>
      <w:r w:rsidR="001A6942" w:rsidRPr="00B5480C">
        <w:rPr>
          <w:b/>
          <w:vertAlign w:val="subscript"/>
          <w:lang w:val="et-EE"/>
        </w:rPr>
        <w:t xml:space="preserve"> </w:t>
      </w:r>
      <w:r w:rsidR="001A6942" w:rsidRPr="00B5480C">
        <w:rPr>
          <w:b/>
          <w:lang w:val="et-EE"/>
        </w:rPr>
        <w:t>B</w:t>
      </w:r>
      <w:r w:rsidR="001A6942" w:rsidRPr="00B5480C">
        <w:rPr>
          <w:b/>
          <w:vertAlign w:val="subscript"/>
          <w:lang w:val="et-EE"/>
        </w:rPr>
        <w:t>1</w:t>
      </w:r>
      <w:r w:rsidR="001A6942" w:rsidRPr="00B5480C">
        <w:rPr>
          <w:b/>
          <w:lang w:val="et-EE"/>
        </w:rPr>
        <w:t>-, D-vitamiini ja kaltsiumi</w:t>
      </w:r>
      <w:r w:rsidR="001A6942" w:rsidRPr="009501B2">
        <w:rPr>
          <w:lang w:val="et-EE"/>
        </w:rPr>
        <w:t xml:space="preserve"> taset.</w:t>
      </w:r>
    </w:p>
    <w:p w14:paraId="6E6F6D92" w14:textId="26A0852D" w:rsidR="00703039" w:rsidRPr="009501B2" w:rsidRDefault="00703039" w:rsidP="00A958DF">
      <w:pPr>
        <w:pStyle w:val="ListParagraph"/>
        <w:numPr>
          <w:ilvl w:val="0"/>
          <w:numId w:val="10"/>
        </w:numPr>
        <w:rPr>
          <w:rFonts w:eastAsiaTheme="minorEastAsia"/>
          <w:b/>
          <w:color w:val="1A1818"/>
          <w:sz w:val="22"/>
          <w:szCs w:val="22"/>
          <w:lang w:val="et-EE" w:eastAsia="ja-JP"/>
        </w:rPr>
      </w:pPr>
      <w:r w:rsidRPr="009501B2">
        <w:rPr>
          <w:rFonts w:eastAsiaTheme="minorEastAsia"/>
          <w:color w:val="1A1818"/>
          <w:sz w:val="22"/>
          <w:szCs w:val="22"/>
          <w:lang w:val="et-EE" w:eastAsia="ja-JP"/>
        </w:rPr>
        <w:t>Mõõduka tõenduspõhisusega ülevaateartiklis (Stein et al) soovitatakse määrata</w:t>
      </w:r>
      <w:r w:rsidRPr="009501B2">
        <w:rPr>
          <w:rFonts w:eastAsiaTheme="minorEastAsia"/>
          <w:b/>
          <w:color w:val="1A1818"/>
          <w:sz w:val="22"/>
          <w:szCs w:val="22"/>
          <w:lang w:val="et-EE" w:eastAsia="ja-JP"/>
        </w:rPr>
        <w:t xml:space="preserve"> </w:t>
      </w:r>
      <w:r w:rsidRPr="009501B2">
        <w:rPr>
          <w:b/>
          <w:lang w:val="et-EE"/>
        </w:rPr>
        <w:t>B</w:t>
      </w:r>
      <w:r w:rsidRPr="004F2384">
        <w:rPr>
          <w:b/>
          <w:vertAlign w:val="subscript"/>
          <w:lang w:val="et-EE"/>
        </w:rPr>
        <w:t>12</w:t>
      </w:r>
      <w:r w:rsidRPr="009501B2">
        <w:rPr>
          <w:b/>
          <w:lang w:val="et-EE"/>
        </w:rPr>
        <w:t>- ja D-vitamiini, Zn, Fe, Ca, iPTH</w:t>
      </w:r>
      <w:r w:rsidRPr="009501B2">
        <w:rPr>
          <w:lang w:val="et-EE"/>
        </w:rPr>
        <w:t xml:space="preserve"> tasemed ning madala tõenduspõhisusega ülevaateartiklis (Gudzune et al) soovitatakse teha </w:t>
      </w:r>
      <w:r w:rsidRPr="009501B2">
        <w:rPr>
          <w:b/>
          <w:lang w:val="et-EE"/>
        </w:rPr>
        <w:t>D-, B</w:t>
      </w:r>
      <w:r w:rsidRPr="004F2384">
        <w:rPr>
          <w:b/>
          <w:vertAlign w:val="subscript"/>
          <w:lang w:val="et-EE"/>
        </w:rPr>
        <w:t>12</w:t>
      </w:r>
      <w:r w:rsidRPr="009501B2">
        <w:rPr>
          <w:b/>
          <w:lang w:val="et-EE"/>
        </w:rPr>
        <w:t xml:space="preserve">- vitamiini, folaadi ja raua </w:t>
      </w:r>
      <w:r w:rsidRPr="009501B2">
        <w:rPr>
          <w:lang w:val="et-EE"/>
        </w:rPr>
        <w:t>analüüs.</w:t>
      </w:r>
    </w:p>
    <w:p w14:paraId="541E6FB6" w14:textId="77777777" w:rsidR="00341A07" w:rsidRPr="009501B2" w:rsidRDefault="00341A07" w:rsidP="00BF70C4">
      <w:pPr>
        <w:autoSpaceDE w:val="0"/>
        <w:autoSpaceDN w:val="0"/>
        <w:adjustRightInd w:val="0"/>
        <w:rPr>
          <w:lang w:val="et-EE"/>
        </w:rPr>
      </w:pPr>
    </w:p>
    <w:p w14:paraId="049E8EEC" w14:textId="2EB07967" w:rsidR="000B66F5" w:rsidRPr="009501B2" w:rsidRDefault="000B66F5" w:rsidP="00BF70C4">
      <w:pPr>
        <w:autoSpaceDE w:val="0"/>
        <w:autoSpaceDN w:val="0"/>
        <w:adjustRightInd w:val="0"/>
        <w:rPr>
          <w:lang w:val="et-EE"/>
        </w:rPr>
      </w:pPr>
      <w:r w:rsidRPr="009501B2">
        <w:rPr>
          <w:lang w:val="et-EE"/>
        </w:rPr>
        <w:t xml:space="preserve">Erinevad uuringud on andnud toitainete puudujääkide osas varieeruvaid tulemusi. Osaliselt kindlasti seetõttu, et analüütilised testid ei ole standardiseeritud ja kasutatakse erinevaid referentsvahemikke. Sellegipoolest on piisavalt viiteid sellele, et </w:t>
      </w:r>
      <w:r w:rsidR="007225E6" w:rsidRPr="009501B2">
        <w:rPr>
          <w:lang w:val="et-EE"/>
        </w:rPr>
        <w:t xml:space="preserve">organismi madal </w:t>
      </w:r>
      <w:r w:rsidRPr="009501B2">
        <w:rPr>
          <w:lang w:val="et-EE"/>
        </w:rPr>
        <w:t xml:space="preserve">toitainete </w:t>
      </w:r>
      <w:r w:rsidR="007225E6" w:rsidRPr="009501B2">
        <w:rPr>
          <w:lang w:val="et-EE"/>
        </w:rPr>
        <w:t xml:space="preserve"> tase on rasvunud patsientide puhul levinud ning see võib suurendada postoperatiivsete komplikatsioonide esinemissagedust.</w:t>
      </w:r>
    </w:p>
    <w:p w14:paraId="432E278E" w14:textId="5CB042D5" w:rsidR="00341A07" w:rsidRDefault="00341A07" w:rsidP="00BF70C4">
      <w:pPr>
        <w:autoSpaceDE w:val="0"/>
        <w:autoSpaceDN w:val="0"/>
        <w:adjustRightInd w:val="0"/>
        <w:rPr>
          <w:lang w:val="et-EE"/>
        </w:rPr>
      </w:pPr>
      <w:r w:rsidRPr="009501B2">
        <w:rPr>
          <w:lang w:val="et-EE"/>
        </w:rPr>
        <w:t>Kulutõhususe kohta tõendusmaterjali ei leitud.</w:t>
      </w:r>
    </w:p>
    <w:p w14:paraId="7B750D62" w14:textId="77777777" w:rsidR="009B7861" w:rsidRPr="00491CAC" w:rsidRDefault="009B7861" w:rsidP="00491CAC">
      <w:pPr>
        <w:autoSpaceDE w:val="0"/>
        <w:autoSpaceDN w:val="0"/>
        <w:adjustRightInd w:val="0"/>
        <w:rPr>
          <w:lang w:val="et-EE"/>
        </w:rPr>
      </w:pPr>
    </w:p>
    <w:p w14:paraId="00EA10E3" w14:textId="77777777" w:rsidR="006A3BAC" w:rsidRPr="009501B2" w:rsidRDefault="006A3BAC" w:rsidP="003276D8">
      <w:pPr>
        <w:autoSpaceDE w:val="0"/>
        <w:autoSpaceDN w:val="0"/>
        <w:adjustRightInd w:val="0"/>
        <w:rPr>
          <w:b/>
          <w:color w:val="131413"/>
          <w:lang w:val="et-EE"/>
        </w:rPr>
      </w:pPr>
      <w:r w:rsidRPr="009501B2">
        <w:rPr>
          <w:b/>
          <w:color w:val="131413"/>
          <w:lang w:val="et-EE"/>
        </w:rPr>
        <w:lastRenderedPageBreak/>
        <w:t>Kokkuvõte tõendustest:</w:t>
      </w:r>
    </w:p>
    <w:p w14:paraId="2E967F66" w14:textId="77777777" w:rsidR="006A3BAC" w:rsidRPr="009501B2" w:rsidRDefault="006A3BAC" w:rsidP="003276D8">
      <w:pPr>
        <w:autoSpaceDE w:val="0"/>
        <w:autoSpaceDN w:val="0"/>
        <w:adjustRightInd w:val="0"/>
        <w:rPr>
          <w:b/>
          <w:color w:val="131413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4"/>
        <w:gridCol w:w="2976"/>
      </w:tblGrid>
      <w:tr w:rsidR="006A3BAC" w:rsidRPr="009501B2" w14:paraId="3AB2B061" w14:textId="77777777" w:rsidTr="002A40AC">
        <w:tc>
          <w:tcPr>
            <w:tcW w:w="6204" w:type="dxa"/>
          </w:tcPr>
          <w:p w14:paraId="5EA248F7" w14:textId="25BBB5E0" w:rsidR="006A3BAC" w:rsidRPr="009501B2" w:rsidRDefault="006A3BAC" w:rsidP="009C0386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b/>
                <w:lang w:val="et-EE"/>
              </w:rPr>
            </w:pPr>
            <w:r w:rsidRPr="009501B2">
              <w:rPr>
                <w:b/>
                <w:lang w:val="et-EE"/>
              </w:rPr>
              <w:t xml:space="preserve">Kokkuvõtted </w:t>
            </w:r>
            <w:r w:rsidR="000D1A47" w:rsidRPr="009501B2">
              <w:rPr>
                <w:b/>
                <w:lang w:val="et-EE"/>
              </w:rPr>
              <w:t xml:space="preserve">süstemaatilistest </w:t>
            </w:r>
            <w:r w:rsidRPr="009501B2">
              <w:rPr>
                <w:b/>
                <w:lang w:val="et-EE"/>
              </w:rPr>
              <w:t>ülevaateartiklitest</w:t>
            </w:r>
          </w:p>
        </w:tc>
        <w:tc>
          <w:tcPr>
            <w:tcW w:w="2976" w:type="dxa"/>
          </w:tcPr>
          <w:p w14:paraId="12D61A11" w14:textId="77777777" w:rsidR="006A3BAC" w:rsidRPr="009501B2" w:rsidRDefault="006A3BAC" w:rsidP="009C0386">
            <w:pPr>
              <w:spacing w:before="120" w:after="120"/>
              <w:rPr>
                <w:b/>
                <w:lang w:val="et-EE"/>
              </w:rPr>
            </w:pPr>
            <w:r w:rsidRPr="009501B2">
              <w:rPr>
                <w:b/>
                <w:lang w:val="et-EE"/>
              </w:rPr>
              <w:t>Viide</w:t>
            </w:r>
          </w:p>
        </w:tc>
      </w:tr>
      <w:tr w:rsidR="006E7D92" w:rsidRPr="009501B2" w14:paraId="4B004EEE" w14:textId="77777777" w:rsidTr="002A40AC">
        <w:tc>
          <w:tcPr>
            <w:tcW w:w="6204" w:type="dxa"/>
          </w:tcPr>
          <w:p w14:paraId="36AC966C" w14:textId="77777777" w:rsidR="006E7D92" w:rsidRPr="009501B2" w:rsidRDefault="006E7D92" w:rsidP="009C0386">
            <w:pPr>
              <w:tabs>
                <w:tab w:val="left" w:pos="0"/>
              </w:tabs>
              <w:spacing w:before="120" w:after="120"/>
              <w:rPr>
                <w:rFonts w:eastAsiaTheme="minorEastAsia"/>
                <w:color w:val="1A1718"/>
                <w:szCs w:val="15"/>
                <w:lang w:val="et-EE" w:eastAsia="ja-JP"/>
              </w:rPr>
            </w:pPr>
            <w:r w:rsidRPr="009501B2">
              <w:rPr>
                <w:rFonts w:eastAsiaTheme="minorEastAsia"/>
                <w:color w:val="1A1718"/>
                <w:szCs w:val="15"/>
                <w:lang w:val="et-EE" w:eastAsia="ja-JP"/>
              </w:rPr>
              <w:t>Soovitavad perioodiliselt läbi viia kliinilised ja biokeemilised analüüsid, et tuvastada mikro- ja makrotoitainete puudujäägid (tugev soovitus, tõendusmaterjal keskmise kvaliteediga). Regulaarne vereanalüüside ja toitumise jälgmine pre- ja postoperatiivselt on optimaalse toitumise tagamise aluseks.</w:t>
            </w:r>
          </w:p>
          <w:p w14:paraId="16137EAF" w14:textId="77777777" w:rsidR="006E7D92" w:rsidRPr="009501B2" w:rsidRDefault="006E7D92" w:rsidP="009C0386">
            <w:pPr>
              <w:tabs>
                <w:tab w:val="left" w:pos="0"/>
              </w:tabs>
              <w:spacing w:before="120" w:after="120"/>
              <w:rPr>
                <w:rFonts w:eastAsiaTheme="minorEastAsia"/>
                <w:color w:val="1A1718"/>
                <w:szCs w:val="15"/>
                <w:lang w:val="et-EE" w:eastAsia="ja-JP"/>
              </w:rPr>
            </w:pPr>
            <w:r w:rsidRPr="009501B2">
              <w:rPr>
                <w:rFonts w:eastAsiaTheme="minorEastAsia"/>
                <w:color w:val="1A1718"/>
                <w:szCs w:val="15"/>
                <w:lang w:val="et-EE" w:eastAsia="ja-JP"/>
              </w:rPr>
              <w:t>Preoperatiivselt soovitatakse teha järgmised analüüsid:</w:t>
            </w:r>
          </w:p>
          <w:p w14:paraId="04EFC410" w14:textId="77777777" w:rsidR="006E7D92" w:rsidRPr="009501B2" w:rsidRDefault="006E7D92" w:rsidP="009C038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before="120" w:after="120"/>
              <w:rPr>
                <w:lang w:val="et-EE"/>
              </w:rPr>
            </w:pPr>
            <w:r w:rsidRPr="009501B2">
              <w:rPr>
                <w:lang w:val="et-EE"/>
              </w:rPr>
              <w:t>Hemogramm</w:t>
            </w:r>
          </w:p>
          <w:p w14:paraId="7D414E09" w14:textId="77777777" w:rsidR="006E7D92" w:rsidRPr="009501B2" w:rsidRDefault="006E7D92" w:rsidP="009C038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before="120" w:after="120"/>
              <w:rPr>
                <w:lang w:val="et-EE"/>
              </w:rPr>
            </w:pPr>
            <w:r w:rsidRPr="009501B2">
              <w:rPr>
                <w:lang w:val="et-EE"/>
              </w:rPr>
              <w:t>Maksa funktsiooni testid</w:t>
            </w:r>
          </w:p>
          <w:p w14:paraId="4D5BA043" w14:textId="77777777" w:rsidR="006E7D92" w:rsidRPr="009501B2" w:rsidRDefault="006E7D92" w:rsidP="009C038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before="120" w:after="120"/>
              <w:rPr>
                <w:lang w:val="et-EE"/>
              </w:rPr>
            </w:pPr>
            <w:r w:rsidRPr="009501B2">
              <w:rPr>
                <w:lang w:val="et-EE"/>
              </w:rPr>
              <w:t>Glükoos</w:t>
            </w:r>
          </w:p>
          <w:p w14:paraId="4F2000E2" w14:textId="77777777" w:rsidR="006E7D92" w:rsidRPr="009501B2" w:rsidRDefault="006E7D92" w:rsidP="009C038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before="120" w:after="120"/>
              <w:rPr>
                <w:lang w:val="et-EE"/>
              </w:rPr>
            </w:pPr>
            <w:r w:rsidRPr="009501B2">
              <w:rPr>
                <w:lang w:val="et-EE"/>
              </w:rPr>
              <w:t>Kreatiniin</w:t>
            </w:r>
          </w:p>
          <w:p w14:paraId="19CEB013" w14:textId="77777777" w:rsidR="006E7D92" w:rsidRPr="009501B2" w:rsidRDefault="006E7D92" w:rsidP="009C038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before="120" w:after="120"/>
              <w:rPr>
                <w:lang w:val="et-EE"/>
              </w:rPr>
            </w:pPr>
            <w:r w:rsidRPr="009501B2">
              <w:rPr>
                <w:lang w:val="et-EE"/>
              </w:rPr>
              <w:t>Elektrolüüdid</w:t>
            </w:r>
          </w:p>
          <w:p w14:paraId="294597CE" w14:textId="77777777" w:rsidR="006E7D92" w:rsidRPr="009501B2" w:rsidRDefault="006E7D92" w:rsidP="009C038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before="120" w:after="120"/>
              <w:rPr>
                <w:b/>
                <w:lang w:val="et-EE"/>
              </w:rPr>
            </w:pPr>
            <w:r w:rsidRPr="009501B2">
              <w:rPr>
                <w:b/>
                <w:lang w:val="et-EE"/>
              </w:rPr>
              <w:t>Raud/ferritin</w:t>
            </w:r>
          </w:p>
          <w:p w14:paraId="6DDD7793" w14:textId="77777777" w:rsidR="006E7D92" w:rsidRPr="009501B2" w:rsidRDefault="006E7D92" w:rsidP="009C038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before="120" w:after="120"/>
              <w:rPr>
                <w:b/>
                <w:lang w:val="et-EE"/>
              </w:rPr>
            </w:pPr>
            <w:r w:rsidRPr="009501B2">
              <w:rPr>
                <w:b/>
                <w:lang w:val="et-EE"/>
              </w:rPr>
              <w:t>B</w:t>
            </w:r>
            <w:r w:rsidRPr="004F2384">
              <w:rPr>
                <w:b/>
                <w:vertAlign w:val="subscript"/>
                <w:lang w:val="et-EE"/>
              </w:rPr>
              <w:t>12</w:t>
            </w:r>
            <w:r w:rsidRPr="009501B2">
              <w:rPr>
                <w:b/>
                <w:lang w:val="et-EE"/>
              </w:rPr>
              <w:t>-vitamiin</w:t>
            </w:r>
          </w:p>
          <w:p w14:paraId="64413604" w14:textId="77777777" w:rsidR="006E7D92" w:rsidRPr="009501B2" w:rsidRDefault="006E7D92" w:rsidP="009C038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before="120" w:after="120"/>
              <w:rPr>
                <w:b/>
                <w:lang w:val="et-EE"/>
              </w:rPr>
            </w:pPr>
            <w:r w:rsidRPr="009501B2">
              <w:rPr>
                <w:b/>
                <w:lang w:val="et-EE"/>
              </w:rPr>
              <w:t>Folaat</w:t>
            </w:r>
          </w:p>
          <w:p w14:paraId="34C21BC8" w14:textId="77777777" w:rsidR="006E7D92" w:rsidRPr="009501B2" w:rsidRDefault="006E7D92" w:rsidP="009C038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before="120" w:after="120"/>
              <w:rPr>
                <w:b/>
                <w:lang w:val="et-EE"/>
              </w:rPr>
            </w:pPr>
            <w:r w:rsidRPr="009501B2">
              <w:rPr>
                <w:b/>
                <w:lang w:val="et-EE"/>
              </w:rPr>
              <w:t>Kaltsium</w:t>
            </w:r>
          </w:p>
          <w:p w14:paraId="15B0A9D1" w14:textId="77777777" w:rsidR="006E7D92" w:rsidRPr="009501B2" w:rsidRDefault="006E7D92" w:rsidP="009C038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before="120" w:after="120"/>
              <w:rPr>
                <w:b/>
                <w:lang w:val="et-EE"/>
              </w:rPr>
            </w:pPr>
            <w:r w:rsidRPr="009501B2">
              <w:rPr>
                <w:b/>
                <w:lang w:val="et-EE"/>
              </w:rPr>
              <w:t>PTH</w:t>
            </w:r>
          </w:p>
          <w:p w14:paraId="170CAC9C" w14:textId="77777777" w:rsidR="006E7D92" w:rsidRPr="009501B2" w:rsidRDefault="006E7D92" w:rsidP="009C038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before="120" w:after="120"/>
              <w:rPr>
                <w:b/>
                <w:lang w:val="et-EE"/>
              </w:rPr>
            </w:pPr>
            <w:r w:rsidRPr="009501B2">
              <w:rPr>
                <w:rFonts w:ascii="Times-Roman" w:hAnsi="Times-Roman" w:cs="Times-Roman"/>
                <w:b/>
                <w:lang w:val="et-EE"/>
              </w:rPr>
              <w:t>25(OH) D</w:t>
            </w:r>
            <w:r w:rsidRPr="004F2384">
              <w:rPr>
                <w:rFonts w:ascii="Times-Roman" w:hAnsi="Times-Roman" w:cs="Times-Roman"/>
                <w:b/>
                <w:vertAlign w:val="subscript"/>
                <w:lang w:val="et-EE"/>
              </w:rPr>
              <w:t>3</w:t>
            </w:r>
            <w:r w:rsidRPr="009501B2">
              <w:rPr>
                <w:rFonts w:ascii="Times-Roman" w:hAnsi="Times-Roman" w:cs="Times-Roman"/>
                <w:b/>
                <w:lang w:val="et-EE"/>
              </w:rPr>
              <w:t xml:space="preserve"> vitamiin</w:t>
            </w:r>
            <w:r w:rsidRPr="009501B2">
              <w:rPr>
                <w:b/>
                <w:lang w:val="et-EE"/>
              </w:rPr>
              <w:t xml:space="preserve"> </w:t>
            </w:r>
          </w:p>
          <w:p w14:paraId="0E070675" w14:textId="5C46A9EC" w:rsidR="006E7D92" w:rsidRPr="009501B2" w:rsidRDefault="006E7D92" w:rsidP="009C038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before="120" w:after="120"/>
              <w:rPr>
                <w:lang w:val="et-EE"/>
              </w:rPr>
            </w:pPr>
            <w:r w:rsidRPr="009501B2">
              <w:rPr>
                <w:lang w:val="et-EE"/>
              </w:rPr>
              <w:t>Albumiin/prealbumiin</w:t>
            </w:r>
          </w:p>
          <w:p w14:paraId="3E8F6197" w14:textId="77777777" w:rsidR="006E7D92" w:rsidRPr="009501B2" w:rsidRDefault="006E7D92" w:rsidP="009C038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before="120" w:after="120"/>
              <w:rPr>
                <w:lang w:val="et-EE"/>
              </w:rPr>
            </w:pPr>
            <w:r w:rsidRPr="009501B2">
              <w:rPr>
                <w:lang w:val="et-EE"/>
              </w:rPr>
              <w:t>A-vitamiin</w:t>
            </w:r>
          </w:p>
          <w:p w14:paraId="31633BC4" w14:textId="614CE87A" w:rsidR="006E7D92" w:rsidRPr="009501B2" w:rsidRDefault="006E7D92" w:rsidP="009C0386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before="120" w:after="120"/>
              <w:rPr>
                <w:b/>
                <w:lang w:val="et-EE"/>
              </w:rPr>
            </w:pPr>
            <w:r w:rsidRPr="009501B2">
              <w:rPr>
                <w:b/>
                <w:lang w:val="et-EE"/>
              </w:rPr>
              <w:t>Tsink</w:t>
            </w:r>
          </w:p>
        </w:tc>
        <w:tc>
          <w:tcPr>
            <w:tcW w:w="2976" w:type="dxa"/>
          </w:tcPr>
          <w:p w14:paraId="4339498D" w14:textId="70ABF553" w:rsidR="006E7D92" w:rsidRPr="009501B2" w:rsidRDefault="006E7D92" w:rsidP="00707E92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noProof/>
                <w:lang w:val="et-EE"/>
              </w:rPr>
            </w:pPr>
            <w:bookmarkStart w:id="0" w:name="_ENREF_1"/>
            <w:r w:rsidRPr="009501B2">
              <w:rPr>
                <w:noProof/>
                <w:lang w:val="et-EE"/>
              </w:rPr>
              <w:t>Ravijuhend</w:t>
            </w:r>
          </w:p>
          <w:p w14:paraId="07C774D4" w14:textId="2F9C8592" w:rsidR="006E7D92" w:rsidRPr="009501B2" w:rsidRDefault="006E7D92" w:rsidP="00C60F88">
            <w:pPr>
              <w:spacing w:before="120" w:after="120"/>
              <w:ind w:left="33"/>
              <w:rPr>
                <w:noProof/>
                <w:lang w:val="et-EE"/>
              </w:rPr>
            </w:pPr>
            <w:r w:rsidRPr="009501B2">
              <w:rPr>
                <w:noProof/>
                <w:lang w:val="et-EE"/>
              </w:rPr>
              <w:t>Heber, D.</w:t>
            </w:r>
            <w:r w:rsidRPr="009501B2">
              <w:rPr>
                <w:i/>
                <w:noProof/>
                <w:lang w:val="et-EE"/>
              </w:rPr>
              <w:t>, et al.</w:t>
            </w:r>
            <w:r w:rsidRPr="009501B2">
              <w:rPr>
                <w:noProof/>
                <w:lang w:val="et-EE"/>
              </w:rPr>
              <w:t xml:space="preserve"> Endocrine and nutritional management of the post-bariatric surgery patient: an Endocrine Society Clinical Practice Guideline. </w:t>
            </w:r>
            <w:r w:rsidRPr="009501B2">
              <w:rPr>
                <w:i/>
                <w:noProof/>
                <w:lang w:val="et-EE"/>
              </w:rPr>
              <w:t>The Journal of clinical endocrinology and metabolism</w:t>
            </w:r>
            <w:r w:rsidRPr="009501B2">
              <w:rPr>
                <w:noProof/>
                <w:lang w:val="et-EE"/>
              </w:rPr>
              <w:t xml:space="preserve"> </w:t>
            </w:r>
            <w:r w:rsidRPr="009501B2">
              <w:rPr>
                <w:b/>
                <w:noProof/>
                <w:lang w:val="et-EE"/>
              </w:rPr>
              <w:t>95</w:t>
            </w:r>
            <w:r w:rsidRPr="009501B2">
              <w:rPr>
                <w:noProof/>
                <w:lang w:val="et-EE"/>
              </w:rPr>
              <w:t>, 4823-4843 (2010).</w:t>
            </w:r>
            <w:bookmarkEnd w:id="0"/>
          </w:p>
          <w:p w14:paraId="46F89F33" w14:textId="5E3570E7" w:rsidR="006E7D92" w:rsidRPr="009501B2" w:rsidRDefault="006E7D92" w:rsidP="009C0386">
            <w:pPr>
              <w:spacing w:before="120" w:after="120"/>
              <w:rPr>
                <w:b/>
                <w:lang w:val="et-EE"/>
              </w:rPr>
            </w:pPr>
          </w:p>
        </w:tc>
      </w:tr>
      <w:tr w:rsidR="00922D60" w:rsidRPr="009501B2" w14:paraId="06D0D381" w14:textId="77777777" w:rsidTr="002A40AC">
        <w:tc>
          <w:tcPr>
            <w:tcW w:w="6204" w:type="dxa"/>
          </w:tcPr>
          <w:p w14:paraId="21312DDD" w14:textId="2CA5398C" w:rsidR="00500A6D" w:rsidRPr="009501B2" w:rsidRDefault="005D661D" w:rsidP="00500A6D">
            <w:pPr>
              <w:autoSpaceDE w:val="0"/>
              <w:autoSpaceDN w:val="0"/>
              <w:adjustRightInd w:val="0"/>
              <w:spacing w:before="120" w:after="120"/>
              <w:rPr>
                <w:bCs/>
                <w:color w:val="000000"/>
                <w:kern w:val="36"/>
                <w:lang w:val="et-EE" w:eastAsia="et-EE"/>
              </w:rPr>
            </w:pPr>
            <w:r w:rsidRPr="009501B2">
              <w:rPr>
                <w:bCs/>
                <w:color w:val="000000"/>
                <w:kern w:val="36"/>
                <w:lang w:val="et-EE" w:eastAsia="et-EE"/>
              </w:rPr>
              <w:t>Süstemaatilises ü</w:t>
            </w:r>
            <w:r w:rsidR="00500A6D" w:rsidRPr="009501B2">
              <w:rPr>
                <w:bCs/>
                <w:color w:val="000000"/>
                <w:kern w:val="36"/>
                <w:lang w:val="et-EE" w:eastAsia="et-EE"/>
              </w:rPr>
              <w:t>levaateartiklis analüüsiti 40 ülevaateartiklit ja empiirilist uuringut, mis olid avaldatud vahemiksu 2005-2012</w:t>
            </w:r>
            <w:r w:rsidR="009A1FDD" w:rsidRPr="009501B2">
              <w:rPr>
                <w:bCs/>
                <w:color w:val="000000"/>
                <w:kern w:val="36"/>
                <w:lang w:val="et-EE" w:eastAsia="et-EE"/>
              </w:rPr>
              <w:t xml:space="preserve"> (</w:t>
            </w:r>
            <w:r w:rsidR="000458F2" w:rsidRPr="009501B2">
              <w:rPr>
                <w:color w:val="131413"/>
                <w:lang w:val="et-EE"/>
              </w:rPr>
              <w:t>tõenduspõhisuse tase</w:t>
            </w:r>
            <w:r w:rsidR="009A1FDD" w:rsidRPr="009501B2">
              <w:rPr>
                <w:bCs/>
                <w:color w:val="000000"/>
                <w:kern w:val="36"/>
                <w:lang w:val="et-EE" w:eastAsia="et-EE"/>
              </w:rPr>
              <w:t xml:space="preserve"> B</w:t>
            </w:r>
            <w:r w:rsidR="00D37499" w:rsidRPr="009501B2">
              <w:rPr>
                <w:bCs/>
                <w:color w:val="000000"/>
                <w:kern w:val="36"/>
                <w:lang w:val="et-EE" w:eastAsia="et-EE"/>
              </w:rPr>
              <w:t>)</w:t>
            </w:r>
            <w:r w:rsidR="00500A6D" w:rsidRPr="009501B2">
              <w:rPr>
                <w:bCs/>
                <w:color w:val="000000"/>
                <w:kern w:val="36"/>
                <w:lang w:val="et-EE" w:eastAsia="et-EE"/>
              </w:rPr>
              <w:t>.</w:t>
            </w:r>
          </w:p>
          <w:p w14:paraId="76B93459" w14:textId="77777777" w:rsidR="00500A6D" w:rsidRPr="009501B2" w:rsidRDefault="00500A6D" w:rsidP="00500A6D">
            <w:pPr>
              <w:autoSpaceDE w:val="0"/>
              <w:autoSpaceDN w:val="0"/>
              <w:adjustRightInd w:val="0"/>
              <w:spacing w:before="120" w:after="120"/>
              <w:rPr>
                <w:bCs/>
                <w:color w:val="000000"/>
                <w:kern w:val="36"/>
                <w:lang w:val="et-EE" w:eastAsia="et-EE"/>
              </w:rPr>
            </w:pPr>
            <w:r w:rsidRPr="009501B2">
              <w:rPr>
                <w:bCs/>
                <w:color w:val="000000"/>
                <w:kern w:val="36"/>
                <w:lang w:val="et-EE" w:eastAsia="et-EE"/>
              </w:rPr>
              <w:t>Bariaatrilise kirurgia kandidaatidel ehk rasvunud patsientidel on tuvastatud juba enne enne operatsiooni läbimist mikrotoitainete puudusi. Kuna malabsorptiivne protseduur võib hilisemat postoperatiivset olukorda veelgi halvendada, siis soovitatakse preoperatiivselt hinnata toitumuslikke parameetreid.</w:t>
            </w:r>
          </w:p>
          <w:p w14:paraId="01F27111" w14:textId="3A1A3BF5" w:rsidR="00922D60" w:rsidRPr="009501B2" w:rsidRDefault="00500A6D" w:rsidP="00500A6D">
            <w:pPr>
              <w:spacing w:before="120" w:after="120"/>
              <w:rPr>
                <w:lang w:val="et-EE"/>
              </w:rPr>
            </w:pPr>
            <w:r w:rsidRPr="009501B2">
              <w:rPr>
                <w:bCs/>
                <w:color w:val="000000"/>
                <w:kern w:val="36"/>
                <w:lang w:val="et-EE" w:eastAsia="et-EE"/>
              </w:rPr>
              <w:t>Levinuimad uuringutlemused olid madal raua, ferritiini, tiamiini, D-vitamiini, seleeni, tsingi, B</w:t>
            </w:r>
            <w:r w:rsidRPr="004F2384">
              <w:rPr>
                <w:bCs/>
                <w:color w:val="000000"/>
                <w:kern w:val="36"/>
                <w:vertAlign w:val="subscript"/>
                <w:lang w:val="et-EE" w:eastAsia="et-EE"/>
              </w:rPr>
              <w:t>12</w:t>
            </w:r>
            <w:r w:rsidRPr="009501B2">
              <w:rPr>
                <w:bCs/>
                <w:color w:val="000000"/>
                <w:kern w:val="36"/>
                <w:lang w:val="et-EE" w:eastAsia="et-EE"/>
              </w:rPr>
              <w:t>-vitamiini, foolhappe ning kõrge PTH tase.</w:t>
            </w:r>
          </w:p>
        </w:tc>
        <w:tc>
          <w:tcPr>
            <w:tcW w:w="2976" w:type="dxa"/>
          </w:tcPr>
          <w:p w14:paraId="07E567EE" w14:textId="7075D85F" w:rsidR="00922D60" w:rsidRPr="009501B2" w:rsidRDefault="00500A6D" w:rsidP="00707E9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20" w:after="120"/>
              <w:outlineLvl w:val="0"/>
              <w:rPr>
                <w:b/>
                <w:lang w:val="et-EE"/>
              </w:rPr>
            </w:pPr>
            <w:r w:rsidRPr="009501B2">
              <w:rPr>
                <w:noProof/>
                <w:lang w:val="et-EE"/>
              </w:rPr>
              <w:t xml:space="preserve">Gomes de Lima, K.V., Costa, M.J., Goncalves Mda, C. &amp; Sousa, B.S. Micronutrient deficiencies in the pre-bariatric surgery. </w:t>
            </w:r>
            <w:r w:rsidRPr="009501B2">
              <w:rPr>
                <w:i/>
                <w:noProof/>
                <w:lang w:val="et-EE"/>
              </w:rPr>
              <w:t>Arquivos brasileiros de cirurgia digestiva : ABCD = Brazilian archives of digestive surgery</w:t>
            </w:r>
            <w:r w:rsidRPr="009501B2">
              <w:rPr>
                <w:noProof/>
                <w:lang w:val="et-EE"/>
              </w:rPr>
              <w:t xml:space="preserve"> </w:t>
            </w:r>
            <w:r w:rsidRPr="009501B2">
              <w:rPr>
                <w:b/>
                <w:noProof/>
                <w:lang w:val="et-EE"/>
              </w:rPr>
              <w:t>26 Suppl 1</w:t>
            </w:r>
            <w:r w:rsidRPr="009501B2">
              <w:rPr>
                <w:noProof/>
                <w:lang w:val="et-EE"/>
              </w:rPr>
              <w:t>, 63-66 (2013).</w:t>
            </w:r>
          </w:p>
        </w:tc>
      </w:tr>
      <w:tr w:rsidR="00244E31" w:rsidRPr="009501B2" w14:paraId="17FDFE5C" w14:textId="77777777" w:rsidTr="002A40AC">
        <w:tc>
          <w:tcPr>
            <w:tcW w:w="6204" w:type="dxa"/>
          </w:tcPr>
          <w:p w14:paraId="0822BF90" w14:textId="09514561" w:rsidR="00244E31" w:rsidRPr="009501B2" w:rsidRDefault="00244E31" w:rsidP="00244E31">
            <w:pPr>
              <w:autoSpaceDE w:val="0"/>
              <w:autoSpaceDN w:val="0"/>
              <w:adjustRightInd w:val="0"/>
              <w:spacing w:before="120" w:after="120"/>
              <w:rPr>
                <w:bCs/>
                <w:color w:val="000000"/>
                <w:kern w:val="36"/>
                <w:lang w:val="et-EE" w:eastAsia="et-EE"/>
              </w:rPr>
            </w:pPr>
            <w:r w:rsidRPr="009501B2">
              <w:rPr>
                <w:lang w:val="et-EE"/>
              </w:rPr>
              <w:t>Preoperatiivselt soovitatakse kontrollida rauataset ja B</w:t>
            </w:r>
            <w:r w:rsidRPr="009501B2">
              <w:rPr>
                <w:vertAlign w:val="subscript"/>
                <w:lang w:val="et-EE"/>
              </w:rPr>
              <w:t>12,</w:t>
            </w:r>
            <w:r w:rsidRPr="009501B2">
              <w:rPr>
                <w:lang w:val="et-EE"/>
              </w:rPr>
              <w:t>-</w:t>
            </w:r>
            <w:r w:rsidRPr="009501B2">
              <w:rPr>
                <w:vertAlign w:val="subscript"/>
                <w:lang w:val="et-EE"/>
              </w:rPr>
              <w:t xml:space="preserve"> </w:t>
            </w:r>
            <w:r w:rsidRPr="009501B2">
              <w:rPr>
                <w:lang w:val="et-EE"/>
              </w:rPr>
              <w:t>B</w:t>
            </w:r>
            <w:r w:rsidRPr="009501B2">
              <w:rPr>
                <w:vertAlign w:val="subscript"/>
                <w:lang w:val="et-EE"/>
              </w:rPr>
              <w:t>1</w:t>
            </w:r>
            <w:r w:rsidRPr="009501B2">
              <w:rPr>
                <w:lang w:val="et-EE"/>
              </w:rPr>
              <w:t>-, D-vitamiini ja kaltsiumi taset. (</w:t>
            </w:r>
            <w:r w:rsidR="000458F2" w:rsidRPr="009501B2">
              <w:rPr>
                <w:color w:val="131413"/>
                <w:lang w:val="et-EE"/>
              </w:rPr>
              <w:t>tõenduspõhisuse tase</w:t>
            </w:r>
            <w:r w:rsidRPr="009501B2">
              <w:rPr>
                <w:lang w:val="et-EE"/>
              </w:rPr>
              <w:t xml:space="preserve"> C)</w:t>
            </w:r>
          </w:p>
        </w:tc>
        <w:tc>
          <w:tcPr>
            <w:tcW w:w="2976" w:type="dxa"/>
          </w:tcPr>
          <w:p w14:paraId="381BA7B8" w14:textId="416A893B" w:rsidR="00244E31" w:rsidRPr="009501B2" w:rsidRDefault="00244E31" w:rsidP="00707E9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20" w:after="120"/>
              <w:outlineLvl w:val="0"/>
              <w:rPr>
                <w:noProof/>
                <w:lang w:val="et-EE"/>
              </w:rPr>
            </w:pPr>
            <w:r w:rsidRPr="009501B2">
              <w:rPr>
                <w:lang w:val="et-EE"/>
              </w:rPr>
              <w:t>Stroh, C. et al. Nutrient Deficiencies after Bariatric Surgery-Systematic Literature Review and Suggestions for Diagnostics and Treatment. Zentralbl Chir. 3 (2013).</w:t>
            </w:r>
          </w:p>
        </w:tc>
      </w:tr>
    </w:tbl>
    <w:p w14:paraId="030AE11A" w14:textId="77777777" w:rsidR="006A3BAC" w:rsidRPr="009501B2" w:rsidRDefault="006A3BAC" w:rsidP="003276D8">
      <w:pPr>
        <w:rPr>
          <w:b/>
          <w:lang w:val="et-EE"/>
        </w:rPr>
      </w:pPr>
    </w:p>
    <w:p w14:paraId="3351FAAF" w14:textId="360D6D52" w:rsidR="006A3BAC" w:rsidRPr="009501B2" w:rsidRDefault="006A3BAC" w:rsidP="000D1A47">
      <w:pPr>
        <w:shd w:val="clear" w:color="auto" w:fill="FFFFFF"/>
        <w:spacing w:before="240" w:after="120"/>
        <w:outlineLvl w:val="0"/>
        <w:rPr>
          <w:b/>
          <w:bCs/>
          <w:color w:val="000000"/>
          <w:kern w:val="36"/>
          <w:lang w:val="et-EE"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3008"/>
      </w:tblGrid>
      <w:tr w:rsidR="000D1A47" w:rsidRPr="009501B2" w14:paraId="052C7AE9" w14:textId="77777777" w:rsidTr="001A6942">
        <w:tc>
          <w:tcPr>
            <w:tcW w:w="6204" w:type="dxa"/>
          </w:tcPr>
          <w:p w14:paraId="2AEB090B" w14:textId="4B4D78D2" w:rsidR="000D1A47" w:rsidRPr="009501B2" w:rsidRDefault="000D1A47" w:rsidP="000D1A4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lang w:val="et-EE" w:eastAsia="et-EE"/>
              </w:rPr>
            </w:pPr>
            <w:r w:rsidRPr="009501B2">
              <w:rPr>
                <w:b/>
                <w:lang w:val="et-EE"/>
              </w:rPr>
              <w:t>Kokkuvõtted ülevaateartiklitest ja empiirilistest uuringutest, mida ravijuhised ei kajastanud</w:t>
            </w:r>
          </w:p>
        </w:tc>
        <w:tc>
          <w:tcPr>
            <w:tcW w:w="3008" w:type="dxa"/>
          </w:tcPr>
          <w:p w14:paraId="15C6C2D1" w14:textId="5C332373" w:rsidR="000D1A47" w:rsidRPr="009501B2" w:rsidRDefault="000D1A47" w:rsidP="000D1A47">
            <w:pPr>
              <w:pStyle w:val="ListParagraph"/>
              <w:ind w:left="0"/>
              <w:rPr>
                <w:lang w:val="et-EE"/>
              </w:rPr>
            </w:pPr>
            <w:r w:rsidRPr="009501B2">
              <w:rPr>
                <w:b/>
                <w:lang w:val="et-EE"/>
              </w:rPr>
              <w:t>Viide</w:t>
            </w:r>
          </w:p>
        </w:tc>
      </w:tr>
      <w:tr w:rsidR="0030287B" w:rsidRPr="009501B2" w14:paraId="4FAA5BFA" w14:textId="77777777" w:rsidTr="001A6942">
        <w:tc>
          <w:tcPr>
            <w:tcW w:w="6204" w:type="dxa"/>
          </w:tcPr>
          <w:p w14:paraId="2A863A83" w14:textId="4A92B8B4" w:rsidR="0030287B" w:rsidRPr="009501B2" w:rsidRDefault="007E0776" w:rsidP="0030287B">
            <w:pPr>
              <w:spacing w:before="120" w:after="120"/>
              <w:rPr>
                <w:lang w:val="et-EE"/>
              </w:rPr>
            </w:pPr>
            <w:r w:rsidRPr="009501B2">
              <w:rPr>
                <w:lang w:val="et-EE"/>
              </w:rPr>
              <w:t>Ülevaateartikkel kuhu kaasati inglise, prantsuse ja saksa keelsed artiklid ajavahemikust 1980-2014</w:t>
            </w:r>
            <w:r w:rsidR="00E97A64" w:rsidRPr="009501B2">
              <w:rPr>
                <w:lang w:val="et-EE"/>
              </w:rPr>
              <w:t xml:space="preserve"> (</w:t>
            </w:r>
            <w:r w:rsidR="000458F2" w:rsidRPr="009501B2">
              <w:rPr>
                <w:color w:val="131413"/>
                <w:lang w:val="et-EE"/>
              </w:rPr>
              <w:t>tõenduspõhisuse tase</w:t>
            </w:r>
            <w:r w:rsidR="00E97A64" w:rsidRPr="009501B2">
              <w:rPr>
                <w:lang w:val="et-EE"/>
              </w:rPr>
              <w:t xml:space="preserve"> B)</w:t>
            </w:r>
            <w:r w:rsidRPr="009501B2">
              <w:rPr>
                <w:lang w:val="et-EE"/>
              </w:rPr>
              <w:t>.</w:t>
            </w:r>
          </w:p>
          <w:p w14:paraId="1FF6D23A" w14:textId="77777777" w:rsidR="0030287B" w:rsidRPr="009501B2" w:rsidRDefault="0030287B" w:rsidP="0030287B">
            <w:pPr>
              <w:spacing w:before="120" w:after="120"/>
              <w:rPr>
                <w:lang w:val="et-EE"/>
              </w:rPr>
            </w:pPr>
            <w:r w:rsidRPr="009501B2">
              <w:rPr>
                <w:lang w:val="et-EE"/>
              </w:rPr>
              <w:t>Kuna rasvunutel esineb juba operatsiooni eel tihti toitainete puudust, siis tuleks enne operatsiooni läbi viia põhjalik uuring. Vajadusel alustada juba preoperatiivselt teraapiat toidulisanditega.</w:t>
            </w:r>
          </w:p>
          <w:p w14:paraId="5AEBCBFE" w14:textId="77777777" w:rsidR="0030287B" w:rsidRPr="009501B2" w:rsidRDefault="0030287B" w:rsidP="0030287B">
            <w:pPr>
              <w:spacing w:before="120" w:after="120"/>
              <w:rPr>
                <w:lang w:val="et-EE"/>
              </w:rPr>
            </w:pPr>
            <w:r w:rsidRPr="009501B2">
              <w:rPr>
                <w:lang w:val="et-EE"/>
              </w:rPr>
              <w:t>Levinuimad on B</w:t>
            </w:r>
            <w:r w:rsidRPr="006F052D">
              <w:rPr>
                <w:vertAlign w:val="subscript"/>
                <w:lang w:val="et-EE"/>
              </w:rPr>
              <w:t>1</w:t>
            </w:r>
            <w:r w:rsidRPr="009501B2">
              <w:rPr>
                <w:lang w:val="et-EE"/>
              </w:rPr>
              <w:t>-vitamiini (≤49%), B</w:t>
            </w:r>
            <w:r w:rsidRPr="006F052D">
              <w:rPr>
                <w:vertAlign w:val="subscript"/>
                <w:lang w:val="et-EE"/>
              </w:rPr>
              <w:t>12</w:t>
            </w:r>
            <w:r w:rsidRPr="009501B2">
              <w:rPr>
                <w:lang w:val="et-EE"/>
              </w:rPr>
              <w:t>-vitamiini (19-35%), D-vitamiini (25-73%), raua (17-45%) ja tsingi (12-91%) puudused.</w:t>
            </w:r>
          </w:p>
          <w:p w14:paraId="22FDAFB5" w14:textId="77777777" w:rsidR="0030287B" w:rsidRPr="009501B2" w:rsidRDefault="0030287B" w:rsidP="0030287B">
            <w:pPr>
              <w:spacing w:before="120" w:after="120"/>
              <w:rPr>
                <w:lang w:val="et-EE"/>
              </w:rPr>
            </w:pPr>
            <w:r w:rsidRPr="009501B2">
              <w:rPr>
                <w:lang w:val="et-EE"/>
              </w:rPr>
              <w:t>Uuringumeetoditest soovitatakse kasutada:</w:t>
            </w:r>
          </w:p>
          <w:p w14:paraId="64AC9CCC" w14:textId="794A83D3" w:rsidR="0030287B" w:rsidRPr="009501B2" w:rsidRDefault="0030287B" w:rsidP="00CB69D2">
            <w:pPr>
              <w:autoSpaceDE w:val="0"/>
              <w:autoSpaceDN w:val="0"/>
              <w:adjustRightInd w:val="0"/>
              <w:spacing w:before="120" w:after="120"/>
              <w:rPr>
                <w:bCs/>
                <w:color w:val="000000"/>
                <w:kern w:val="36"/>
                <w:lang w:val="et-EE" w:eastAsia="et-EE"/>
              </w:rPr>
            </w:pPr>
            <w:r w:rsidRPr="009501B2">
              <w:rPr>
                <w:lang w:val="et-EE"/>
              </w:rPr>
              <w:t>B</w:t>
            </w:r>
            <w:r w:rsidRPr="006F052D">
              <w:rPr>
                <w:vertAlign w:val="subscript"/>
                <w:lang w:val="et-EE"/>
              </w:rPr>
              <w:t>12</w:t>
            </w:r>
            <w:r w:rsidRPr="009501B2">
              <w:rPr>
                <w:lang w:val="et-EE"/>
              </w:rPr>
              <w:t>- ja D-vitamiini, Zn, Fe, Ca, iPTH</w:t>
            </w:r>
          </w:p>
        </w:tc>
        <w:tc>
          <w:tcPr>
            <w:tcW w:w="3008" w:type="dxa"/>
          </w:tcPr>
          <w:p w14:paraId="4D083A1D" w14:textId="3AB02406" w:rsidR="0030287B" w:rsidRPr="009501B2" w:rsidRDefault="0030287B" w:rsidP="00CB69D2">
            <w:pPr>
              <w:pStyle w:val="ListParagraph"/>
              <w:numPr>
                <w:ilvl w:val="0"/>
                <w:numId w:val="7"/>
              </w:numPr>
              <w:rPr>
                <w:noProof/>
                <w:lang w:val="et-EE"/>
              </w:rPr>
            </w:pPr>
            <w:r w:rsidRPr="009501B2">
              <w:rPr>
                <w:noProof/>
                <w:lang w:val="et-EE"/>
              </w:rPr>
              <w:t xml:space="preserve">Stein, J., Stier, C., Raab, H. &amp; Weiner, R. Review article: The nutritional and pharmacological consequences of obesity surgery. </w:t>
            </w:r>
            <w:r w:rsidRPr="009501B2">
              <w:rPr>
                <w:i/>
                <w:noProof/>
                <w:lang w:val="et-EE"/>
              </w:rPr>
              <w:t>Alimentary pharmacology &amp; therapeutics</w:t>
            </w:r>
            <w:r w:rsidRPr="009501B2">
              <w:rPr>
                <w:noProof/>
                <w:lang w:val="et-EE"/>
              </w:rPr>
              <w:t xml:space="preserve"> </w:t>
            </w:r>
            <w:r w:rsidRPr="009501B2">
              <w:rPr>
                <w:b/>
                <w:noProof/>
                <w:lang w:val="et-EE"/>
              </w:rPr>
              <w:t>40</w:t>
            </w:r>
            <w:r w:rsidRPr="009501B2">
              <w:rPr>
                <w:noProof/>
                <w:lang w:val="et-EE"/>
              </w:rPr>
              <w:t>, 582-609 (2014).</w:t>
            </w:r>
          </w:p>
        </w:tc>
      </w:tr>
      <w:tr w:rsidR="0030287B" w:rsidRPr="009501B2" w14:paraId="37AC48B2" w14:textId="77777777" w:rsidTr="001A6942">
        <w:tc>
          <w:tcPr>
            <w:tcW w:w="6204" w:type="dxa"/>
          </w:tcPr>
          <w:p w14:paraId="7ECF5891" w14:textId="0A81F5BF" w:rsidR="007E0776" w:rsidRPr="009501B2" w:rsidRDefault="007E0776" w:rsidP="0030287B">
            <w:pPr>
              <w:spacing w:before="120" w:after="120"/>
              <w:rPr>
                <w:lang w:val="et-EE"/>
              </w:rPr>
            </w:pPr>
            <w:r w:rsidRPr="009501B2">
              <w:rPr>
                <w:lang w:val="et-EE"/>
              </w:rPr>
              <w:t>Analüüsiti 21 345 bariaatrilise patsiendi kindlustusandmeid ajavahemikust 2002-2008</w:t>
            </w:r>
            <w:r w:rsidR="005C2F28" w:rsidRPr="009501B2">
              <w:rPr>
                <w:lang w:val="et-EE"/>
              </w:rPr>
              <w:t xml:space="preserve"> (</w:t>
            </w:r>
            <w:r w:rsidR="000458F2" w:rsidRPr="009501B2">
              <w:rPr>
                <w:color w:val="131413"/>
                <w:lang w:val="et-EE"/>
              </w:rPr>
              <w:t>tõenduspõhisuse tase</w:t>
            </w:r>
            <w:r w:rsidR="005C2F28" w:rsidRPr="009501B2">
              <w:rPr>
                <w:lang w:val="et-EE"/>
              </w:rPr>
              <w:t xml:space="preserve"> C)</w:t>
            </w:r>
            <w:r w:rsidRPr="009501B2">
              <w:rPr>
                <w:lang w:val="et-EE"/>
              </w:rPr>
              <w:t>.</w:t>
            </w:r>
          </w:p>
          <w:p w14:paraId="73F11F30" w14:textId="77777777" w:rsidR="0030287B" w:rsidRPr="009501B2" w:rsidRDefault="0030287B" w:rsidP="0030287B">
            <w:pPr>
              <w:spacing w:before="120" w:after="120"/>
              <w:rPr>
                <w:lang w:val="et-EE"/>
              </w:rPr>
            </w:pPr>
            <w:r w:rsidRPr="009501B2">
              <w:rPr>
                <w:lang w:val="et-EE"/>
              </w:rPr>
              <w:t>Uuringumeetodeid kasutati patsientide peal valikuliselt: 7%-le tehti D-vitamiini, 21%-le B</w:t>
            </w:r>
            <w:r w:rsidRPr="006F052D">
              <w:rPr>
                <w:vertAlign w:val="subscript"/>
                <w:lang w:val="et-EE"/>
              </w:rPr>
              <w:t>12</w:t>
            </w:r>
            <w:r w:rsidRPr="009501B2">
              <w:rPr>
                <w:lang w:val="et-EE"/>
              </w:rPr>
              <w:t>- vitamiini, 17%-le folaadi, 21%-le raua analüüs.</w:t>
            </w:r>
          </w:p>
          <w:p w14:paraId="5C6AD524" w14:textId="04467C96" w:rsidR="0030287B" w:rsidRPr="009501B2" w:rsidRDefault="0030287B" w:rsidP="00CB69D2">
            <w:pPr>
              <w:autoSpaceDE w:val="0"/>
              <w:autoSpaceDN w:val="0"/>
              <w:adjustRightInd w:val="0"/>
              <w:rPr>
                <w:iCs/>
                <w:lang w:val="et-EE"/>
              </w:rPr>
            </w:pPr>
            <w:r w:rsidRPr="009501B2">
              <w:rPr>
                <w:lang w:val="et-EE"/>
              </w:rPr>
              <w:t>Kuna nendel patsientidel, kelle puhul uuringumeetodeid kasutati, esines sagedasti madalaid väärtusi, siis soovitas uurimisgrupp nimetatud analüüsid teha kõikidele patsientidele.</w:t>
            </w:r>
          </w:p>
        </w:tc>
        <w:tc>
          <w:tcPr>
            <w:tcW w:w="3008" w:type="dxa"/>
          </w:tcPr>
          <w:p w14:paraId="03824561" w14:textId="1F263B9E" w:rsidR="0030287B" w:rsidRPr="009501B2" w:rsidRDefault="0030287B" w:rsidP="00CB69D2">
            <w:pPr>
              <w:pStyle w:val="ListParagraph"/>
              <w:numPr>
                <w:ilvl w:val="0"/>
                <w:numId w:val="7"/>
              </w:numPr>
              <w:rPr>
                <w:iCs/>
                <w:lang w:val="et-EE"/>
              </w:rPr>
            </w:pPr>
            <w:r w:rsidRPr="009501B2">
              <w:rPr>
                <w:noProof/>
                <w:lang w:val="et-EE"/>
              </w:rPr>
              <w:t>Gudzune, K.A.</w:t>
            </w:r>
            <w:r w:rsidRPr="009501B2">
              <w:rPr>
                <w:i/>
                <w:noProof/>
                <w:lang w:val="et-EE"/>
              </w:rPr>
              <w:t>, et al.</w:t>
            </w:r>
            <w:r w:rsidRPr="009501B2">
              <w:rPr>
                <w:noProof/>
                <w:lang w:val="et-EE"/>
              </w:rPr>
              <w:t xml:space="preserve"> Screening and diagnosis of micronutrient deficiencies before and after bariatric surgery. </w:t>
            </w:r>
            <w:r w:rsidRPr="009501B2">
              <w:rPr>
                <w:i/>
                <w:noProof/>
                <w:lang w:val="et-EE"/>
              </w:rPr>
              <w:t>Obes Surg</w:t>
            </w:r>
            <w:r w:rsidRPr="009501B2">
              <w:rPr>
                <w:noProof/>
                <w:lang w:val="et-EE"/>
              </w:rPr>
              <w:t xml:space="preserve"> </w:t>
            </w:r>
            <w:r w:rsidRPr="009501B2">
              <w:rPr>
                <w:b/>
                <w:noProof/>
                <w:lang w:val="et-EE"/>
              </w:rPr>
              <w:t>23</w:t>
            </w:r>
            <w:r w:rsidRPr="009501B2">
              <w:rPr>
                <w:noProof/>
                <w:lang w:val="et-EE"/>
              </w:rPr>
              <w:t>, 1581-1589 (2013).</w:t>
            </w:r>
          </w:p>
        </w:tc>
      </w:tr>
    </w:tbl>
    <w:p w14:paraId="6E6054A3" w14:textId="77777777" w:rsidR="006A3BAC" w:rsidRPr="009501B2" w:rsidRDefault="006A3BAC" w:rsidP="003276D8">
      <w:pPr>
        <w:autoSpaceDE w:val="0"/>
        <w:autoSpaceDN w:val="0"/>
        <w:adjustRightInd w:val="0"/>
        <w:rPr>
          <w:iCs/>
          <w:lang w:val="et-EE"/>
        </w:rPr>
      </w:pPr>
    </w:p>
    <w:p w14:paraId="009BD88C" w14:textId="77777777" w:rsidR="006A3BAC" w:rsidRPr="009501B2" w:rsidRDefault="006A3BAC" w:rsidP="003276D8">
      <w:pPr>
        <w:pStyle w:val="ListParagraph"/>
        <w:autoSpaceDE w:val="0"/>
        <w:autoSpaceDN w:val="0"/>
        <w:adjustRightInd w:val="0"/>
        <w:rPr>
          <w:iCs/>
          <w:lang w:val="et-EE"/>
        </w:rPr>
      </w:pPr>
    </w:p>
    <w:p w14:paraId="75CF128D" w14:textId="77777777" w:rsidR="00BE6846" w:rsidRPr="009501B2" w:rsidRDefault="00BE6846" w:rsidP="00BE6846">
      <w:pPr>
        <w:pStyle w:val="ListParagraph"/>
        <w:numPr>
          <w:ilvl w:val="0"/>
          <w:numId w:val="5"/>
        </w:numPr>
        <w:rPr>
          <w:b/>
          <w:lang w:val="et-EE"/>
        </w:rPr>
      </w:pPr>
      <w:r w:rsidRPr="009501B2">
        <w:rPr>
          <w:b/>
          <w:lang w:val="et-EE"/>
        </w:rPr>
        <w:t>Ravijuhendid</w:t>
      </w:r>
    </w:p>
    <w:p w14:paraId="2407A50F" w14:textId="77777777" w:rsidR="001C4A13" w:rsidRDefault="001C4A13" w:rsidP="001C4A13">
      <w:pPr>
        <w:rPr>
          <w:b/>
        </w:rPr>
      </w:pPr>
      <w:bookmarkStart w:id="1" w:name="_GoBack"/>
      <w:bookmarkEnd w:id="1"/>
    </w:p>
    <w:p w14:paraId="5453FCCD" w14:textId="7AD5DEED" w:rsidR="001C4A13" w:rsidRDefault="001C4A13" w:rsidP="001C4A13">
      <w:pPr>
        <w:rPr>
          <w:rFonts w:eastAsiaTheme="minorEastAsia"/>
          <w:color w:val="1A1818"/>
          <w:sz w:val="22"/>
          <w:szCs w:val="22"/>
          <w:lang w:val="et-EE" w:eastAsia="ja-JP"/>
        </w:rPr>
      </w:pPr>
      <w:r>
        <w:rPr>
          <w:rFonts w:eastAsiaTheme="minorEastAsia"/>
          <w:color w:val="1A1818"/>
          <w:sz w:val="22"/>
          <w:szCs w:val="22"/>
          <w:lang w:val="et-EE" w:eastAsia="ja-JP"/>
        </w:rPr>
        <w:t>Uuringumeetodite kasuta</w:t>
      </w:r>
      <w:r w:rsidR="00F91D9F">
        <w:rPr>
          <w:rFonts w:eastAsiaTheme="minorEastAsia"/>
          <w:color w:val="1A1818"/>
          <w:sz w:val="22"/>
          <w:szCs w:val="22"/>
          <w:lang w:val="et-EE" w:eastAsia="ja-JP"/>
        </w:rPr>
        <w:t xml:space="preserve">mise kohta </w:t>
      </w:r>
      <w:r w:rsidR="00950D01">
        <w:rPr>
          <w:rFonts w:eastAsiaTheme="minorEastAsia"/>
          <w:color w:val="1A1818"/>
          <w:sz w:val="22"/>
          <w:szCs w:val="22"/>
          <w:lang w:val="et-EE" w:eastAsia="ja-JP"/>
        </w:rPr>
        <w:t>leidus andmeid kahes ravijuhendis (USA ja Saksa). Mõlemad</w:t>
      </w:r>
      <w:r>
        <w:rPr>
          <w:rFonts w:eastAsiaTheme="minorEastAsia"/>
          <w:color w:val="1A1818"/>
          <w:sz w:val="22"/>
          <w:szCs w:val="22"/>
          <w:lang w:val="et-EE" w:eastAsia="ja-JP"/>
        </w:rPr>
        <w:t xml:space="preserve"> nendest soovitavad kasutada vähemalt mõnda uuringumeetodit.</w:t>
      </w:r>
    </w:p>
    <w:p w14:paraId="351621D6" w14:textId="28A079F0" w:rsidR="001C4A13" w:rsidRPr="001C4A13" w:rsidRDefault="001C4A13" w:rsidP="001C4A13">
      <w:pPr>
        <w:autoSpaceDE w:val="0"/>
        <w:autoSpaceDN w:val="0"/>
        <w:adjustRightInd w:val="0"/>
        <w:rPr>
          <w:lang w:val="et-EE"/>
        </w:rPr>
      </w:pPr>
      <w:r w:rsidRPr="004C2EFC">
        <w:rPr>
          <w:rFonts w:ascii="Courier" w:hAnsi="Courier" w:cs="Courier"/>
          <w:lang w:val="et-EE"/>
        </w:rPr>
        <w:t xml:space="preserve">- </w:t>
      </w:r>
      <w:r w:rsidRPr="004C2EFC">
        <w:rPr>
          <w:rFonts w:ascii="Times-Roman" w:hAnsi="Times-Roman" w:cs="Times-Roman"/>
          <w:lang w:val="et-EE"/>
        </w:rPr>
        <w:t>Kolesterool ja verelipiidid</w:t>
      </w:r>
      <w:r w:rsidR="00950D01">
        <w:rPr>
          <w:lang w:val="et-EE"/>
        </w:rPr>
        <w:t xml:space="preserve"> (USA</w:t>
      </w:r>
      <w:r w:rsidR="000458F2">
        <w:rPr>
          <w:lang w:val="et-EE"/>
        </w:rPr>
        <w:t xml:space="preserve"> </w:t>
      </w:r>
      <w:r w:rsidR="000458F2" w:rsidRPr="00BE6846">
        <w:rPr>
          <w:color w:val="131413"/>
          <w:lang w:val="et-EE"/>
        </w:rPr>
        <w:t>tõenduspõhisuse tase</w:t>
      </w:r>
      <w:r w:rsidR="00D61CF9">
        <w:rPr>
          <w:lang w:val="et-EE"/>
        </w:rPr>
        <w:t xml:space="preserve"> A</w:t>
      </w:r>
      <w:r w:rsidR="00A11AE4">
        <w:rPr>
          <w:lang w:val="et-EE"/>
        </w:rPr>
        <w:t>, Saksa</w:t>
      </w:r>
      <w:r w:rsidR="003403A1">
        <w:rPr>
          <w:lang w:val="et-EE"/>
        </w:rPr>
        <w:t xml:space="preserve"> EL4</w:t>
      </w:r>
      <w:r>
        <w:rPr>
          <w:lang w:val="et-EE"/>
        </w:rPr>
        <w:t>)</w:t>
      </w:r>
    </w:p>
    <w:p w14:paraId="2D1CCEA8" w14:textId="74059864" w:rsidR="001C4A13" w:rsidRPr="00A11AE4" w:rsidRDefault="001C4A13" w:rsidP="001C4A13">
      <w:pPr>
        <w:autoSpaceDE w:val="0"/>
        <w:autoSpaceDN w:val="0"/>
        <w:adjustRightInd w:val="0"/>
        <w:rPr>
          <w:lang w:val="et-EE"/>
        </w:rPr>
      </w:pPr>
      <w:r w:rsidRPr="004C2EFC">
        <w:rPr>
          <w:rFonts w:ascii="Courier" w:hAnsi="Courier" w:cs="Courier"/>
          <w:lang w:val="et-EE"/>
        </w:rPr>
        <w:t xml:space="preserve">- </w:t>
      </w:r>
      <w:r w:rsidRPr="004C2EFC">
        <w:rPr>
          <w:rFonts w:ascii="Times-Roman" w:hAnsi="Times-Roman" w:cs="Times-Roman"/>
          <w:lang w:val="et-EE"/>
        </w:rPr>
        <w:t>TSH</w:t>
      </w:r>
      <w:r w:rsidR="00950D01">
        <w:rPr>
          <w:lang w:val="et-EE"/>
        </w:rPr>
        <w:t xml:space="preserve"> (USA</w:t>
      </w:r>
      <w:r w:rsidR="00A11AE4">
        <w:rPr>
          <w:lang w:val="et-EE"/>
        </w:rPr>
        <w:t>, Saksa</w:t>
      </w:r>
      <w:r w:rsidR="003403A1">
        <w:rPr>
          <w:lang w:val="et-EE"/>
        </w:rPr>
        <w:t xml:space="preserve"> EL4</w:t>
      </w:r>
      <w:r w:rsidR="00A11AE4">
        <w:rPr>
          <w:lang w:val="et-EE"/>
        </w:rPr>
        <w:t>)</w:t>
      </w:r>
    </w:p>
    <w:p w14:paraId="4530DA8C" w14:textId="77777777" w:rsidR="001C4A13" w:rsidRPr="004C2EFC" w:rsidRDefault="001C4A13" w:rsidP="001C4A13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4C2EFC">
        <w:rPr>
          <w:rFonts w:ascii="Courier" w:hAnsi="Courier" w:cs="Courier"/>
          <w:lang w:val="et-EE"/>
        </w:rPr>
        <w:t xml:space="preserve">- </w:t>
      </w:r>
      <w:r w:rsidRPr="004C2EFC">
        <w:rPr>
          <w:rFonts w:ascii="Times-Roman" w:hAnsi="Times-Roman" w:cs="Times-Roman"/>
          <w:lang w:val="et-EE"/>
        </w:rPr>
        <w:t>PTH</w:t>
      </w:r>
    </w:p>
    <w:p w14:paraId="7E3D0CB0" w14:textId="77777777" w:rsidR="001C4A13" w:rsidRPr="004C2EFC" w:rsidRDefault="001C4A13" w:rsidP="001C4A13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4C2EFC">
        <w:rPr>
          <w:rFonts w:ascii="Courier" w:hAnsi="Courier" w:cs="Courier"/>
          <w:lang w:val="et-EE"/>
        </w:rPr>
        <w:t xml:space="preserve">- </w:t>
      </w:r>
      <w:r w:rsidRPr="004C2EFC">
        <w:rPr>
          <w:rFonts w:ascii="Times-Roman" w:hAnsi="Times-Roman" w:cs="Times-Roman"/>
          <w:lang w:val="et-EE"/>
        </w:rPr>
        <w:t>Tsink</w:t>
      </w:r>
    </w:p>
    <w:p w14:paraId="071CC85B" w14:textId="3A703843" w:rsidR="001C4A13" w:rsidRPr="001C4A13" w:rsidRDefault="001C4A13" w:rsidP="001C4A13">
      <w:pPr>
        <w:autoSpaceDE w:val="0"/>
        <w:autoSpaceDN w:val="0"/>
        <w:adjustRightInd w:val="0"/>
        <w:rPr>
          <w:lang w:val="et-EE"/>
        </w:rPr>
      </w:pPr>
      <w:r w:rsidRPr="004C2EFC">
        <w:rPr>
          <w:rFonts w:ascii="Courier" w:hAnsi="Courier" w:cs="Courier"/>
          <w:lang w:val="et-EE"/>
        </w:rPr>
        <w:t xml:space="preserve">- </w:t>
      </w:r>
      <w:r w:rsidRPr="004C2EFC">
        <w:rPr>
          <w:rFonts w:ascii="Times-Roman" w:hAnsi="Times-Roman" w:cs="Times-Roman"/>
          <w:lang w:val="et-EE"/>
        </w:rPr>
        <w:t>B</w:t>
      </w:r>
      <w:r w:rsidRPr="006F052D">
        <w:rPr>
          <w:rFonts w:ascii="Times-Roman" w:hAnsi="Times-Roman" w:cs="Times-Roman"/>
          <w:vertAlign w:val="subscript"/>
          <w:lang w:val="et-EE"/>
        </w:rPr>
        <w:t>12</w:t>
      </w:r>
      <w:r w:rsidRPr="004C2EFC">
        <w:rPr>
          <w:rFonts w:ascii="Times-Roman" w:hAnsi="Times-Roman" w:cs="Times-Roman"/>
          <w:lang w:val="et-EE"/>
        </w:rPr>
        <w:t>, foolhape</w:t>
      </w:r>
      <w:r w:rsidR="00950D01">
        <w:rPr>
          <w:lang w:val="et-EE"/>
        </w:rPr>
        <w:t xml:space="preserve"> (USA</w:t>
      </w:r>
      <w:r>
        <w:rPr>
          <w:lang w:val="et-EE"/>
        </w:rPr>
        <w:t>)</w:t>
      </w:r>
    </w:p>
    <w:p w14:paraId="763F0DD1" w14:textId="59CAB83D" w:rsidR="001C4A13" w:rsidRPr="001C4A13" w:rsidRDefault="001C4A13" w:rsidP="001C4A13">
      <w:pPr>
        <w:autoSpaceDE w:val="0"/>
        <w:autoSpaceDN w:val="0"/>
        <w:adjustRightInd w:val="0"/>
        <w:rPr>
          <w:lang w:val="et-EE"/>
        </w:rPr>
      </w:pPr>
      <w:r w:rsidRPr="004C2EFC">
        <w:rPr>
          <w:rFonts w:ascii="Courier" w:hAnsi="Courier" w:cs="Courier"/>
          <w:lang w:val="et-EE"/>
        </w:rPr>
        <w:t xml:space="preserve">- </w:t>
      </w:r>
      <w:r w:rsidRPr="004C2EFC">
        <w:rPr>
          <w:rFonts w:ascii="Times-Roman" w:hAnsi="Times-Roman" w:cs="Times-Roman"/>
          <w:lang w:val="et-EE"/>
        </w:rPr>
        <w:t>raud, feritiin</w:t>
      </w:r>
      <w:r w:rsidR="00950D01">
        <w:rPr>
          <w:lang w:val="et-EE"/>
        </w:rPr>
        <w:t xml:space="preserve"> (USA</w:t>
      </w:r>
      <w:r w:rsidR="009000FA">
        <w:rPr>
          <w:lang w:val="et-EE"/>
        </w:rPr>
        <w:t>)</w:t>
      </w:r>
    </w:p>
    <w:p w14:paraId="6C02050E" w14:textId="77777777" w:rsidR="001C4A13" w:rsidRPr="004C2EFC" w:rsidRDefault="001C4A13" w:rsidP="001C4A13">
      <w:pPr>
        <w:autoSpaceDE w:val="0"/>
        <w:autoSpaceDN w:val="0"/>
        <w:adjustRightInd w:val="0"/>
        <w:rPr>
          <w:rFonts w:ascii="Times-Roman" w:hAnsi="Times-Roman" w:cs="Times-Roman"/>
          <w:lang w:val="et-EE"/>
        </w:rPr>
      </w:pPr>
      <w:r w:rsidRPr="004C2EFC">
        <w:rPr>
          <w:rFonts w:ascii="Courier" w:hAnsi="Courier" w:cs="Courier"/>
          <w:lang w:val="et-EE"/>
        </w:rPr>
        <w:t xml:space="preserve">- </w:t>
      </w:r>
      <w:r w:rsidRPr="004C2EFC">
        <w:rPr>
          <w:rFonts w:ascii="Times-Roman" w:hAnsi="Times-Roman" w:cs="Times-Roman"/>
          <w:lang w:val="et-EE"/>
        </w:rPr>
        <w:t>Kaltsium</w:t>
      </w:r>
    </w:p>
    <w:p w14:paraId="2488ED4A" w14:textId="50C54601" w:rsidR="001C4A13" w:rsidRPr="001C4A13" w:rsidRDefault="001C4A13" w:rsidP="001C4A13">
      <w:pPr>
        <w:autoSpaceDE w:val="0"/>
        <w:autoSpaceDN w:val="0"/>
        <w:adjustRightInd w:val="0"/>
        <w:rPr>
          <w:lang w:val="et-EE"/>
        </w:rPr>
      </w:pPr>
      <w:r w:rsidRPr="004C2EFC">
        <w:rPr>
          <w:rFonts w:ascii="Courier" w:hAnsi="Courier" w:cs="Courier"/>
          <w:lang w:val="et-EE"/>
        </w:rPr>
        <w:t xml:space="preserve">- </w:t>
      </w:r>
      <w:r w:rsidRPr="004C2EFC">
        <w:rPr>
          <w:rFonts w:ascii="Times-Roman" w:hAnsi="Times-Roman" w:cs="Times-Roman"/>
          <w:lang w:val="et-EE"/>
        </w:rPr>
        <w:t>25(OH) D</w:t>
      </w:r>
      <w:r w:rsidRPr="006F052D">
        <w:rPr>
          <w:rFonts w:ascii="Times-Roman" w:hAnsi="Times-Roman" w:cs="Times-Roman"/>
          <w:vertAlign w:val="subscript"/>
          <w:lang w:val="et-EE"/>
        </w:rPr>
        <w:t>3</w:t>
      </w:r>
      <w:r w:rsidRPr="004C2EFC">
        <w:rPr>
          <w:rFonts w:ascii="Times-Roman" w:hAnsi="Times-Roman" w:cs="Times-Roman"/>
          <w:lang w:val="et-EE"/>
        </w:rPr>
        <w:t xml:space="preserve"> vitamiin</w:t>
      </w:r>
      <w:r w:rsidR="00950D01">
        <w:rPr>
          <w:lang w:val="et-EE"/>
        </w:rPr>
        <w:t xml:space="preserve"> (USA</w:t>
      </w:r>
      <w:r>
        <w:rPr>
          <w:lang w:val="et-EE"/>
        </w:rPr>
        <w:t>)</w:t>
      </w:r>
    </w:p>
    <w:p w14:paraId="14868E7A" w14:textId="47CB1573" w:rsidR="001C4A13" w:rsidRPr="00341A07" w:rsidRDefault="001C4A13" w:rsidP="00341A07">
      <w:pPr>
        <w:autoSpaceDE w:val="0"/>
        <w:autoSpaceDN w:val="0"/>
        <w:adjustRightInd w:val="0"/>
        <w:rPr>
          <w:lang w:val="et-EE"/>
        </w:rPr>
      </w:pPr>
      <w:r w:rsidRPr="004C2EFC">
        <w:rPr>
          <w:rFonts w:ascii="Courier" w:hAnsi="Courier" w:cs="Courier"/>
          <w:lang w:val="et-EE"/>
        </w:rPr>
        <w:t xml:space="preserve">- </w:t>
      </w:r>
      <w:r w:rsidRPr="004C2EFC">
        <w:rPr>
          <w:rFonts w:ascii="Times-Roman" w:hAnsi="Times-Roman" w:cs="Times-Roman"/>
          <w:lang w:val="et-EE"/>
        </w:rPr>
        <w:t xml:space="preserve">Glükoosi tolerantsuse test </w:t>
      </w:r>
      <w:r>
        <w:rPr>
          <w:lang w:val="et-EE"/>
        </w:rPr>
        <w:t>(Saksa)</w:t>
      </w:r>
    </w:p>
    <w:p w14:paraId="0914910D" w14:textId="77777777" w:rsidR="001C4A13" w:rsidRDefault="001C4A13" w:rsidP="001C4A13">
      <w:pPr>
        <w:rPr>
          <w:rFonts w:eastAsiaTheme="minorEastAsia"/>
          <w:color w:val="1A1818"/>
          <w:sz w:val="22"/>
          <w:szCs w:val="22"/>
          <w:lang w:val="et-EE" w:eastAsia="ja-JP"/>
        </w:rPr>
      </w:pPr>
    </w:p>
    <w:p w14:paraId="750D5212" w14:textId="2E1FFA70" w:rsidR="00A11AE4" w:rsidRDefault="00950D01" w:rsidP="001C4A13">
      <w:pPr>
        <w:rPr>
          <w:rFonts w:eastAsiaTheme="minorEastAsia"/>
          <w:color w:val="1A1818"/>
          <w:sz w:val="22"/>
          <w:szCs w:val="22"/>
          <w:lang w:val="et-EE" w:eastAsia="ja-JP"/>
        </w:rPr>
      </w:pPr>
      <w:r>
        <w:rPr>
          <w:rFonts w:eastAsiaTheme="minorEastAsia"/>
          <w:color w:val="1A1818"/>
          <w:sz w:val="22"/>
          <w:szCs w:val="22"/>
          <w:lang w:val="et-EE" w:eastAsia="ja-JP"/>
        </w:rPr>
        <w:t>USA ravijuhend</w:t>
      </w:r>
      <w:r w:rsidR="001C4A13">
        <w:rPr>
          <w:rFonts w:eastAsiaTheme="minorEastAsia"/>
          <w:color w:val="1A1818"/>
          <w:sz w:val="22"/>
          <w:szCs w:val="22"/>
          <w:lang w:val="et-EE" w:eastAsia="ja-JP"/>
        </w:rPr>
        <w:t xml:space="preserve"> soovitavad lisaks </w:t>
      </w:r>
      <w:r w:rsidR="00A11AE4">
        <w:rPr>
          <w:rFonts w:eastAsiaTheme="minorEastAsia"/>
          <w:color w:val="1A1818"/>
          <w:sz w:val="22"/>
          <w:szCs w:val="22"/>
          <w:lang w:val="et-EE" w:eastAsia="ja-JP"/>
        </w:rPr>
        <w:t>optimiseerida</w:t>
      </w:r>
      <w:r w:rsidR="001C4A13" w:rsidRPr="001E0F3D">
        <w:rPr>
          <w:rFonts w:eastAsiaTheme="minorEastAsia"/>
          <w:color w:val="1A1818"/>
          <w:sz w:val="22"/>
          <w:szCs w:val="22"/>
          <w:lang w:val="et-EE" w:eastAsia="ja-JP"/>
        </w:rPr>
        <w:t xml:space="preserve"> glükeemiline kontroll. Glükeemilise kontrolli optimeerimiseks</w:t>
      </w:r>
      <w:r w:rsidR="00A11AE4">
        <w:rPr>
          <w:rFonts w:eastAsiaTheme="minorEastAsia"/>
          <w:color w:val="1A1818"/>
          <w:sz w:val="22"/>
          <w:szCs w:val="22"/>
          <w:lang w:val="et-EE" w:eastAsia="ja-JP"/>
        </w:rPr>
        <w:t xml:space="preserve"> teha</w:t>
      </w:r>
      <w:r w:rsidR="001C4A13" w:rsidRPr="001E0F3D">
        <w:rPr>
          <w:rFonts w:eastAsiaTheme="minorEastAsia"/>
          <w:color w:val="1A1818"/>
          <w:sz w:val="22"/>
          <w:szCs w:val="22"/>
          <w:lang w:val="et-EE" w:eastAsia="ja-JP"/>
        </w:rPr>
        <w:t xml:space="preserve"> raviplaan, mis hõlmab tervislikke toitumisharjumusi, kliinilist toitumisteraapiat, f</w:t>
      </w:r>
      <w:r w:rsidR="00A11AE4">
        <w:rPr>
          <w:rFonts w:eastAsiaTheme="minorEastAsia"/>
          <w:color w:val="1A1818"/>
          <w:sz w:val="22"/>
          <w:szCs w:val="22"/>
          <w:lang w:val="et-EE" w:eastAsia="ja-JP"/>
        </w:rPr>
        <w:t>üüsilist aktiivsust ja vajadusel</w:t>
      </w:r>
      <w:r w:rsidR="001C4A13" w:rsidRPr="001E0F3D">
        <w:rPr>
          <w:rFonts w:eastAsiaTheme="minorEastAsia"/>
          <w:color w:val="1A1818"/>
          <w:sz w:val="22"/>
          <w:szCs w:val="22"/>
          <w:lang w:val="et-EE" w:eastAsia="ja-JP"/>
        </w:rPr>
        <w:t xml:space="preserve"> farmakoteraapia</w:t>
      </w:r>
      <w:r w:rsidR="00A11AE4">
        <w:rPr>
          <w:rFonts w:eastAsiaTheme="minorEastAsia"/>
          <w:color w:val="1A1818"/>
          <w:sz w:val="22"/>
          <w:szCs w:val="22"/>
          <w:lang w:val="et-EE" w:eastAsia="ja-JP"/>
        </w:rPr>
        <w:t>t</w:t>
      </w:r>
      <w:r w:rsidR="000458F2">
        <w:rPr>
          <w:rFonts w:eastAsiaTheme="minorEastAsia"/>
          <w:color w:val="1A1818"/>
          <w:sz w:val="22"/>
          <w:szCs w:val="22"/>
          <w:lang w:val="et-EE" w:eastAsia="ja-JP"/>
        </w:rPr>
        <w:t xml:space="preserve"> (</w:t>
      </w:r>
      <w:r w:rsidR="000458F2" w:rsidRPr="00BE6846">
        <w:rPr>
          <w:color w:val="131413"/>
          <w:lang w:val="et-EE"/>
        </w:rPr>
        <w:t>tõenduspõhisuse tase</w:t>
      </w:r>
      <w:r w:rsidR="00D61CF9">
        <w:rPr>
          <w:rFonts w:eastAsiaTheme="minorEastAsia"/>
          <w:color w:val="1A1818"/>
          <w:sz w:val="22"/>
          <w:szCs w:val="22"/>
          <w:lang w:val="et-EE" w:eastAsia="ja-JP"/>
        </w:rPr>
        <w:t xml:space="preserve"> A)</w:t>
      </w:r>
      <w:r w:rsidR="001C4A13" w:rsidRPr="001E0F3D">
        <w:rPr>
          <w:rFonts w:eastAsiaTheme="minorEastAsia"/>
          <w:color w:val="1A1818"/>
          <w:sz w:val="22"/>
          <w:szCs w:val="22"/>
          <w:lang w:val="et-EE" w:eastAsia="ja-JP"/>
        </w:rPr>
        <w:t xml:space="preserve">. </w:t>
      </w:r>
    </w:p>
    <w:p w14:paraId="2FA452A2" w14:textId="5502C7D9" w:rsidR="006A3BAC" w:rsidRDefault="00A11AE4" w:rsidP="00341A07">
      <w:pPr>
        <w:rPr>
          <w:rFonts w:eastAsiaTheme="minorEastAsia"/>
          <w:color w:val="1A1818"/>
          <w:sz w:val="22"/>
          <w:szCs w:val="22"/>
          <w:lang w:val="et-EE" w:eastAsia="ja-JP"/>
        </w:rPr>
      </w:pPr>
      <w:r>
        <w:rPr>
          <w:rFonts w:eastAsiaTheme="minorEastAsia"/>
          <w:color w:val="1A1818"/>
          <w:sz w:val="22"/>
          <w:szCs w:val="22"/>
          <w:lang w:val="et-EE" w:eastAsia="ja-JP"/>
        </w:rPr>
        <w:t>USA</w:t>
      </w:r>
      <w:r w:rsidR="00D61CF9">
        <w:rPr>
          <w:rFonts w:eastAsiaTheme="minorEastAsia"/>
          <w:color w:val="1A1818"/>
          <w:sz w:val="22"/>
          <w:szCs w:val="22"/>
          <w:lang w:val="et-EE" w:eastAsia="ja-JP"/>
        </w:rPr>
        <w:t xml:space="preserve"> ravijuhendis ei ole rutiinne kilpnäärme analüüs soovitatud (Grade D)</w:t>
      </w:r>
      <w:r w:rsidR="001C4A13" w:rsidRPr="001E0F3D">
        <w:rPr>
          <w:rFonts w:eastAsiaTheme="minorEastAsia"/>
          <w:color w:val="1A1818"/>
          <w:sz w:val="22"/>
          <w:szCs w:val="22"/>
          <w:lang w:val="et-EE" w:eastAsia="ja-JP"/>
        </w:rPr>
        <w:t>.</w:t>
      </w:r>
      <w:r w:rsidR="00D61CF9">
        <w:rPr>
          <w:rFonts w:eastAsiaTheme="minorEastAsia"/>
          <w:color w:val="1A1818"/>
          <w:sz w:val="22"/>
          <w:szCs w:val="22"/>
          <w:lang w:val="et-EE" w:eastAsia="ja-JP"/>
        </w:rPr>
        <w:t xml:space="preserve"> Patsientidele, kellel risk primaarseks hüpot</w:t>
      </w:r>
      <w:r w:rsidR="000458F2">
        <w:rPr>
          <w:rFonts w:eastAsiaTheme="minorEastAsia"/>
          <w:color w:val="1A1818"/>
          <w:sz w:val="22"/>
          <w:szCs w:val="22"/>
          <w:lang w:val="et-EE" w:eastAsia="ja-JP"/>
        </w:rPr>
        <w:t>üreoidismiks, määrata TSH (</w:t>
      </w:r>
      <w:r w:rsidR="000458F2" w:rsidRPr="00BE6846">
        <w:rPr>
          <w:color w:val="131413"/>
          <w:lang w:val="et-EE"/>
        </w:rPr>
        <w:t>tõenduspõhisuse tase</w:t>
      </w:r>
      <w:r w:rsidR="00D61CF9">
        <w:rPr>
          <w:rFonts w:eastAsiaTheme="minorEastAsia"/>
          <w:color w:val="1A1818"/>
          <w:sz w:val="22"/>
          <w:szCs w:val="22"/>
          <w:lang w:val="et-EE" w:eastAsia="ja-JP"/>
        </w:rPr>
        <w:t xml:space="preserve"> B).</w:t>
      </w:r>
    </w:p>
    <w:p w14:paraId="69E75F78" w14:textId="77777777" w:rsidR="00491CAC" w:rsidRPr="00C600B7" w:rsidRDefault="00491CAC" w:rsidP="00491CAC">
      <w:pPr>
        <w:autoSpaceDE w:val="0"/>
        <w:autoSpaceDN w:val="0"/>
        <w:adjustRightInd w:val="0"/>
        <w:rPr>
          <w:b/>
          <w:sz w:val="28"/>
          <w:lang w:val="et-EE"/>
        </w:rPr>
      </w:pPr>
      <w:r w:rsidRPr="00C600B7">
        <w:rPr>
          <w:b/>
          <w:sz w:val="28"/>
          <w:lang w:val="et-EE"/>
        </w:rPr>
        <w:lastRenderedPageBreak/>
        <w:t>Soovitus:</w:t>
      </w:r>
    </w:p>
    <w:p w14:paraId="0C017C21" w14:textId="77777777" w:rsidR="0018500C" w:rsidRPr="00C600B7" w:rsidRDefault="00491CAC" w:rsidP="00491CAC">
      <w:pPr>
        <w:pStyle w:val="ListParagraph"/>
        <w:autoSpaceDE w:val="0"/>
        <w:autoSpaceDN w:val="0"/>
        <w:adjustRightInd w:val="0"/>
        <w:rPr>
          <w:lang w:val="et-EE"/>
        </w:rPr>
      </w:pPr>
      <w:r w:rsidRPr="00C600B7">
        <w:rPr>
          <w:lang w:val="et-EE"/>
        </w:rPr>
        <w:t xml:space="preserve">Ravitulemuse parandamiseks uurida kõiki bariaatrilise kirurgia patsiente enne kirurgilist sekkumist järgmiste meetoditega: </w:t>
      </w:r>
    </w:p>
    <w:p w14:paraId="5C3A50B1" w14:textId="7E3BEDD0" w:rsidR="00BA199A" w:rsidRPr="00C600B7" w:rsidRDefault="00BA199A" w:rsidP="00BA199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lang w:val="et-EE"/>
        </w:rPr>
      </w:pPr>
      <w:r w:rsidRPr="00C600B7">
        <w:rPr>
          <w:lang w:val="et-EE"/>
        </w:rPr>
        <w:t>Kolesterool ja verelipiidid</w:t>
      </w:r>
    </w:p>
    <w:p w14:paraId="607E3A92" w14:textId="6599D604" w:rsidR="001E3635" w:rsidRPr="00C600B7" w:rsidRDefault="001E3635" w:rsidP="00BA199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lang w:val="et-EE"/>
        </w:rPr>
      </w:pPr>
      <w:r w:rsidRPr="00C600B7">
        <w:rPr>
          <w:lang w:val="et-EE"/>
        </w:rPr>
        <w:t>PTH</w:t>
      </w:r>
    </w:p>
    <w:p w14:paraId="23426069" w14:textId="5BDB8FC5" w:rsidR="00BA199A" w:rsidRPr="00C600B7" w:rsidRDefault="00BA199A" w:rsidP="0018500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lang w:val="et-EE"/>
        </w:rPr>
      </w:pPr>
      <w:r w:rsidRPr="00C600B7">
        <w:rPr>
          <w:lang w:val="et-EE"/>
        </w:rPr>
        <w:t>F</w:t>
      </w:r>
      <w:r w:rsidR="00491CAC" w:rsidRPr="00C600B7">
        <w:rPr>
          <w:lang w:val="et-EE"/>
        </w:rPr>
        <w:t>oolhape ja B</w:t>
      </w:r>
      <w:r w:rsidR="00491CAC" w:rsidRPr="00C600B7">
        <w:rPr>
          <w:vertAlign w:val="subscript"/>
          <w:lang w:val="et-EE"/>
        </w:rPr>
        <w:t>12</w:t>
      </w:r>
      <w:r w:rsidRPr="00C600B7">
        <w:rPr>
          <w:lang w:val="et-EE"/>
        </w:rPr>
        <w:t>-vitamiin</w:t>
      </w:r>
    </w:p>
    <w:p w14:paraId="4199BC8F" w14:textId="3D3B43E3" w:rsidR="001E3635" w:rsidRPr="00C600B7" w:rsidRDefault="001E3635" w:rsidP="001E3635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lang w:val="et-EE"/>
        </w:rPr>
      </w:pPr>
      <w:r w:rsidRPr="00C600B7">
        <w:rPr>
          <w:lang w:val="et-EE"/>
        </w:rPr>
        <w:t>Raud, ferritiin</w:t>
      </w:r>
    </w:p>
    <w:p w14:paraId="41931D30" w14:textId="0EA139EC" w:rsidR="001E3635" w:rsidRPr="00C600B7" w:rsidRDefault="001E3635" w:rsidP="001E3635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lang w:val="et-EE"/>
        </w:rPr>
      </w:pPr>
      <w:r w:rsidRPr="00C600B7">
        <w:rPr>
          <w:lang w:val="et-EE"/>
        </w:rPr>
        <w:t>Kaltsium</w:t>
      </w:r>
    </w:p>
    <w:p w14:paraId="786B154C" w14:textId="77777777" w:rsidR="00BA199A" w:rsidRPr="00C600B7" w:rsidRDefault="00491CAC" w:rsidP="0018500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lang w:val="et-EE"/>
        </w:rPr>
      </w:pPr>
      <w:r w:rsidRPr="00C600B7">
        <w:rPr>
          <w:lang w:val="et-EE"/>
        </w:rPr>
        <w:t>25(OH) D</w:t>
      </w:r>
      <w:r w:rsidRPr="00C600B7">
        <w:rPr>
          <w:vertAlign w:val="subscript"/>
          <w:lang w:val="et-EE"/>
        </w:rPr>
        <w:t>3</w:t>
      </w:r>
      <w:r w:rsidRPr="00C600B7">
        <w:rPr>
          <w:lang w:val="et-EE"/>
        </w:rPr>
        <w:t xml:space="preserve"> vitamiin</w:t>
      </w:r>
    </w:p>
    <w:p w14:paraId="608BAFE2" w14:textId="77777777" w:rsidR="00491CAC" w:rsidRPr="00341A07" w:rsidRDefault="00491CAC" w:rsidP="00341A07">
      <w:pPr>
        <w:rPr>
          <w:rFonts w:eastAsiaTheme="minorEastAsia"/>
          <w:color w:val="1A1818"/>
          <w:sz w:val="22"/>
          <w:szCs w:val="22"/>
          <w:lang w:val="et-EE" w:eastAsia="ja-JP"/>
        </w:rPr>
      </w:pPr>
    </w:p>
    <w:sectPr w:rsidR="00491CAC" w:rsidRPr="00341A07" w:rsidSect="00341A0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FDEA6" w14:textId="77777777" w:rsidR="00BA199A" w:rsidRDefault="00BA199A" w:rsidP="00BE6846">
      <w:r>
        <w:separator/>
      </w:r>
    </w:p>
  </w:endnote>
  <w:endnote w:type="continuationSeparator" w:id="0">
    <w:p w14:paraId="44A5EE5F" w14:textId="77777777" w:rsidR="00BA199A" w:rsidRDefault="00BA199A" w:rsidP="00BE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Italic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8EEAC" w14:textId="77777777" w:rsidR="00BA199A" w:rsidRDefault="00BA199A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C600B7" w:rsidRPr="00C600B7">
      <w:rPr>
        <w:noProof/>
        <w:lang w:val="et-EE"/>
      </w:rPr>
      <w:t>1</w:t>
    </w:r>
    <w:r>
      <w:fldChar w:fldCharType="end"/>
    </w:r>
  </w:p>
  <w:p w14:paraId="5128ED56" w14:textId="77777777" w:rsidR="00BA199A" w:rsidRDefault="00BA199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2E06D" w14:textId="77777777" w:rsidR="00BA199A" w:rsidRDefault="00BA199A" w:rsidP="00BE6846">
      <w:r>
        <w:separator/>
      </w:r>
    </w:p>
  </w:footnote>
  <w:footnote w:type="continuationSeparator" w:id="0">
    <w:p w14:paraId="48C3D3D3" w14:textId="77777777" w:rsidR="00BA199A" w:rsidRDefault="00BA199A" w:rsidP="00BE68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7BB6F" w14:textId="3A1F0604" w:rsidR="00BA199A" w:rsidRDefault="00BA199A">
    <w:pPr>
      <w:pStyle w:val="Header"/>
    </w:pPr>
    <w:r>
      <w:t>Bariaatria_K7</w:t>
    </w:r>
    <w:r>
      <w:softHyphen/>
    </w:r>
    <w:r w:rsidR="00C600B7">
      <w:t>.2</w:t>
    </w:r>
    <w:r>
      <w:t>_EvSu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62F"/>
    <w:multiLevelType w:val="hybridMultilevel"/>
    <w:tmpl w:val="807A27E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93039"/>
    <w:multiLevelType w:val="hybridMultilevel"/>
    <w:tmpl w:val="1D8009DC"/>
    <w:lvl w:ilvl="0" w:tplc="8758B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EF6FCA"/>
    <w:multiLevelType w:val="hybridMultilevel"/>
    <w:tmpl w:val="8B907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12D1F"/>
    <w:multiLevelType w:val="hybridMultilevel"/>
    <w:tmpl w:val="7B04A71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B931335"/>
    <w:multiLevelType w:val="hybridMultilevel"/>
    <w:tmpl w:val="90A240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32811"/>
    <w:multiLevelType w:val="hybridMultilevel"/>
    <w:tmpl w:val="AAB20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9307C"/>
    <w:multiLevelType w:val="hybridMultilevel"/>
    <w:tmpl w:val="C510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73C73"/>
    <w:multiLevelType w:val="hybridMultilevel"/>
    <w:tmpl w:val="1B3E5E56"/>
    <w:lvl w:ilvl="0" w:tplc="59C8C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54ED3"/>
    <w:multiLevelType w:val="hybridMultilevel"/>
    <w:tmpl w:val="EC3ECBF0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5AA4885"/>
    <w:multiLevelType w:val="hybridMultilevel"/>
    <w:tmpl w:val="1A3CF50E"/>
    <w:lvl w:ilvl="0" w:tplc="270C4A4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D8"/>
    <w:rsid w:val="00023F63"/>
    <w:rsid w:val="000458F2"/>
    <w:rsid w:val="0009428C"/>
    <w:rsid w:val="000B66F5"/>
    <w:rsid w:val="000D1A47"/>
    <w:rsid w:val="00114891"/>
    <w:rsid w:val="0018500C"/>
    <w:rsid w:val="001A6942"/>
    <w:rsid w:val="001C4A13"/>
    <w:rsid w:val="001E3635"/>
    <w:rsid w:val="001F403C"/>
    <w:rsid w:val="00244695"/>
    <w:rsid w:val="00244E31"/>
    <w:rsid w:val="00246AD3"/>
    <w:rsid w:val="00291DDA"/>
    <w:rsid w:val="002A40AC"/>
    <w:rsid w:val="002B4B52"/>
    <w:rsid w:val="0030287B"/>
    <w:rsid w:val="003276D8"/>
    <w:rsid w:val="003403A1"/>
    <w:rsid w:val="00341A07"/>
    <w:rsid w:val="0039517A"/>
    <w:rsid w:val="003B516E"/>
    <w:rsid w:val="004466BD"/>
    <w:rsid w:val="00484209"/>
    <w:rsid w:val="00491CAC"/>
    <w:rsid w:val="004922D2"/>
    <w:rsid w:val="004D76FB"/>
    <w:rsid w:val="004F2384"/>
    <w:rsid w:val="00500A6D"/>
    <w:rsid w:val="005501B3"/>
    <w:rsid w:val="005A7DD3"/>
    <w:rsid w:val="005C2F28"/>
    <w:rsid w:val="005D661D"/>
    <w:rsid w:val="005D792F"/>
    <w:rsid w:val="006A3BAC"/>
    <w:rsid w:val="006E7D92"/>
    <w:rsid w:val="006F052D"/>
    <w:rsid w:val="00703039"/>
    <w:rsid w:val="00707E92"/>
    <w:rsid w:val="007225E6"/>
    <w:rsid w:val="0075575E"/>
    <w:rsid w:val="007E0776"/>
    <w:rsid w:val="007E285F"/>
    <w:rsid w:val="008965B0"/>
    <w:rsid w:val="009000FA"/>
    <w:rsid w:val="00900A38"/>
    <w:rsid w:val="00920C79"/>
    <w:rsid w:val="00922D60"/>
    <w:rsid w:val="009272BF"/>
    <w:rsid w:val="009501B2"/>
    <w:rsid w:val="00950D01"/>
    <w:rsid w:val="009774FE"/>
    <w:rsid w:val="009A1FDD"/>
    <w:rsid w:val="009A564A"/>
    <w:rsid w:val="009B7861"/>
    <w:rsid w:val="009C0386"/>
    <w:rsid w:val="00A11AE4"/>
    <w:rsid w:val="00A3453D"/>
    <w:rsid w:val="00A370B1"/>
    <w:rsid w:val="00A41DDE"/>
    <w:rsid w:val="00A958DF"/>
    <w:rsid w:val="00B00646"/>
    <w:rsid w:val="00B5480C"/>
    <w:rsid w:val="00B804D7"/>
    <w:rsid w:val="00B9193A"/>
    <w:rsid w:val="00BA199A"/>
    <w:rsid w:val="00BA3F99"/>
    <w:rsid w:val="00BB7799"/>
    <w:rsid w:val="00BE6846"/>
    <w:rsid w:val="00BF70C4"/>
    <w:rsid w:val="00C11C1A"/>
    <w:rsid w:val="00C600B7"/>
    <w:rsid w:val="00C60F88"/>
    <w:rsid w:val="00CB69D2"/>
    <w:rsid w:val="00D14D43"/>
    <w:rsid w:val="00D23C41"/>
    <w:rsid w:val="00D37499"/>
    <w:rsid w:val="00D61CF9"/>
    <w:rsid w:val="00D90977"/>
    <w:rsid w:val="00E97A64"/>
    <w:rsid w:val="00F46F49"/>
    <w:rsid w:val="00F87669"/>
    <w:rsid w:val="00F9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0EB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6D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6D8"/>
    <w:pPr>
      <w:ind w:left="720"/>
      <w:contextualSpacing/>
    </w:pPr>
  </w:style>
  <w:style w:type="table" w:styleId="TableGrid">
    <w:name w:val="Table Grid"/>
    <w:basedOn w:val="TableNormal"/>
    <w:uiPriority w:val="59"/>
    <w:rsid w:val="00327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684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E684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84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E684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6D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6D8"/>
    <w:pPr>
      <w:ind w:left="720"/>
      <w:contextualSpacing/>
    </w:pPr>
  </w:style>
  <w:style w:type="table" w:styleId="TableGrid">
    <w:name w:val="Table Grid"/>
    <w:basedOn w:val="TableNormal"/>
    <w:uiPriority w:val="59"/>
    <w:rsid w:val="00327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684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E684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84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E684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1041</Words>
  <Characters>5935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Kliiniline küsimus nr</vt:lpstr>
    </vt:vector>
  </TitlesOfParts>
  <Company>DELLNBX</Company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Kliiniline küsimus nr</dc:title>
  <dc:creator>Kirsti</dc:creator>
  <cp:lastModifiedBy>Siret Saarsalu</cp:lastModifiedBy>
  <cp:revision>6</cp:revision>
  <dcterms:created xsi:type="dcterms:W3CDTF">2014-12-01T15:05:00Z</dcterms:created>
  <dcterms:modified xsi:type="dcterms:W3CDTF">2014-12-01T15:42:00Z</dcterms:modified>
</cp:coreProperties>
</file>