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F0" w:rsidRDefault="00887D66" w:rsidP="009D4BF0">
      <w:r>
        <w:rPr>
          <w:rFonts w:ascii="Verdana" w:hAnsi="Verdana"/>
          <w:b/>
          <w:bCs/>
          <w:color w:val="000080"/>
          <w:sz w:val="18"/>
          <w:szCs w:val="18"/>
          <w:lang w:val="fi-FI"/>
        </w:rPr>
        <w:t>K</w:t>
      </w:r>
      <w:r w:rsidR="00042FF2" w:rsidRPr="002D065A">
        <w:rPr>
          <w:rFonts w:ascii="Verdana" w:hAnsi="Verdana"/>
          <w:b/>
          <w:bCs/>
          <w:color w:val="000080"/>
          <w:sz w:val="18"/>
          <w:szCs w:val="18"/>
          <w:lang w:val="fi-FI"/>
        </w:rPr>
        <w:t>liiniline küsimus</w:t>
      </w:r>
      <w:r w:rsidR="008E6ADE" w:rsidRPr="002D065A">
        <w:rPr>
          <w:rFonts w:ascii="Verdana" w:hAnsi="Verdana"/>
          <w:b/>
          <w:bCs/>
          <w:color w:val="000080"/>
          <w:sz w:val="18"/>
          <w:szCs w:val="18"/>
          <w:lang w:val="fi-FI"/>
        </w:rPr>
        <w:t xml:space="preserve"> </w:t>
      </w:r>
      <w:r w:rsidR="00042FF2" w:rsidRPr="002D065A">
        <w:rPr>
          <w:rFonts w:ascii="Verdana" w:hAnsi="Verdana"/>
          <w:b/>
          <w:bCs/>
          <w:color w:val="000080"/>
          <w:sz w:val="18"/>
          <w:szCs w:val="18"/>
          <w:lang w:val="fi-FI"/>
        </w:rPr>
        <w:t xml:space="preserve">nr </w:t>
      </w:r>
      <w:r w:rsidR="00727CEA" w:rsidRPr="00095479">
        <w:rPr>
          <w:rFonts w:ascii="Verdana" w:hAnsi="Verdana"/>
          <w:b/>
          <w:color w:val="17365D"/>
          <w:sz w:val="18"/>
          <w:szCs w:val="18"/>
        </w:rPr>
        <w:t>11</w:t>
      </w:r>
      <w:r w:rsidR="009D4BF0">
        <w:t xml:space="preserve">. </w:t>
      </w:r>
    </w:p>
    <w:p w:rsidR="003B0510" w:rsidRDefault="00042FF2" w:rsidP="00D0444F">
      <w:pPr>
        <w:spacing w:line="276" w:lineRule="auto"/>
        <w:rPr>
          <w:rFonts w:ascii="Verdana" w:hAnsi="Verdana"/>
          <w:i/>
          <w:color w:val="000080"/>
          <w:sz w:val="18"/>
          <w:szCs w:val="18"/>
        </w:rPr>
      </w:pPr>
      <w:r w:rsidRPr="00042FF2">
        <w:rPr>
          <w:rFonts w:ascii="Verdana" w:hAnsi="Verdana"/>
          <w:i/>
          <w:color w:val="000080"/>
          <w:sz w:val="18"/>
          <w:szCs w:val="18"/>
        </w:rPr>
        <w:t xml:space="preserve">Kliiniline küsimus </w:t>
      </w:r>
      <w:r w:rsidR="002D065A">
        <w:rPr>
          <w:rFonts w:ascii="Verdana" w:hAnsi="Verdana"/>
          <w:i/>
          <w:color w:val="000080"/>
          <w:sz w:val="18"/>
          <w:szCs w:val="18"/>
        </w:rPr>
        <w:t>tek</w:t>
      </w:r>
      <w:r>
        <w:rPr>
          <w:rFonts w:ascii="Verdana" w:hAnsi="Verdana"/>
          <w:i/>
          <w:color w:val="000080"/>
          <w:sz w:val="18"/>
          <w:szCs w:val="18"/>
        </w:rPr>
        <w:t>s</w:t>
      </w:r>
      <w:r w:rsidR="002D065A">
        <w:rPr>
          <w:rFonts w:ascii="Verdana" w:hAnsi="Verdana"/>
          <w:i/>
          <w:color w:val="000080"/>
          <w:sz w:val="18"/>
          <w:szCs w:val="18"/>
        </w:rPr>
        <w:t>t</w:t>
      </w:r>
    </w:p>
    <w:p w:rsidR="00727CEA" w:rsidRDefault="00727CEA" w:rsidP="00727CEA">
      <w:r>
        <w:t xml:space="preserve">Kas bariaatrilise operatsiooni järgselt tuleks patsiendil teostada järgmised </w:t>
      </w:r>
    </w:p>
    <w:p w:rsidR="00727CEA" w:rsidRDefault="00727CEA" w:rsidP="00727CEA">
      <w:r>
        <w:t xml:space="preserve">uuringud/analüüsid (võrreldes uuringute/analüüsid mitte tegemisega) </w:t>
      </w:r>
    </w:p>
    <w:p w:rsidR="00727CEA" w:rsidRDefault="00727CEA" w:rsidP="00727CEA">
      <w:r>
        <w:t xml:space="preserve">- ülemise seedetrakti endoskoopia </w:t>
      </w:r>
    </w:p>
    <w:p w:rsidR="00727CEA" w:rsidRDefault="00727CEA" w:rsidP="00727CEA">
      <w:r>
        <w:t xml:space="preserve">- densitomeetria </w:t>
      </w:r>
    </w:p>
    <w:p w:rsidR="009D4BF0" w:rsidRDefault="00042FF2" w:rsidP="009D4BF0">
      <w:r>
        <w:rPr>
          <w:rFonts w:ascii="Verdana" w:hAnsi="Verdana"/>
          <w:color w:val="000080"/>
          <w:sz w:val="18"/>
          <w:szCs w:val="18"/>
          <w:u w:val="single"/>
        </w:rPr>
        <w:t>Kriitilised tulemusnäitajad</w:t>
      </w:r>
      <w:r w:rsidR="00586785" w:rsidRPr="00FE17E8">
        <w:rPr>
          <w:rFonts w:ascii="Verdana" w:hAnsi="Verdana"/>
          <w:color w:val="000080"/>
          <w:sz w:val="18"/>
          <w:szCs w:val="18"/>
          <w:u w:val="single"/>
        </w:rPr>
        <w:t>:</w:t>
      </w:r>
      <w:r w:rsidR="009D4BF0" w:rsidRPr="009D4BF0">
        <w:t xml:space="preserve"> </w:t>
      </w:r>
      <w:r w:rsidR="009D4BF0">
        <w:t xml:space="preserve">Uuringumeetodi tundlikkus ja spetsiifilisus, positiivne ja negatiivne </w:t>
      </w:r>
    </w:p>
    <w:p w:rsidR="009D4BF0" w:rsidRDefault="009D4BF0" w:rsidP="009D4BF0">
      <w:r>
        <w:t xml:space="preserve">ennustatav väärtus, kulutõhusus </w:t>
      </w:r>
    </w:p>
    <w:p w:rsidR="003B0510" w:rsidRDefault="003B0510" w:rsidP="00480289">
      <w:pPr>
        <w:jc w:val="both"/>
        <w:rPr>
          <w:rFonts w:ascii="Verdana" w:hAnsi="Verdana"/>
          <w:color w:val="000080"/>
          <w:sz w:val="18"/>
          <w:szCs w:val="18"/>
          <w:u w:val="single"/>
        </w:rPr>
      </w:pPr>
    </w:p>
    <w:p w:rsidR="003B0510" w:rsidRPr="002D065A" w:rsidRDefault="00042FF2" w:rsidP="002D065A">
      <w:pPr>
        <w:jc w:val="both"/>
        <w:rPr>
          <w:rFonts w:ascii="Verdana" w:hAnsi="Verdana" w:cs="Arial"/>
          <w:b/>
          <w:color w:val="000080"/>
          <w:sz w:val="18"/>
          <w:szCs w:val="18"/>
          <w:lang w:val="fi-FI"/>
        </w:rPr>
      </w:pPr>
      <w:r>
        <w:rPr>
          <w:rFonts w:ascii="Verdana" w:hAnsi="Verdana"/>
          <w:color w:val="000080"/>
          <w:sz w:val="18"/>
          <w:szCs w:val="18"/>
          <w:u w:val="single"/>
        </w:rPr>
        <w:br/>
      </w:r>
      <w:r w:rsidRPr="002D065A">
        <w:rPr>
          <w:rFonts w:ascii="Verdana" w:hAnsi="Verdana" w:cs="Arial"/>
          <w:b/>
          <w:color w:val="000080"/>
          <w:sz w:val="18"/>
          <w:szCs w:val="18"/>
          <w:lang w:val="fi-FI"/>
        </w:rPr>
        <w:t>Süstemaatilised ülevaated</w:t>
      </w:r>
    </w:p>
    <w:p w:rsidR="00042FF2" w:rsidRDefault="00042FF2" w:rsidP="00887D66">
      <w:pPr>
        <w:pBdr>
          <w:top w:val="single" w:sz="4" w:space="0" w:color="000080"/>
          <w:left w:val="single" w:sz="4" w:space="0" w:color="000080"/>
          <w:bottom w:val="single" w:sz="4" w:space="1" w:color="000080"/>
          <w:right w:val="single" w:sz="4" w:space="4" w:color="000080"/>
        </w:pBdr>
        <w:shd w:val="clear" w:color="auto" w:fill="FFFFFF"/>
        <w:ind w:right="240"/>
        <w:jc w:val="both"/>
        <w:rPr>
          <w:rFonts w:ascii="Verdana" w:hAnsi="Verdana" w:cs="ArialMT"/>
          <w:i/>
          <w:color w:val="000080"/>
          <w:sz w:val="18"/>
          <w:szCs w:val="18"/>
          <w:lang w:val="fi-FI" w:eastAsia="en-US"/>
        </w:rPr>
      </w:pPr>
      <w:r w:rsidRPr="002D065A">
        <w:rPr>
          <w:rFonts w:ascii="Verdana" w:hAnsi="Verdana" w:cs="ArialMT"/>
          <w:i/>
          <w:color w:val="000080"/>
          <w:sz w:val="18"/>
          <w:szCs w:val="18"/>
          <w:lang w:val="fi-FI" w:eastAsia="en-US"/>
        </w:rPr>
        <w:t>Kokkuvõte süstemaatilistest ülevaadetest</w:t>
      </w:r>
    </w:p>
    <w:p w:rsidR="002A571C" w:rsidRPr="0074208C" w:rsidRDefault="002A571C" w:rsidP="00887D66">
      <w:pPr>
        <w:pBdr>
          <w:top w:val="single" w:sz="4" w:space="0" w:color="000080"/>
          <w:left w:val="single" w:sz="4" w:space="0" w:color="000080"/>
          <w:bottom w:val="single" w:sz="4" w:space="1" w:color="000080"/>
          <w:right w:val="single" w:sz="4" w:space="4" w:color="000080"/>
        </w:pBdr>
        <w:shd w:val="clear" w:color="auto" w:fill="FFFFFF"/>
        <w:ind w:right="240"/>
        <w:jc w:val="both"/>
        <w:rPr>
          <w:rFonts w:ascii="Verdana" w:hAnsi="Verdana" w:cs="ArialMT"/>
          <w:i/>
          <w:sz w:val="18"/>
          <w:szCs w:val="18"/>
          <w:lang w:val="fi-FI" w:eastAsia="en-US"/>
        </w:rPr>
      </w:pPr>
      <w:r w:rsidRPr="0074208C">
        <w:rPr>
          <w:rFonts w:ascii="Verdana" w:hAnsi="Verdana" w:cs="ArialMT"/>
          <w:i/>
          <w:sz w:val="18"/>
          <w:szCs w:val="18"/>
          <w:lang w:val="fi-FI" w:eastAsia="en-US"/>
        </w:rPr>
        <w:t xml:space="preserve">Süsteemsed ülevaated </w:t>
      </w:r>
      <w:r w:rsidR="00887D66" w:rsidRPr="0074208C">
        <w:rPr>
          <w:rFonts w:ascii="Verdana" w:hAnsi="Verdana" w:cs="ArialMT"/>
          <w:i/>
          <w:sz w:val="18"/>
          <w:szCs w:val="18"/>
          <w:lang w:val="fi-FI" w:eastAsia="en-US"/>
        </w:rPr>
        <w:t xml:space="preserve">bariaatrilise kirurgia </w:t>
      </w:r>
      <w:r w:rsidR="00887D66">
        <w:rPr>
          <w:rFonts w:ascii="Verdana" w:hAnsi="Verdana" w:cs="ArialMT"/>
          <w:i/>
          <w:sz w:val="18"/>
          <w:szCs w:val="18"/>
          <w:lang w:val="fi-FI" w:eastAsia="en-US"/>
        </w:rPr>
        <w:t xml:space="preserve">järgses perioodis </w:t>
      </w:r>
      <w:r w:rsidR="00727CEA">
        <w:rPr>
          <w:rFonts w:ascii="Verdana" w:hAnsi="Verdana" w:cs="ArialMT"/>
          <w:i/>
          <w:sz w:val="18"/>
          <w:szCs w:val="18"/>
          <w:lang w:val="fi-FI" w:eastAsia="en-US"/>
        </w:rPr>
        <w:t xml:space="preserve">ülemise seedetrakti </w:t>
      </w:r>
      <w:r w:rsidR="004A44A5">
        <w:rPr>
          <w:rFonts w:ascii="Verdana" w:hAnsi="Verdana" w:cs="ArialMT"/>
          <w:i/>
          <w:sz w:val="18"/>
          <w:szCs w:val="18"/>
          <w:lang w:val="fi-FI" w:eastAsia="en-US"/>
        </w:rPr>
        <w:t xml:space="preserve">endoskoopia, </w:t>
      </w:r>
      <w:r w:rsidR="00727CEA">
        <w:rPr>
          <w:rFonts w:ascii="Verdana" w:hAnsi="Verdana" w:cs="ArialMT"/>
          <w:i/>
          <w:sz w:val="18"/>
          <w:szCs w:val="18"/>
          <w:lang w:val="fi-FI" w:eastAsia="en-US"/>
        </w:rPr>
        <w:t xml:space="preserve">densitomeetria </w:t>
      </w:r>
      <w:r w:rsidRPr="0074208C">
        <w:rPr>
          <w:rFonts w:ascii="Verdana" w:hAnsi="Verdana" w:cs="ArialMT"/>
          <w:i/>
          <w:sz w:val="18"/>
          <w:szCs w:val="18"/>
          <w:lang w:val="fi-FI" w:eastAsia="en-US"/>
        </w:rPr>
        <w:t>tundlikkuse, spetsiifilisuse, positiivse- ja negatiivse ennustatava väärtuse kohta puuduvad, samuti kulutõhususe uuringutest.</w:t>
      </w:r>
    </w:p>
    <w:p w:rsidR="00042FF2" w:rsidRPr="00042FF2" w:rsidRDefault="00042FF2" w:rsidP="00887D66">
      <w:pPr>
        <w:pBdr>
          <w:top w:val="single" w:sz="4" w:space="0" w:color="000080"/>
          <w:left w:val="single" w:sz="4" w:space="0" w:color="000080"/>
          <w:bottom w:val="single" w:sz="4" w:space="1" w:color="000080"/>
          <w:right w:val="single" w:sz="4" w:space="4" w:color="000080"/>
        </w:pBdr>
        <w:shd w:val="clear" w:color="auto" w:fill="FFFFFF"/>
        <w:ind w:right="240"/>
        <w:jc w:val="both"/>
        <w:rPr>
          <w:rFonts w:ascii="Verdana" w:hAnsi="Verdana" w:cs="AdvTTc9c3bd71"/>
          <w:i/>
          <w:color w:val="000080"/>
          <w:sz w:val="18"/>
          <w:szCs w:val="18"/>
        </w:rPr>
      </w:pPr>
    </w:p>
    <w:p w:rsidR="00A91414" w:rsidRPr="002D065A" w:rsidRDefault="00A91414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000080"/>
          <w:sz w:val="18"/>
          <w:szCs w:val="18"/>
          <w:lang w:val="fi-FI" w:eastAsia="en-US"/>
        </w:rPr>
      </w:pPr>
    </w:p>
    <w:p w:rsidR="003B0510" w:rsidRPr="002D065A" w:rsidRDefault="00042FF2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000080"/>
          <w:sz w:val="18"/>
          <w:szCs w:val="18"/>
          <w:lang w:val="fi-FI" w:eastAsia="en-US"/>
        </w:rPr>
      </w:pPr>
      <w:r w:rsidRPr="002D065A">
        <w:rPr>
          <w:rFonts w:ascii="Verdana" w:hAnsi="Verdana" w:cs="ArialMT"/>
          <w:b/>
          <w:color w:val="000080"/>
          <w:sz w:val="18"/>
          <w:szCs w:val="18"/>
          <w:lang w:val="fi-FI" w:eastAsia="en-US"/>
        </w:rPr>
        <w:t>Viited</w:t>
      </w:r>
    </w:p>
    <w:p w:rsidR="003B0510" w:rsidRPr="002D065A" w:rsidRDefault="003B0510" w:rsidP="003B0510">
      <w:pPr>
        <w:autoSpaceDE w:val="0"/>
        <w:autoSpaceDN w:val="0"/>
        <w:adjustRightInd w:val="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9180"/>
      </w:tblGrid>
      <w:tr w:rsidR="00026777" w:rsidRPr="00FE17E8" w:rsidTr="00887D66">
        <w:tc>
          <w:tcPr>
            <w:tcW w:w="9180" w:type="dxa"/>
            <w:shd w:val="clear" w:color="auto" w:fill="auto"/>
          </w:tcPr>
          <w:p w:rsidR="00026777" w:rsidRPr="002D065A" w:rsidRDefault="00026777" w:rsidP="00887D66">
            <w:pPr>
              <w:spacing w:before="75" w:after="225"/>
              <w:ind w:left="-392" w:firstLine="392"/>
              <w:rPr>
                <w:rFonts w:ascii="Verdana" w:hAnsi="Verdana" w:cs="Arial"/>
                <w:b/>
                <w:color w:val="000080"/>
                <w:sz w:val="18"/>
                <w:szCs w:val="18"/>
                <w:lang w:val="fi-FI"/>
              </w:rPr>
            </w:pPr>
            <w:r w:rsidRPr="002D065A">
              <w:rPr>
                <w:rFonts w:ascii="Verdana" w:hAnsi="Verdana" w:cs="Arial"/>
                <w:b/>
                <w:color w:val="000080"/>
                <w:sz w:val="18"/>
                <w:szCs w:val="18"/>
                <w:lang w:val="fi-FI"/>
              </w:rPr>
              <w:t>Kokkuvõtte (abstract või kokkuvõtlikum info)</w:t>
            </w:r>
          </w:p>
        </w:tc>
      </w:tr>
      <w:tr w:rsidR="00026777" w:rsidRPr="00FE17E8" w:rsidTr="00887D66">
        <w:tc>
          <w:tcPr>
            <w:tcW w:w="9180" w:type="dxa"/>
            <w:shd w:val="clear" w:color="auto" w:fill="auto"/>
          </w:tcPr>
          <w:p w:rsidR="00026777" w:rsidRPr="0023358B" w:rsidRDefault="00026777" w:rsidP="00042F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i/>
                <w:color w:val="4F81BD"/>
                <w:sz w:val="18"/>
                <w:szCs w:val="18"/>
              </w:rPr>
            </w:pPr>
            <w:r w:rsidRPr="0023358B">
              <w:rPr>
                <w:rFonts w:ascii="Verdana" w:hAnsi="Verdana" w:cs="Arial"/>
                <w:i/>
                <w:color w:val="4F81BD"/>
                <w:sz w:val="18"/>
                <w:szCs w:val="18"/>
              </w:rPr>
              <w:t>Nt kokkulepitud struktuur võiks olla: Mitu uuringut, palju patsiente, tulemused</w:t>
            </w:r>
          </w:p>
          <w:p w:rsidR="00026777" w:rsidRPr="0023358B" w:rsidRDefault="00026777" w:rsidP="00042F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i/>
                <w:color w:val="4F81BD"/>
                <w:sz w:val="18"/>
                <w:szCs w:val="18"/>
              </w:rPr>
            </w:pPr>
            <w:r w:rsidRPr="0023358B">
              <w:rPr>
                <w:rFonts w:ascii="Verdana" w:hAnsi="Verdana" w:cs="Arial"/>
                <w:i/>
                <w:color w:val="4F81BD"/>
                <w:sz w:val="18"/>
                <w:szCs w:val="18"/>
              </w:rPr>
              <w:t>Uuringu kvaliteet</w:t>
            </w:r>
          </w:p>
          <w:p w:rsidR="00026777" w:rsidRPr="0023358B" w:rsidRDefault="00026777" w:rsidP="00042F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i/>
                <w:color w:val="4F81BD"/>
                <w:sz w:val="18"/>
                <w:szCs w:val="18"/>
              </w:rPr>
            </w:pPr>
            <w:r w:rsidRPr="0023358B">
              <w:rPr>
                <w:rFonts w:ascii="Verdana" w:hAnsi="Verdana" w:cs="Arial"/>
                <w:i/>
                <w:color w:val="4F81BD"/>
                <w:sz w:val="18"/>
                <w:szCs w:val="18"/>
              </w:rPr>
              <w:t>Lisada Grade tabel, juhul kui on</w:t>
            </w:r>
          </w:p>
          <w:p w:rsidR="00026777" w:rsidRPr="000C3547" w:rsidRDefault="00026777" w:rsidP="00042F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i/>
                <w:color w:val="000080"/>
                <w:sz w:val="18"/>
                <w:szCs w:val="18"/>
              </w:rPr>
            </w:pPr>
          </w:p>
        </w:tc>
      </w:tr>
      <w:tr w:rsidR="00026777" w:rsidRPr="00FE17E8" w:rsidTr="00887D66">
        <w:tc>
          <w:tcPr>
            <w:tcW w:w="9180" w:type="dxa"/>
            <w:shd w:val="clear" w:color="auto" w:fill="auto"/>
          </w:tcPr>
          <w:p w:rsidR="00B175EE" w:rsidRDefault="00727CEA" w:rsidP="00597EE8">
            <w:pPr>
              <w:jc w:val="both"/>
              <w:rPr>
                <w:b/>
                <w:color w:val="000680"/>
                <w:lang w:eastAsia="en-US"/>
              </w:rPr>
            </w:pPr>
            <w:r w:rsidRPr="00727CEA">
              <w:rPr>
                <w:b/>
                <w:color w:val="000680"/>
                <w:lang w:eastAsia="en-US"/>
              </w:rPr>
              <w:t>Ülemise seedetrakti endoskoopia</w:t>
            </w:r>
          </w:p>
          <w:p w:rsidR="009C7B93" w:rsidRPr="009C7B93" w:rsidRDefault="00887D66" w:rsidP="00597E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9C7B93">
              <w:rPr>
                <w:lang w:eastAsia="en-US"/>
              </w:rPr>
              <w:t xml:space="preserve">ostoperatiivses perioodis </w:t>
            </w:r>
            <w:r>
              <w:rPr>
                <w:lang w:eastAsia="en-US"/>
              </w:rPr>
              <w:t xml:space="preserve">peetakse </w:t>
            </w:r>
            <w:r w:rsidR="009C7B93">
              <w:rPr>
                <w:lang w:eastAsia="en-US"/>
              </w:rPr>
              <w:t>endoskoopilise uuringu näidustusteks püsiva</w:t>
            </w:r>
            <w:r>
              <w:rPr>
                <w:lang w:eastAsia="en-US"/>
              </w:rPr>
              <w:t>i</w:t>
            </w:r>
            <w:r w:rsidR="009C7B93">
              <w:rPr>
                <w:lang w:eastAsia="en-US"/>
              </w:rPr>
              <w:t xml:space="preserve">d </w:t>
            </w:r>
            <w:r>
              <w:rPr>
                <w:lang w:eastAsia="en-US"/>
              </w:rPr>
              <w:t xml:space="preserve">seedetrakti </w:t>
            </w:r>
            <w:r w:rsidR="009C7B93">
              <w:rPr>
                <w:lang w:eastAsia="en-US"/>
              </w:rPr>
              <w:t>kaebuse</w:t>
            </w:r>
            <w:r>
              <w:rPr>
                <w:lang w:eastAsia="en-US"/>
              </w:rPr>
              <w:t>i</w:t>
            </w:r>
            <w:r w:rsidR="009C7B93">
              <w:rPr>
                <w:lang w:eastAsia="en-US"/>
              </w:rPr>
              <w:t xml:space="preserve">d, </w:t>
            </w:r>
            <w:r>
              <w:rPr>
                <w:lang w:eastAsia="en-US"/>
              </w:rPr>
              <w:t>operatsiooni</w:t>
            </w:r>
            <w:r w:rsidR="00424DAF">
              <w:rPr>
                <w:lang w:eastAsia="en-US"/>
              </w:rPr>
              <w:t>järgsete</w:t>
            </w:r>
            <w:r>
              <w:rPr>
                <w:lang w:eastAsia="en-US"/>
              </w:rPr>
              <w:t xml:space="preserve"> </w:t>
            </w:r>
            <w:r w:rsidR="009C7B93">
              <w:rPr>
                <w:lang w:eastAsia="en-US"/>
              </w:rPr>
              <w:t>tüsistuste</w:t>
            </w:r>
            <w:r w:rsidR="00774ABB">
              <w:rPr>
                <w:lang w:eastAsia="en-US"/>
              </w:rPr>
              <w:t xml:space="preserve"> endoskoopilist</w:t>
            </w:r>
            <w:r w:rsidR="009C7B93">
              <w:rPr>
                <w:lang w:eastAsia="en-US"/>
              </w:rPr>
              <w:t xml:space="preserve"> ravi või ebapiisava kaalulanguse põhjuste selgitami</w:t>
            </w:r>
            <w:r>
              <w:rPr>
                <w:lang w:eastAsia="en-US"/>
              </w:rPr>
              <w:t>st</w:t>
            </w:r>
            <w:r w:rsidR="009C7B93">
              <w:rPr>
                <w:lang w:eastAsia="en-US"/>
              </w:rPr>
              <w:t xml:space="preserve"> (1</w:t>
            </w:r>
            <w:r>
              <w:rPr>
                <w:lang w:eastAsia="en-US"/>
              </w:rPr>
              <w:t>,2</w:t>
            </w:r>
            <w:r w:rsidR="00FC2E88">
              <w:rPr>
                <w:lang w:eastAsia="en-US"/>
              </w:rPr>
              <w:t>,3</w:t>
            </w:r>
            <w:r w:rsidR="009C7B93">
              <w:rPr>
                <w:lang w:eastAsia="en-US"/>
              </w:rPr>
              <w:t>). Seedetrakti tüsistused, millede korral endoskoopia omab nii diagnostilist kui ka terapeutilist väärtust oleksid: äge verejooks ja/või aneemia (</w:t>
            </w:r>
            <w:r w:rsidR="00FC2E88">
              <w:rPr>
                <w:lang w:eastAsia="en-US"/>
              </w:rPr>
              <w:t>4</w:t>
            </w:r>
            <w:r w:rsidR="009C7B93">
              <w:rPr>
                <w:lang w:eastAsia="en-US"/>
              </w:rPr>
              <w:t>-</w:t>
            </w:r>
            <w:r w:rsidR="00FC2E88">
              <w:rPr>
                <w:lang w:eastAsia="en-US"/>
              </w:rPr>
              <w:t>9</w:t>
            </w:r>
            <w:r w:rsidR="009C7B93">
              <w:rPr>
                <w:lang w:eastAsia="en-US"/>
              </w:rPr>
              <w:t>)</w:t>
            </w:r>
            <w:r w:rsidR="00E831F3">
              <w:rPr>
                <w:lang w:eastAsia="en-US"/>
              </w:rPr>
              <w:t xml:space="preserve">, </w:t>
            </w:r>
            <w:r w:rsidR="00255DA0">
              <w:rPr>
                <w:lang w:eastAsia="en-US"/>
              </w:rPr>
              <w:t xml:space="preserve"> gastrojejunaalse anastomoosi striktuur</w:t>
            </w:r>
            <w:r w:rsidR="009237F6">
              <w:rPr>
                <w:lang w:eastAsia="en-US"/>
              </w:rPr>
              <w:t xml:space="preserve"> (</w:t>
            </w:r>
            <w:r w:rsidR="00FC2E88">
              <w:rPr>
                <w:lang w:eastAsia="en-US"/>
              </w:rPr>
              <w:t>10</w:t>
            </w:r>
            <w:r w:rsidR="009237F6">
              <w:rPr>
                <w:lang w:eastAsia="en-US"/>
              </w:rPr>
              <w:t>-1</w:t>
            </w:r>
            <w:r w:rsidR="00FC2E88">
              <w:rPr>
                <w:lang w:eastAsia="en-US"/>
              </w:rPr>
              <w:t>6</w:t>
            </w:r>
            <w:r w:rsidR="009237F6">
              <w:rPr>
                <w:lang w:eastAsia="en-US"/>
              </w:rPr>
              <w:t>)</w:t>
            </w:r>
            <w:r w:rsidR="00632689">
              <w:rPr>
                <w:lang w:eastAsia="en-US"/>
              </w:rPr>
              <w:t xml:space="preserve">, </w:t>
            </w:r>
            <w:r w:rsidR="00693DAF">
              <w:rPr>
                <w:lang w:eastAsia="en-US"/>
              </w:rPr>
              <w:t>bezoaar</w:t>
            </w:r>
            <w:r w:rsidR="00632689" w:rsidRPr="005B6E49">
              <w:rPr>
                <w:lang w:eastAsia="en-US"/>
              </w:rPr>
              <w:t xml:space="preserve"> (</w:t>
            </w:r>
            <w:r w:rsidR="005B6E49" w:rsidRPr="005B6E49">
              <w:rPr>
                <w:lang w:eastAsia="en-US"/>
              </w:rPr>
              <w:t>1</w:t>
            </w:r>
            <w:r w:rsidR="00FC2E88">
              <w:rPr>
                <w:lang w:eastAsia="en-US"/>
              </w:rPr>
              <w:t>7</w:t>
            </w:r>
            <w:r w:rsidR="00632689" w:rsidRPr="005B6E49">
              <w:rPr>
                <w:lang w:eastAsia="en-US"/>
              </w:rPr>
              <w:t>)</w:t>
            </w:r>
            <w:r w:rsidR="00E3473E" w:rsidRPr="005B6E49">
              <w:rPr>
                <w:lang w:eastAsia="en-US"/>
              </w:rPr>
              <w:t>,</w:t>
            </w:r>
            <w:r w:rsidR="00E3473E">
              <w:rPr>
                <w:color w:val="FF0000"/>
                <w:lang w:eastAsia="en-US"/>
              </w:rPr>
              <w:t xml:space="preserve"> </w:t>
            </w:r>
            <w:r w:rsidR="00E3473E" w:rsidRPr="00597EE8">
              <w:rPr>
                <w:lang w:eastAsia="en-US"/>
              </w:rPr>
              <w:t>bändingu libisemine</w:t>
            </w:r>
            <w:r w:rsidR="009237F6">
              <w:rPr>
                <w:lang w:eastAsia="en-US"/>
              </w:rPr>
              <w:t>.</w:t>
            </w:r>
            <w:r w:rsidR="00D56327">
              <w:rPr>
                <w:lang w:eastAsia="en-US"/>
              </w:rPr>
              <w:t xml:space="preserve"> </w:t>
            </w:r>
            <w:r w:rsidR="009237F6">
              <w:rPr>
                <w:lang w:eastAsia="en-US"/>
              </w:rPr>
              <w:t xml:space="preserve"> Mao </w:t>
            </w:r>
            <w:r w:rsidR="00597EE8">
              <w:rPr>
                <w:lang w:eastAsia="en-US"/>
              </w:rPr>
              <w:t>bä</w:t>
            </w:r>
            <w:r w:rsidR="009237F6" w:rsidRPr="00597EE8">
              <w:rPr>
                <w:lang w:eastAsia="en-US"/>
              </w:rPr>
              <w:t>ndingu</w:t>
            </w:r>
            <w:r w:rsidR="009237F6">
              <w:rPr>
                <w:color w:val="FF0000"/>
                <w:lang w:eastAsia="en-US"/>
              </w:rPr>
              <w:t xml:space="preserve"> </w:t>
            </w:r>
            <w:r w:rsidR="009237F6" w:rsidRPr="009237F6">
              <w:rPr>
                <w:lang w:eastAsia="en-US"/>
              </w:rPr>
              <w:t>piirkonna erosioon</w:t>
            </w:r>
            <w:r w:rsidR="009237F6">
              <w:rPr>
                <w:lang w:eastAsia="en-US"/>
              </w:rPr>
              <w:t xml:space="preserve"> on traditsiooniliselt </w:t>
            </w:r>
            <w:r w:rsidR="00A221A0">
              <w:rPr>
                <w:lang w:eastAsia="en-US"/>
              </w:rPr>
              <w:t>vajanud kirurgilist revisiooni, kuid kirjanduses on ka artikleid edukast konservatiivsest ravist endoskoopial (1</w:t>
            </w:r>
            <w:r w:rsidR="00FC2E88">
              <w:rPr>
                <w:lang w:eastAsia="en-US"/>
              </w:rPr>
              <w:t>8-20</w:t>
            </w:r>
            <w:r w:rsidR="00A221A0">
              <w:rPr>
                <w:lang w:eastAsia="en-US"/>
              </w:rPr>
              <w:t>).</w:t>
            </w:r>
          </w:p>
          <w:p w:rsidR="00026777" w:rsidRDefault="00026777" w:rsidP="00597EE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26777" w:rsidRDefault="00026777" w:rsidP="00597EE8">
            <w:pPr>
              <w:jc w:val="both"/>
              <w:rPr>
                <w:rFonts w:ascii="Verdana" w:hAnsi="Verdana" w:cs="Arial"/>
                <w:b/>
                <w:bCs/>
                <w:color w:val="000080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80"/>
                <w:sz w:val="18"/>
                <w:szCs w:val="18"/>
                <w:lang w:val="en-US"/>
              </w:rPr>
              <w:t>Viide kirjandusallikale</w:t>
            </w:r>
          </w:p>
          <w:p w:rsidR="00026777" w:rsidRPr="004C791D" w:rsidRDefault="00403A30" w:rsidP="00597EE8">
            <w:pPr>
              <w:numPr>
                <w:ilvl w:val="0"/>
                <w:numId w:val="26"/>
              </w:numPr>
              <w:ind w:left="567" w:hanging="578"/>
              <w:rPr>
                <w:bCs/>
                <w:sz w:val="22"/>
                <w:szCs w:val="22"/>
                <w:lang w:val="en-US"/>
              </w:rPr>
            </w:pPr>
            <w:r w:rsidRPr="004C791D">
              <w:rPr>
                <w:b/>
                <w:bCs/>
                <w:sz w:val="22"/>
                <w:szCs w:val="22"/>
                <w:lang w:val="en-US"/>
              </w:rPr>
              <w:t>Palma GDD, Forestini P</w:t>
            </w:r>
            <w:r w:rsidR="009C7B93" w:rsidRPr="004C791D">
              <w:rPr>
                <w:bCs/>
                <w:sz w:val="22"/>
                <w:szCs w:val="22"/>
                <w:lang w:val="en-US"/>
              </w:rPr>
              <w:t xml:space="preserve">. </w:t>
            </w:r>
            <w:r w:rsidR="009C7B93" w:rsidRPr="004C791D">
              <w:rPr>
                <w:bCs/>
                <w:sz w:val="22"/>
                <w:szCs w:val="22"/>
              </w:rPr>
              <w:t>Role of endoscopy in the bariatric surgery of patients.</w:t>
            </w:r>
            <w:r w:rsidR="00026777" w:rsidRPr="004C791D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C7B93" w:rsidRPr="004C791D">
              <w:rPr>
                <w:iCs/>
                <w:sz w:val="22"/>
                <w:szCs w:val="22"/>
              </w:rPr>
              <w:t xml:space="preserve">World J Gastroenterol </w:t>
            </w:r>
            <w:r w:rsidR="009C7B93" w:rsidRPr="004C791D">
              <w:rPr>
                <w:sz w:val="22"/>
                <w:szCs w:val="22"/>
              </w:rPr>
              <w:t>2014;</w:t>
            </w:r>
            <w:r w:rsidR="00424DAF" w:rsidRPr="004C791D">
              <w:rPr>
                <w:sz w:val="22"/>
                <w:szCs w:val="22"/>
              </w:rPr>
              <w:t>28;20(24):</w:t>
            </w:r>
            <w:r w:rsidR="009C7B93" w:rsidRPr="004C791D">
              <w:rPr>
                <w:sz w:val="22"/>
                <w:szCs w:val="22"/>
              </w:rPr>
              <w:t>7777-84</w:t>
            </w:r>
          </w:p>
          <w:p w:rsidR="00887D66" w:rsidRPr="004C791D" w:rsidRDefault="00887D66" w:rsidP="00597EE8">
            <w:pPr>
              <w:numPr>
                <w:ilvl w:val="0"/>
                <w:numId w:val="26"/>
              </w:numPr>
              <w:ind w:left="567" w:hanging="578"/>
              <w:rPr>
                <w:bCs/>
                <w:sz w:val="22"/>
                <w:szCs w:val="22"/>
                <w:lang w:val="en-US"/>
              </w:rPr>
            </w:pPr>
            <w:r w:rsidRPr="004C791D">
              <w:rPr>
                <w:b/>
                <w:color w:val="000000"/>
                <w:sz w:val="22"/>
                <w:szCs w:val="22"/>
                <w:shd w:val="clear" w:color="auto" w:fill="FFFFFF"/>
              </w:rPr>
              <w:t>ASGE standards of practice committee,</w:t>
            </w:r>
            <w:r w:rsidRPr="004C791D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C791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Anderson MA</w:t>
            </w:r>
            <w:r w:rsidRPr="004C791D">
              <w:rPr>
                <w:b/>
                <w:color w:val="000000"/>
                <w:sz w:val="22"/>
                <w:szCs w:val="22"/>
                <w:shd w:val="clear" w:color="auto" w:fill="FFFFFF"/>
              </w:rPr>
              <w:t>, Gan SI,</w:t>
            </w:r>
            <w:r w:rsidRPr="004C791D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C791D">
              <w:rPr>
                <w:rStyle w:val="apple-converted-space"/>
                <w:b/>
                <w:i/>
                <w:color w:val="000000"/>
                <w:sz w:val="22"/>
                <w:szCs w:val="22"/>
                <w:shd w:val="clear" w:color="auto" w:fill="FFFFFF"/>
              </w:rPr>
              <w:t>et al</w:t>
            </w:r>
            <w:r w:rsidRPr="004C791D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C791D">
              <w:rPr>
                <w:color w:val="000000"/>
                <w:sz w:val="22"/>
                <w:szCs w:val="22"/>
              </w:rPr>
              <w:t xml:space="preserve"> Role of endoscopy in the bariatric surgery patient.</w:t>
            </w:r>
            <w:r w:rsidR="00774ABB" w:rsidRPr="004C791D">
              <w:rPr>
                <w:rFonts w:ascii="AdvPS8E82" w:hAnsi="AdvPS8E82" w:cs="AdvPS8E82"/>
                <w:sz w:val="22"/>
                <w:szCs w:val="22"/>
              </w:rPr>
              <w:t xml:space="preserve"> </w:t>
            </w:r>
            <w:r w:rsidRPr="004C791D">
              <w:rPr>
                <w:rStyle w:val="jrnl"/>
                <w:color w:val="000000"/>
                <w:sz w:val="22"/>
                <w:szCs w:val="22"/>
                <w:shd w:val="clear" w:color="auto" w:fill="FFFFFF"/>
              </w:rPr>
              <w:t>Gastrointest Endosc</w:t>
            </w:r>
            <w:r w:rsidRPr="004C791D">
              <w:rPr>
                <w:color w:val="000000"/>
                <w:sz w:val="22"/>
                <w:szCs w:val="22"/>
                <w:shd w:val="clear" w:color="auto" w:fill="FFFFFF"/>
              </w:rPr>
              <w:t>. 2008; 68(1):1-10.</w:t>
            </w:r>
          </w:p>
          <w:p w:rsidR="00774ABB" w:rsidRPr="004C791D" w:rsidRDefault="00FC2E88" w:rsidP="00597EE8">
            <w:pPr>
              <w:numPr>
                <w:ilvl w:val="0"/>
                <w:numId w:val="26"/>
              </w:numPr>
              <w:ind w:left="567" w:hanging="578"/>
              <w:rPr>
                <w:bCs/>
                <w:sz w:val="22"/>
                <w:szCs w:val="22"/>
                <w:lang w:val="en-US"/>
              </w:rPr>
            </w:pPr>
            <w:r w:rsidRPr="004C791D">
              <w:rPr>
                <w:b/>
                <w:color w:val="000000"/>
                <w:sz w:val="22"/>
                <w:szCs w:val="22"/>
                <w:shd w:val="clear" w:color="auto" w:fill="FFFFFF"/>
              </w:rPr>
              <w:t>Mathus-Vliegen E</w:t>
            </w:r>
            <w:r w:rsidR="00774ABB" w:rsidRPr="004C791D">
              <w:rPr>
                <w:b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774ABB" w:rsidRPr="004C791D">
              <w:rPr>
                <w:color w:val="000000"/>
                <w:sz w:val="22"/>
                <w:szCs w:val="22"/>
                <w:shd w:val="clear" w:color="auto" w:fill="FFFFFF"/>
              </w:rPr>
              <w:t>. The role of endoscopy in bariatric surgery. Best Pract Res Clin Gastroenterol 2008;22(5):839-64</w:t>
            </w:r>
          </w:p>
          <w:p w:rsidR="00403A30" w:rsidRPr="004C791D" w:rsidRDefault="00403A3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Ferreira LE</w:t>
            </w:r>
            <w:r w:rsidRPr="004C791D">
              <w:rPr>
                <w:b/>
                <w:sz w:val="22"/>
                <w:szCs w:val="22"/>
              </w:rPr>
              <w:t>, Song LM, Baron TH.</w:t>
            </w:r>
            <w:r w:rsidRPr="004C791D">
              <w:rPr>
                <w:sz w:val="22"/>
                <w:szCs w:val="22"/>
              </w:rPr>
              <w:t xml:space="preserve"> Management of acute postoperative hemorrhage in the bariatric patient. </w:t>
            </w:r>
            <w:r w:rsidRPr="004C791D">
              <w:rPr>
                <w:iCs/>
                <w:sz w:val="22"/>
                <w:szCs w:val="22"/>
              </w:rPr>
              <w:t xml:space="preserve">Gastrointest Endosc Clin N Am </w:t>
            </w:r>
            <w:r w:rsidR="00424DAF" w:rsidRPr="004C791D">
              <w:rPr>
                <w:sz w:val="22"/>
                <w:szCs w:val="22"/>
              </w:rPr>
              <w:t>2011;</w:t>
            </w:r>
            <w:r w:rsidRPr="004C791D">
              <w:rPr>
                <w:bCs/>
                <w:sz w:val="22"/>
                <w:szCs w:val="22"/>
              </w:rPr>
              <w:t>21</w:t>
            </w:r>
            <w:r w:rsidR="00424DAF" w:rsidRPr="004C791D">
              <w:rPr>
                <w:sz w:val="22"/>
                <w:szCs w:val="22"/>
              </w:rPr>
              <w:t>:</w:t>
            </w:r>
            <w:r w:rsidR="009C7B93" w:rsidRPr="004C791D">
              <w:rPr>
                <w:sz w:val="22"/>
                <w:szCs w:val="22"/>
              </w:rPr>
              <w:t>287-</w:t>
            </w:r>
            <w:r w:rsidRPr="004C791D">
              <w:rPr>
                <w:sz w:val="22"/>
                <w:szCs w:val="22"/>
              </w:rPr>
              <w:t xml:space="preserve">94 </w:t>
            </w:r>
          </w:p>
          <w:p w:rsidR="00403A30" w:rsidRPr="004C791D" w:rsidRDefault="00403A3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Jamil LH</w:t>
            </w:r>
            <w:r w:rsidRPr="004C791D">
              <w:rPr>
                <w:b/>
                <w:sz w:val="22"/>
                <w:szCs w:val="22"/>
              </w:rPr>
              <w:t xml:space="preserve">, Krause KR, Chengelis DL, </w:t>
            </w:r>
            <w:r w:rsidR="00424DAF" w:rsidRPr="004C791D">
              <w:rPr>
                <w:rStyle w:val="apple-converted-space"/>
                <w:b/>
                <w:i/>
                <w:color w:val="000000"/>
                <w:sz w:val="22"/>
                <w:szCs w:val="22"/>
                <w:shd w:val="clear" w:color="auto" w:fill="FFFFFF"/>
              </w:rPr>
              <w:t>et al</w:t>
            </w:r>
            <w:r w:rsidRPr="004C791D">
              <w:rPr>
                <w:sz w:val="22"/>
                <w:szCs w:val="22"/>
              </w:rPr>
              <w:t xml:space="preserve">. Endoscopic management of early upper gastrointestinal hemorrhage following laparoscopic Roux-en-Y gastric bypass. </w:t>
            </w:r>
            <w:r w:rsidRPr="004C791D">
              <w:rPr>
                <w:iCs/>
                <w:sz w:val="22"/>
                <w:szCs w:val="22"/>
              </w:rPr>
              <w:t xml:space="preserve">Am J Gastroenterol </w:t>
            </w:r>
            <w:r w:rsidR="00D56327" w:rsidRPr="004C791D">
              <w:rPr>
                <w:sz w:val="22"/>
                <w:szCs w:val="22"/>
              </w:rPr>
              <w:t>2008;</w:t>
            </w:r>
            <w:r w:rsidRPr="004C791D">
              <w:rPr>
                <w:bCs/>
                <w:sz w:val="22"/>
                <w:szCs w:val="22"/>
              </w:rPr>
              <w:t>103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>86-91</w:t>
            </w:r>
          </w:p>
          <w:p w:rsidR="00403A30" w:rsidRPr="004C791D" w:rsidRDefault="00403A3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Fernández-Esparrach G</w:t>
            </w:r>
            <w:r w:rsidRPr="004C791D">
              <w:rPr>
                <w:b/>
                <w:sz w:val="22"/>
                <w:szCs w:val="22"/>
              </w:rPr>
              <w:t xml:space="preserve">, Bordas JM, Pellisé M, </w:t>
            </w:r>
            <w:r w:rsidR="00424DAF" w:rsidRPr="004C791D">
              <w:rPr>
                <w:rStyle w:val="apple-converted-space"/>
                <w:b/>
                <w:i/>
                <w:color w:val="000000"/>
                <w:sz w:val="22"/>
                <w:szCs w:val="22"/>
                <w:shd w:val="clear" w:color="auto" w:fill="FFFFFF"/>
              </w:rPr>
              <w:t>et al</w:t>
            </w:r>
            <w:r w:rsidR="00424DAF" w:rsidRPr="004C791D">
              <w:rPr>
                <w:b/>
                <w:sz w:val="22"/>
                <w:szCs w:val="22"/>
              </w:rPr>
              <w:t xml:space="preserve"> . </w:t>
            </w:r>
            <w:r w:rsidRPr="004C791D">
              <w:rPr>
                <w:sz w:val="22"/>
                <w:szCs w:val="22"/>
              </w:rPr>
              <w:t>Endoscopic management</w:t>
            </w:r>
            <w:r w:rsidR="009C7B93" w:rsidRPr="004C791D">
              <w:rPr>
                <w:sz w:val="22"/>
                <w:szCs w:val="22"/>
              </w:rPr>
              <w:t xml:space="preserve"> </w:t>
            </w:r>
            <w:r w:rsidRPr="004C791D">
              <w:rPr>
                <w:sz w:val="22"/>
                <w:szCs w:val="22"/>
              </w:rPr>
              <w:t xml:space="preserve">of early GI hemorrhage after laparoscopic gastric bypass. </w:t>
            </w:r>
            <w:r w:rsidRPr="004C791D">
              <w:rPr>
                <w:iCs/>
                <w:sz w:val="22"/>
                <w:szCs w:val="22"/>
              </w:rPr>
              <w:t xml:space="preserve">Gastrointest Endosc </w:t>
            </w:r>
            <w:r w:rsidR="00D56327" w:rsidRPr="004C791D">
              <w:rPr>
                <w:sz w:val="22"/>
                <w:szCs w:val="22"/>
              </w:rPr>
              <w:t>2008;</w:t>
            </w:r>
            <w:r w:rsidRPr="004C791D">
              <w:rPr>
                <w:bCs/>
                <w:sz w:val="22"/>
                <w:szCs w:val="22"/>
              </w:rPr>
              <w:t>67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 xml:space="preserve">552-5 </w:t>
            </w:r>
          </w:p>
          <w:p w:rsidR="00403A30" w:rsidRPr="004C791D" w:rsidRDefault="00403A3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Moretto M</w:t>
            </w:r>
            <w:r w:rsidRPr="004C791D">
              <w:rPr>
                <w:b/>
                <w:sz w:val="22"/>
                <w:szCs w:val="22"/>
              </w:rPr>
              <w:t>, Mottin CC, Padoin AV</w:t>
            </w:r>
            <w:r w:rsidR="009C7B93" w:rsidRPr="004C791D">
              <w:rPr>
                <w:b/>
                <w:sz w:val="22"/>
                <w:szCs w:val="22"/>
              </w:rPr>
              <w:t xml:space="preserve">, </w:t>
            </w:r>
            <w:r w:rsidR="009C7B93"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>.</w:t>
            </w:r>
            <w:r w:rsidRPr="004C791D">
              <w:rPr>
                <w:sz w:val="22"/>
                <w:szCs w:val="22"/>
              </w:rPr>
              <w:t xml:space="preserve"> Endoscopic management of bleeding after gastric bypass - a therapeutic alternative. </w:t>
            </w:r>
            <w:r w:rsidRPr="004C791D">
              <w:rPr>
                <w:iCs/>
                <w:sz w:val="22"/>
                <w:szCs w:val="22"/>
              </w:rPr>
              <w:t xml:space="preserve">Obes Surg </w:t>
            </w:r>
            <w:r w:rsidR="00D56327" w:rsidRPr="004C791D">
              <w:rPr>
                <w:sz w:val="22"/>
                <w:szCs w:val="22"/>
              </w:rPr>
              <w:t>2004;</w:t>
            </w:r>
            <w:r w:rsidRPr="004C791D">
              <w:rPr>
                <w:bCs/>
                <w:sz w:val="22"/>
                <w:szCs w:val="22"/>
              </w:rPr>
              <w:t>14</w:t>
            </w:r>
            <w:r w:rsidR="00424DAF" w:rsidRPr="004C791D">
              <w:rPr>
                <w:sz w:val="22"/>
                <w:szCs w:val="22"/>
              </w:rPr>
              <w:t>:</w:t>
            </w:r>
            <w:r w:rsidR="009C7B93" w:rsidRPr="004C791D">
              <w:rPr>
                <w:sz w:val="22"/>
                <w:szCs w:val="22"/>
              </w:rPr>
              <w:t>706</w:t>
            </w:r>
          </w:p>
          <w:p w:rsidR="00403A30" w:rsidRPr="004C791D" w:rsidRDefault="00403A3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Tang SJ</w:t>
            </w:r>
            <w:r w:rsidRPr="004C791D">
              <w:rPr>
                <w:b/>
                <w:sz w:val="22"/>
                <w:szCs w:val="22"/>
              </w:rPr>
              <w:t xml:space="preserve">, Rivas H, Tang L, </w:t>
            </w:r>
            <w:r w:rsidR="009C7B93"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>.</w:t>
            </w:r>
            <w:r w:rsidRPr="004C791D">
              <w:rPr>
                <w:sz w:val="22"/>
                <w:szCs w:val="22"/>
              </w:rPr>
              <w:t xml:space="preserve"> Endoscopic hemostasis using endoclip in early gastrointestinal  hemorrhage after gastric bypass surgery. </w:t>
            </w:r>
            <w:r w:rsidRPr="004C791D">
              <w:rPr>
                <w:iCs/>
                <w:sz w:val="22"/>
                <w:szCs w:val="22"/>
              </w:rPr>
              <w:t>Obes Surg</w:t>
            </w:r>
            <w:r w:rsidR="009C7B93" w:rsidRPr="004C791D">
              <w:rPr>
                <w:iCs/>
                <w:sz w:val="22"/>
                <w:szCs w:val="22"/>
              </w:rPr>
              <w:t xml:space="preserve"> </w:t>
            </w:r>
            <w:r w:rsidR="00D56327" w:rsidRPr="004C791D">
              <w:rPr>
                <w:sz w:val="22"/>
                <w:szCs w:val="22"/>
              </w:rPr>
              <w:t>2007;</w:t>
            </w:r>
            <w:r w:rsidRPr="004C791D">
              <w:rPr>
                <w:bCs/>
                <w:sz w:val="22"/>
                <w:szCs w:val="22"/>
              </w:rPr>
              <w:t>17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 xml:space="preserve">1261-67  </w:t>
            </w:r>
          </w:p>
          <w:p w:rsidR="00255DA0" w:rsidRPr="004C791D" w:rsidRDefault="00403A3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Tagaya N</w:t>
            </w:r>
            <w:r w:rsidRPr="004C791D">
              <w:rPr>
                <w:b/>
                <w:sz w:val="22"/>
                <w:szCs w:val="22"/>
              </w:rPr>
              <w:t xml:space="preserve">, Kasama K, Inamine S, </w:t>
            </w:r>
            <w:r w:rsidR="009C7B93"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>.</w:t>
            </w:r>
            <w:r w:rsidRPr="004C791D">
              <w:rPr>
                <w:sz w:val="22"/>
                <w:szCs w:val="22"/>
              </w:rPr>
              <w:t xml:space="preserve"> Evaluation of the excluded stomach by double-balloon endoscopy after laparoscopic Roux-en-Y gastric bypass. </w:t>
            </w:r>
            <w:r w:rsidRPr="004C791D">
              <w:rPr>
                <w:iCs/>
                <w:sz w:val="22"/>
                <w:szCs w:val="22"/>
              </w:rPr>
              <w:t xml:space="preserve">Obes Surg </w:t>
            </w:r>
            <w:r w:rsidR="00D56327" w:rsidRPr="004C791D">
              <w:rPr>
                <w:sz w:val="22"/>
                <w:szCs w:val="22"/>
              </w:rPr>
              <w:t>2007;</w:t>
            </w:r>
            <w:r w:rsidRPr="004C791D">
              <w:rPr>
                <w:bCs/>
                <w:sz w:val="22"/>
                <w:szCs w:val="22"/>
              </w:rPr>
              <w:t>17</w:t>
            </w:r>
            <w:r w:rsidR="00D56327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>1165-70</w:t>
            </w:r>
            <w:r w:rsidR="00255DA0" w:rsidRPr="004C791D">
              <w:rPr>
                <w:sz w:val="22"/>
                <w:szCs w:val="22"/>
              </w:rPr>
              <w:t xml:space="preserve"> </w:t>
            </w:r>
          </w:p>
          <w:p w:rsidR="00255DA0" w:rsidRPr="004C791D" w:rsidRDefault="00255D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Peifer KJ</w:t>
            </w:r>
            <w:r w:rsidRPr="004C791D">
              <w:rPr>
                <w:b/>
                <w:sz w:val="22"/>
                <w:szCs w:val="22"/>
              </w:rPr>
              <w:t xml:space="preserve">, Shiels AJ, Azar R, </w:t>
            </w:r>
            <w:r w:rsidRPr="004C791D">
              <w:rPr>
                <w:b/>
                <w:i/>
                <w:sz w:val="22"/>
                <w:szCs w:val="22"/>
              </w:rPr>
              <w:t>et a</w:t>
            </w:r>
            <w:r w:rsidRPr="004C791D">
              <w:rPr>
                <w:b/>
                <w:sz w:val="22"/>
                <w:szCs w:val="22"/>
              </w:rPr>
              <w:t xml:space="preserve">l. </w:t>
            </w:r>
            <w:r w:rsidRPr="004C791D">
              <w:rPr>
                <w:sz w:val="22"/>
                <w:szCs w:val="22"/>
              </w:rPr>
              <w:t xml:space="preserve">Successful endoscopic management of gastrojejunal </w:t>
            </w:r>
            <w:r w:rsidRPr="004C791D">
              <w:rPr>
                <w:sz w:val="22"/>
                <w:szCs w:val="22"/>
              </w:rPr>
              <w:lastRenderedPageBreak/>
              <w:t xml:space="preserve">anastomotic strictures after Roux-en-Y gastric bypass. </w:t>
            </w:r>
            <w:r w:rsidRPr="004C791D">
              <w:rPr>
                <w:iCs/>
                <w:sz w:val="22"/>
                <w:szCs w:val="22"/>
              </w:rPr>
              <w:t xml:space="preserve">Gastrointest Endosc </w:t>
            </w:r>
            <w:r w:rsidR="00D56327" w:rsidRPr="004C791D">
              <w:rPr>
                <w:sz w:val="22"/>
                <w:szCs w:val="22"/>
              </w:rPr>
              <w:t>2007;</w:t>
            </w:r>
            <w:r w:rsidRPr="004C791D">
              <w:rPr>
                <w:bCs/>
                <w:sz w:val="22"/>
                <w:szCs w:val="22"/>
              </w:rPr>
              <w:t>66</w:t>
            </w:r>
            <w:r w:rsidR="00D56327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 xml:space="preserve">248-52 </w:t>
            </w:r>
          </w:p>
          <w:p w:rsidR="00255DA0" w:rsidRPr="004C791D" w:rsidRDefault="00255D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Ukleja A</w:t>
            </w:r>
            <w:r w:rsidRPr="004C791D">
              <w:rPr>
                <w:b/>
                <w:sz w:val="22"/>
                <w:szCs w:val="22"/>
              </w:rPr>
              <w:t xml:space="preserve">, Afonso BB, Pimentel R, </w:t>
            </w:r>
            <w:r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>.</w:t>
            </w:r>
            <w:r w:rsidRPr="004C791D">
              <w:rPr>
                <w:sz w:val="22"/>
                <w:szCs w:val="22"/>
              </w:rPr>
              <w:t xml:space="preserve"> Outcome of endoscopic balloon dilation of strictures after laparoscopic gastric bypass. </w:t>
            </w:r>
            <w:r w:rsidRPr="004C791D">
              <w:rPr>
                <w:iCs/>
                <w:sz w:val="22"/>
                <w:szCs w:val="22"/>
              </w:rPr>
              <w:t xml:space="preserve">Surg Endosc </w:t>
            </w:r>
            <w:r w:rsidRPr="004C791D">
              <w:rPr>
                <w:sz w:val="22"/>
                <w:szCs w:val="22"/>
              </w:rPr>
              <w:t>2008;</w:t>
            </w:r>
            <w:r w:rsidRPr="004C791D">
              <w:rPr>
                <w:bCs/>
                <w:sz w:val="22"/>
                <w:szCs w:val="22"/>
              </w:rPr>
              <w:t>22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>1746-50</w:t>
            </w:r>
          </w:p>
          <w:p w:rsidR="00255DA0" w:rsidRPr="004C791D" w:rsidRDefault="00255D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Ahmad J</w:t>
            </w:r>
            <w:r w:rsidRPr="004C791D">
              <w:rPr>
                <w:b/>
                <w:sz w:val="22"/>
                <w:szCs w:val="22"/>
              </w:rPr>
              <w:t xml:space="preserve">, Martin J, Ikramuddin S, </w:t>
            </w:r>
            <w:r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>.</w:t>
            </w:r>
            <w:r w:rsidRPr="004C791D">
              <w:rPr>
                <w:sz w:val="22"/>
                <w:szCs w:val="22"/>
              </w:rPr>
              <w:t xml:space="preserve"> Endoscopic balloon dilation of gastroenteric anastomotic stricture after laparoscopic gastric bypass. </w:t>
            </w:r>
            <w:r w:rsidRPr="004C791D">
              <w:rPr>
                <w:iCs/>
                <w:sz w:val="22"/>
                <w:szCs w:val="22"/>
              </w:rPr>
              <w:t xml:space="preserve">Endoscopy </w:t>
            </w:r>
            <w:r w:rsidRPr="004C791D">
              <w:rPr>
                <w:sz w:val="22"/>
                <w:szCs w:val="22"/>
              </w:rPr>
              <w:t>2003;</w:t>
            </w:r>
            <w:r w:rsidRPr="004C791D">
              <w:rPr>
                <w:bCs/>
                <w:sz w:val="22"/>
                <w:szCs w:val="22"/>
              </w:rPr>
              <w:t>35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>725-28</w:t>
            </w:r>
          </w:p>
          <w:p w:rsidR="00255DA0" w:rsidRPr="004C791D" w:rsidRDefault="00255D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Barba CA</w:t>
            </w:r>
            <w:r w:rsidRPr="004C791D">
              <w:rPr>
                <w:b/>
                <w:sz w:val="22"/>
                <w:szCs w:val="22"/>
              </w:rPr>
              <w:t xml:space="preserve">, Butensky MS, Lorenzo M, </w:t>
            </w:r>
            <w:r w:rsidRPr="004C791D">
              <w:rPr>
                <w:b/>
                <w:i/>
                <w:sz w:val="22"/>
                <w:szCs w:val="22"/>
              </w:rPr>
              <w:t>et al.</w:t>
            </w:r>
            <w:r w:rsidRPr="004C791D">
              <w:rPr>
                <w:b/>
                <w:sz w:val="22"/>
                <w:szCs w:val="22"/>
              </w:rPr>
              <w:t xml:space="preserve"> </w:t>
            </w:r>
            <w:r w:rsidRPr="004C791D">
              <w:rPr>
                <w:sz w:val="22"/>
                <w:szCs w:val="22"/>
              </w:rPr>
              <w:t xml:space="preserve">Endoscopic dilation of gastroesophageal anastomosis stricture after gastric bypass. </w:t>
            </w:r>
            <w:r w:rsidRPr="004C791D">
              <w:rPr>
                <w:iCs/>
                <w:sz w:val="22"/>
                <w:szCs w:val="22"/>
              </w:rPr>
              <w:t xml:space="preserve">Surg Endosc </w:t>
            </w:r>
            <w:r w:rsidRPr="004C791D">
              <w:rPr>
                <w:sz w:val="22"/>
                <w:szCs w:val="22"/>
              </w:rPr>
              <w:t>2003;</w:t>
            </w:r>
            <w:r w:rsidRPr="004C791D">
              <w:rPr>
                <w:bCs/>
                <w:sz w:val="22"/>
                <w:szCs w:val="22"/>
              </w:rPr>
              <w:t>17</w:t>
            </w:r>
            <w:r w:rsidRPr="004C791D">
              <w:rPr>
                <w:sz w:val="22"/>
                <w:szCs w:val="22"/>
              </w:rPr>
              <w:t xml:space="preserve">:416-20 </w:t>
            </w:r>
          </w:p>
          <w:p w:rsidR="00D56327" w:rsidRPr="004C791D" w:rsidRDefault="00255D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color w:val="000000"/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Sataloff DM</w:t>
            </w:r>
            <w:r w:rsidRPr="004C791D">
              <w:rPr>
                <w:b/>
                <w:sz w:val="22"/>
                <w:szCs w:val="22"/>
              </w:rPr>
              <w:t>, Lieber CP, Seinige UL.</w:t>
            </w:r>
            <w:r w:rsidRPr="004C791D">
              <w:rPr>
                <w:sz w:val="22"/>
                <w:szCs w:val="22"/>
              </w:rPr>
              <w:t xml:space="preserve"> Strictures following gastric stapling for morbid obesity. Results of endoscopic dilatation. </w:t>
            </w:r>
            <w:r w:rsidRPr="004C791D">
              <w:rPr>
                <w:iCs/>
                <w:sz w:val="22"/>
                <w:szCs w:val="22"/>
              </w:rPr>
              <w:t xml:space="preserve">Am Surg </w:t>
            </w:r>
            <w:r w:rsidRPr="004C791D">
              <w:rPr>
                <w:sz w:val="22"/>
                <w:szCs w:val="22"/>
              </w:rPr>
              <w:t>1990;</w:t>
            </w:r>
            <w:r w:rsidRPr="004C791D">
              <w:rPr>
                <w:bCs/>
                <w:sz w:val="22"/>
                <w:szCs w:val="22"/>
              </w:rPr>
              <w:t>56</w:t>
            </w:r>
            <w:r w:rsidRPr="004C791D">
              <w:rPr>
                <w:sz w:val="22"/>
                <w:szCs w:val="22"/>
              </w:rPr>
              <w:t>:167-74</w:t>
            </w:r>
          </w:p>
          <w:p w:rsidR="00D56327" w:rsidRPr="004C791D" w:rsidRDefault="00255D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b/>
                <w:color w:val="000000"/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Kretzschmar CS</w:t>
            </w:r>
            <w:r w:rsidRPr="004C791D">
              <w:rPr>
                <w:b/>
                <w:sz w:val="22"/>
                <w:szCs w:val="22"/>
              </w:rPr>
              <w:t xml:space="preserve">, Hamilton JW, Wissler DW, </w:t>
            </w:r>
            <w:r w:rsidRPr="004C791D">
              <w:rPr>
                <w:b/>
                <w:i/>
                <w:sz w:val="22"/>
                <w:szCs w:val="22"/>
              </w:rPr>
              <w:t>et al.</w:t>
            </w:r>
            <w:r w:rsidRPr="004C791D">
              <w:rPr>
                <w:sz w:val="22"/>
                <w:szCs w:val="22"/>
              </w:rPr>
              <w:t xml:space="preserve"> Balloon dilation for the treatment of stomal stenosis complicating gastric surgery for morbid obesity. </w:t>
            </w:r>
            <w:r w:rsidRPr="004C791D">
              <w:rPr>
                <w:iCs/>
                <w:sz w:val="22"/>
                <w:szCs w:val="22"/>
              </w:rPr>
              <w:t xml:space="preserve">Surgery </w:t>
            </w:r>
            <w:r w:rsidRPr="004C791D">
              <w:rPr>
                <w:sz w:val="22"/>
                <w:szCs w:val="22"/>
              </w:rPr>
              <w:t>1987;</w:t>
            </w:r>
            <w:r w:rsidRPr="004C791D">
              <w:rPr>
                <w:bCs/>
                <w:sz w:val="22"/>
                <w:szCs w:val="22"/>
              </w:rPr>
              <w:t>02</w:t>
            </w:r>
            <w:r w:rsidRPr="004C791D">
              <w:rPr>
                <w:sz w:val="22"/>
                <w:szCs w:val="22"/>
              </w:rPr>
              <w:t>: 443-46</w:t>
            </w:r>
          </w:p>
          <w:p w:rsidR="00A221A0" w:rsidRPr="004C791D" w:rsidRDefault="00D56327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Swartz DE</w:t>
            </w:r>
            <w:r w:rsidRPr="004C791D">
              <w:rPr>
                <w:b/>
                <w:sz w:val="22"/>
                <w:szCs w:val="22"/>
              </w:rPr>
              <w:t>, Gonzalez V, Felix EL.</w:t>
            </w:r>
            <w:r w:rsidRPr="004C791D">
              <w:rPr>
                <w:sz w:val="22"/>
                <w:szCs w:val="22"/>
              </w:rPr>
              <w:t xml:space="preserve"> Anastomotic stenosis after Roux-en-Y gastric bypass: A rational approach to treatment. </w:t>
            </w:r>
            <w:r w:rsidRPr="004C791D">
              <w:rPr>
                <w:iCs/>
                <w:sz w:val="22"/>
                <w:szCs w:val="22"/>
              </w:rPr>
              <w:t xml:space="preserve">Surg Obes Relat Dis </w:t>
            </w:r>
            <w:r w:rsidRPr="004C791D">
              <w:rPr>
                <w:sz w:val="22"/>
                <w:szCs w:val="22"/>
              </w:rPr>
              <w:t>2006;</w:t>
            </w:r>
            <w:r w:rsidRPr="004C791D">
              <w:rPr>
                <w:bCs/>
                <w:sz w:val="22"/>
                <w:szCs w:val="22"/>
              </w:rPr>
              <w:t>2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>632-36; discussion 637</w:t>
            </w:r>
          </w:p>
          <w:p w:rsidR="005B6E49" w:rsidRPr="004C791D" w:rsidRDefault="005B6E49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sz w:val="22"/>
                <w:szCs w:val="22"/>
                <w:lang w:val="en-US" w:eastAsia="en-US"/>
              </w:rPr>
              <w:t xml:space="preserve">Ryou M, Mogabgab O, Lautz DB, </w:t>
            </w:r>
            <w:r w:rsidRPr="004C791D">
              <w:rPr>
                <w:b/>
                <w:i/>
                <w:sz w:val="22"/>
                <w:szCs w:val="22"/>
                <w:lang w:val="en-US" w:eastAsia="en-US"/>
              </w:rPr>
              <w:t>et al</w:t>
            </w:r>
            <w:r w:rsidRPr="004C791D">
              <w:rPr>
                <w:b/>
                <w:sz w:val="22"/>
                <w:szCs w:val="22"/>
                <w:lang w:val="en-US" w:eastAsia="en-US"/>
              </w:rPr>
              <w:t>.</w:t>
            </w:r>
            <w:r w:rsidRPr="004C791D">
              <w:rPr>
                <w:sz w:val="22"/>
                <w:szCs w:val="22"/>
                <w:lang w:val="en-US" w:eastAsia="en-US"/>
              </w:rPr>
              <w:t xml:space="preserve"> Endoscopic foreign body removal for treatment of chronic abdominal pain in patients after Roux-en-Y gastric bypass. Surg Obes Relat Dis 2010;6:526-31</w:t>
            </w:r>
          </w:p>
          <w:p w:rsidR="00A221A0" w:rsidRPr="004C791D" w:rsidRDefault="00A221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Evans JA</w:t>
            </w:r>
            <w:r w:rsidRPr="004C791D">
              <w:rPr>
                <w:b/>
                <w:sz w:val="22"/>
                <w:szCs w:val="22"/>
              </w:rPr>
              <w:t xml:space="preserve">, Williams NN, Chan EP, </w:t>
            </w:r>
            <w:r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>.</w:t>
            </w:r>
            <w:r w:rsidRPr="004C791D">
              <w:rPr>
                <w:sz w:val="22"/>
                <w:szCs w:val="22"/>
              </w:rPr>
              <w:t xml:space="preserve"> Endoscopic removal of eroded bands in vertical banded gastroplasty: a novel use of endoscopic scissors (with video). </w:t>
            </w:r>
            <w:r w:rsidRPr="004C791D">
              <w:rPr>
                <w:iCs/>
                <w:sz w:val="22"/>
                <w:szCs w:val="22"/>
              </w:rPr>
              <w:t xml:space="preserve">Gastrointest Endosc </w:t>
            </w:r>
            <w:r w:rsidRPr="004C791D">
              <w:rPr>
                <w:sz w:val="22"/>
                <w:szCs w:val="22"/>
              </w:rPr>
              <w:t>2006;</w:t>
            </w:r>
            <w:r w:rsidRPr="004C791D">
              <w:rPr>
                <w:bCs/>
                <w:sz w:val="22"/>
                <w:szCs w:val="22"/>
              </w:rPr>
              <w:t>64</w:t>
            </w:r>
            <w:r w:rsidRPr="004C791D">
              <w:rPr>
                <w:sz w:val="22"/>
                <w:szCs w:val="22"/>
              </w:rPr>
              <w:t xml:space="preserve">:801-4 </w:t>
            </w:r>
          </w:p>
          <w:p w:rsidR="00A221A0" w:rsidRPr="004C791D" w:rsidRDefault="00A221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color w:val="000000"/>
                <w:sz w:val="22"/>
                <w:szCs w:val="22"/>
              </w:rPr>
            </w:pPr>
            <w:r w:rsidRPr="004C791D">
              <w:rPr>
                <w:b/>
                <w:bCs/>
                <w:sz w:val="22"/>
                <w:szCs w:val="22"/>
              </w:rPr>
              <w:t>De Palma GD</w:t>
            </w:r>
            <w:r w:rsidRPr="004C791D">
              <w:rPr>
                <w:b/>
                <w:sz w:val="22"/>
                <w:szCs w:val="22"/>
              </w:rPr>
              <w:t xml:space="preserve">, Formato A, Pilone V, </w:t>
            </w:r>
            <w:r w:rsidRPr="004C791D">
              <w:rPr>
                <w:b/>
                <w:i/>
                <w:sz w:val="22"/>
                <w:szCs w:val="22"/>
              </w:rPr>
              <w:t>et al</w:t>
            </w:r>
            <w:r w:rsidRPr="004C791D">
              <w:rPr>
                <w:b/>
                <w:sz w:val="22"/>
                <w:szCs w:val="22"/>
              </w:rPr>
              <w:t xml:space="preserve">. </w:t>
            </w:r>
            <w:r w:rsidRPr="004C791D">
              <w:rPr>
                <w:sz w:val="22"/>
                <w:szCs w:val="22"/>
              </w:rPr>
              <w:t>Endoscopic management of intragastric penetrated adjustable gastric band for morbid obesity.</w:t>
            </w:r>
            <w:r w:rsidRPr="004C791D">
              <w:rPr>
                <w:iCs/>
                <w:sz w:val="22"/>
                <w:szCs w:val="22"/>
              </w:rPr>
              <w:t xml:space="preserve">World J Gastroenterol </w:t>
            </w:r>
            <w:r w:rsidR="00424DAF" w:rsidRPr="004C791D">
              <w:rPr>
                <w:sz w:val="22"/>
                <w:szCs w:val="22"/>
              </w:rPr>
              <w:t>2006;</w:t>
            </w:r>
            <w:r w:rsidRPr="004C791D">
              <w:rPr>
                <w:bCs/>
                <w:sz w:val="22"/>
                <w:szCs w:val="22"/>
              </w:rPr>
              <w:t>12</w:t>
            </w:r>
            <w:r w:rsidRPr="004C791D">
              <w:rPr>
                <w:sz w:val="22"/>
                <w:szCs w:val="22"/>
              </w:rPr>
              <w:t xml:space="preserve">: 4098-100 </w:t>
            </w:r>
          </w:p>
          <w:p w:rsidR="005B6E49" w:rsidRPr="004C791D" w:rsidRDefault="00A221A0" w:rsidP="00597EE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567" w:hanging="578"/>
              <w:rPr>
                <w:sz w:val="22"/>
                <w:szCs w:val="22"/>
                <w:lang w:val="en-US" w:eastAsia="en-US"/>
              </w:rPr>
            </w:pPr>
            <w:r w:rsidRPr="004C791D">
              <w:rPr>
                <w:b/>
                <w:bCs/>
                <w:sz w:val="22"/>
                <w:szCs w:val="22"/>
              </w:rPr>
              <w:t>Chisholm J</w:t>
            </w:r>
            <w:r w:rsidRPr="004C791D">
              <w:rPr>
                <w:b/>
                <w:sz w:val="22"/>
                <w:szCs w:val="22"/>
              </w:rPr>
              <w:t xml:space="preserve">, Kitan N, Toouli J, </w:t>
            </w:r>
            <w:r w:rsidRPr="004C791D">
              <w:rPr>
                <w:b/>
                <w:i/>
                <w:sz w:val="22"/>
                <w:szCs w:val="22"/>
              </w:rPr>
              <w:t>et al.</w:t>
            </w:r>
            <w:r w:rsidRPr="004C791D">
              <w:rPr>
                <w:sz w:val="22"/>
                <w:szCs w:val="22"/>
              </w:rPr>
              <w:t xml:space="preserve"> Gastric band erosion in 63 cases: endoscopic removal and rebanding evaluated.</w:t>
            </w:r>
            <w:r w:rsidR="005B6E49" w:rsidRPr="004C791D">
              <w:rPr>
                <w:sz w:val="22"/>
                <w:szCs w:val="22"/>
              </w:rPr>
              <w:t xml:space="preserve"> </w:t>
            </w:r>
            <w:r w:rsidRPr="004C791D">
              <w:rPr>
                <w:iCs/>
                <w:sz w:val="22"/>
                <w:szCs w:val="22"/>
              </w:rPr>
              <w:t xml:space="preserve">Obes Surg </w:t>
            </w:r>
            <w:r w:rsidR="00424DAF" w:rsidRPr="004C791D">
              <w:rPr>
                <w:sz w:val="22"/>
                <w:szCs w:val="22"/>
              </w:rPr>
              <w:t>2011;</w:t>
            </w:r>
            <w:r w:rsidRPr="004C791D">
              <w:rPr>
                <w:bCs/>
                <w:sz w:val="22"/>
                <w:szCs w:val="22"/>
              </w:rPr>
              <w:t>21</w:t>
            </w:r>
            <w:r w:rsidR="00424DAF" w:rsidRPr="004C791D">
              <w:rPr>
                <w:sz w:val="22"/>
                <w:szCs w:val="22"/>
              </w:rPr>
              <w:t>:</w:t>
            </w:r>
            <w:r w:rsidRPr="004C791D">
              <w:rPr>
                <w:sz w:val="22"/>
                <w:szCs w:val="22"/>
              </w:rPr>
              <w:t>1676-81</w:t>
            </w:r>
          </w:p>
          <w:p w:rsidR="005B6E49" w:rsidRPr="00D56327" w:rsidRDefault="005B6E49" w:rsidP="005B6E49">
            <w:pPr>
              <w:autoSpaceDE w:val="0"/>
              <w:autoSpaceDN w:val="0"/>
              <w:adjustRightInd w:val="0"/>
              <w:ind w:left="567"/>
              <w:rPr>
                <w:color w:val="000000"/>
              </w:rPr>
            </w:pPr>
          </w:p>
        </w:tc>
      </w:tr>
      <w:tr w:rsidR="00026777" w:rsidRPr="00FE17E8" w:rsidTr="00887D66">
        <w:tc>
          <w:tcPr>
            <w:tcW w:w="9180" w:type="dxa"/>
            <w:shd w:val="clear" w:color="auto" w:fill="auto"/>
          </w:tcPr>
          <w:p w:rsidR="00B175EE" w:rsidRPr="00597EE8" w:rsidRDefault="00727CEA" w:rsidP="0059799A">
            <w:pPr>
              <w:rPr>
                <w:b/>
                <w:color w:val="000680"/>
              </w:rPr>
            </w:pPr>
            <w:r w:rsidRPr="00597EE8">
              <w:rPr>
                <w:b/>
                <w:color w:val="000680"/>
              </w:rPr>
              <w:lastRenderedPageBreak/>
              <w:t>Densitomeetria</w:t>
            </w:r>
          </w:p>
          <w:p w:rsidR="004C791D" w:rsidRDefault="00555A81" w:rsidP="00597EE8">
            <w:pPr>
              <w:jc w:val="both"/>
            </w:pPr>
            <w:r w:rsidRPr="00F11A40">
              <w:t>Scibo</w:t>
            </w:r>
            <w:r w:rsidR="00F11A40" w:rsidRPr="00F11A40">
              <w:t>r</w:t>
            </w:r>
            <w:r w:rsidRPr="00F11A40">
              <w:t xml:space="preserve">a LM, </w:t>
            </w:r>
            <w:r w:rsidRPr="00424DAF">
              <w:rPr>
                <w:i/>
              </w:rPr>
              <w:t>et al</w:t>
            </w:r>
            <w:r w:rsidRPr="00F11A40">
              <w:t xml:space="preserve"> 2012.a. publitseeritud</w:t>
            </w:r>
            <w:r w:rsidR="00BE4870" w:rsidRPr="00F11A40">
              <w:t xml:space="preserve"> ülevaate</w:t>
            </w:r>
            <w:r w:rsidRPr="00F11A40">
              <w:t>uuring</w:t>
            </w:r>
            <w:r w:rsidR="000C1341">
              <w:t xml:space="preserve"> võttis kokku eelnevalt </w:t>
            </w:r>
            <w:r w:rsidR="00C247FD">
              <w:t>avaldatud</w:t>
            </w:r>
            <w:r w:rsidR="000C1341">
              <w:t xml:space="preserve"> bariaatrilise kirurgia läbiteinud patsientide luutiheduse uuringud (n=26,  läbilõikelised, retrospektiivsed kui ka prospektiivset uuringud). L</w:t>
            </w:r>
            <w:r w:rsidRPr="00F11A40">
              <w:t>eiti, et puusa ja lülisamba luutihedus väheneb peamiselt naistel peale bariaatrilist lõikust</w:t>
            </w:r>
            <w:r w:rsidR="00C247FD">
              <w:t>. U</w:t>
            </w:r>
            <w:r w:rsidRPr="00F11A40">
              <w:t>uring ei näidanud aga üheselt osteoporoosi ja luumurdude sagenemist bariaatrilise operatisooni järgselt</w:t>
            </w:r>
            <w:r w:rsidR="00F11A40" w:rsidRPr="00F11A40">
              <w:t xml:space="preserve"> (1)</w:t>
            </w:r>
            <w:r w:rsidRPr="00F11A40">
              <w:t>.  Autorid rõhutasid, et eelnevalt teostatud uuringutel on mitmeid puuduseid ehk uuringugrupid on väikesed (alla 37 uuritava)</w:t>
            </w:r>
            <w:r w:rsidR="00C247FD">
              <w:t>, uuringugruppides põhiliselt naised</w:t>
            </w:r>
            <w:r w:rsidRPr="00F11A40">
              <w:t xml:space="preserve"> ning puuduvad pikaajalised uuringud.</w:t>
            </w:r>
          </w:p>
          <w:p w:rsidR="00C247FD" w:rsidRDefault="00C247FD" w:rsidP="00597EE8">
            <w:pPr>
              <w:jc w:val="both"/>
            </w:pPr>
            <w:r w:rsidRPr="00F11A40">
              <w:t xml:space="preserve">On leitud, et nii </w:t>
            </w:r>
            <w:r w:rsidRPr="00597EE8">
              <w:rPr>
                <w:i/>
              </w:rPr>
              <w:t>gastric bypass</w:t>
            </w:r>
            <w:r w:rsidRPr="00597EE8">
              <w:t xml:space="preserve"> ja </w:t>
            </w:r>
            <w:r w:rsidRPr="00597EE8">
              <w:rPr>
                <w:i/>
              </w:rPr>
              <w:t>sleeve gastrectomy</w:t>
            </w:r>
            <w:r w:rsidRPr="00F11A40">
              <w:t xml:space="preserve"> patsientide luutihedus on 1 aasta peale peale operatsiooni sarnane (</w:t>
            </w:r>
            <w:r>
              <w:t>2</w:t>
            </w:r>
            <w:r w:rsidRPr="00F11A40">
              <w:t>)</w:t>
            </w:r>
            <w:r>
              <w:t xml:space="preserve">. </w:t>
            </w:r>
          </w:p>
          <w:p w:rsidR="00B175EE" w:rsidRPr="00F11A40" w:rsidRDefault="00555A81" w:rsidP="00597EE8">
            <w:pPr>
              <w:jc w:val="both"/>
            </w:pPr>
            <w:r w:rsidRPr="00F11A40">
              <w:t>Ülemäära</w:t>
            </w:r>
            <w:r w:rsidR="00BE4870" w:rsidRPr="00F11A40">
              <w:t>se rasvkoe hulga korral luu ümber ülehindab aga densitomeetria luutihedust (</w:t>
            </w:r>
            <w:r w:rsidR="00BB042E">
              <w:t>3</w:t>
            </w:r>
            <w:r w:rsidR="00BE4870" w:rsidRPr="00F11A40">
              <w:t>). Seetõttu enne operatsiooni tehtud luutiheduse uuring võib ülehinnata luutihedust ja seetõttu ka pos</w:t>
            </w:r>
            <w:r w:rsidR="00630885">
              <w:t>toperatiivne luutiheduse langus</w:t>
            </w:r>
            <w:r w:rsidR="00BE4870" w:rsidRPr="00F11A40">
              <w:t xml:space="preserve"> ei pruugi tegelikkuses olla nii suur. Yu EW, </w:t>
            </w:r>
            <w:r w:rsidR="00BE4870" w:rsidRPr="00424DAF">
              <w:rPr>
                <w:i/>
              </w:rPr>
              <w:t>et al</w:t>
            </w:r>
            <w:r w:rsidR="00BE4870" w:rsidRPr="00F11A40">
              <w:t xml:space="preserve"> poolt 2014.a. avaldatud uuring (n=30, võrreldi densitomeetriat ja kvantitatiivset kompuutertomograafiat) näitas samuti, et suur kehakaalu langus võib põhjustada luutiheduse hindamisel artefakte, eriti puusa piirkonnas. Mõlemad meetodid näitasid luutiheduse </w:t>
            </w:r>
            <w:r w:rsidR="008B5144" w:rsidRPr="00F11A40">
              <w:t xml:space="preserve">olulist </w:t>
            </w:r>
            <w:r w:rsidR="00BE4870" w:rsidRPr="00F11A40">
              <w:t>langust lülisambas 1 aasta peale bariaatrilist lõikust aga puusa piirkonnas tulemused kahe uuringumeetodi vahel erinesid</w:t>
            </w:r>
            <w:r w:rsidR="00596698">
              <w:t xml:space="preserve"> (4)</w:t>
            </w:r>
            <w:r w:rsidR="00BE4870" w:rsidRPr="00F11A40">
              <w:t>.</w:t>
            </w:r>
          </w:p>
          <w:p w:rsidR="00EF67FB" w:rsidRDefault="00BE4870" w:rsidP="00597EE8">
            <w:pPr>
              <w:jc w:val="both"/>
            </w:pPr>
            <w:r w:rsidRPr="00F11A40">
              <w:t>C</w:t>
            </w:r>
            <w:r w:rsidR="00596698">
              <w:t>a</w:t>
            </w:r>
            <w:r w:rsidRPr="00F11A40">
              <w:t xml:space="preserve">rver TE, </w:t>
            </w:r>
            <w:r w:rsidRPr="00424DAF">
              <w:rPr>
                <w:i/>
              </w:rPr>
              <w:t>et al</w:t>
            </w:r>
            <w:r w:rsidRPr="00F11A40">
              <w:t xml:space="preserve"> näitasid, et densitomeetria võimaldab täpselt hinnata luutihedust tugevalt rasvunud patsientidel</w:t>
            </w:r>
            <w:r w:rsidR="00630885">
              <w:t xml:space="preserve"> (5)</w:t>
            </w:r>
            <w:r w:rsidRPr="00F11A40">
              <w:t xml:space="preserve">. 64 patsiendil (keskmine KMI 49+/-6 </w:t>
            </w:r>
            <w:r w:rsidR="008B5144" w:rsidRPr="00F11A40">
              <w:t>kg</w:t>
            </w:r>
            <w:r w:rsidRPr="00F11A40">
              <w:t>/</w:t>
            </w:r>
            <w:r w:rsidR="008B5144" w:rsidRPr="00F11A40">
              <w:t>m</w:t>
            </w:r>
            <w:r w:rsidRPr="00F11A40">
              <w:t xml:space="preserve">2) </w:t>
            </w:r>
            <w:r w:rsidR="00630885">
              <w:t xml:space="preserve">teostatati </w:t>
            </w:r>
            <w:r w:rsidRPr="00F11A40">
              <w:t xml:space="preserve">2 luutiheduse uuringut ning </w:t>
            </w:r>
            <w:r w:rsidR="008B5144" w:rsidRPr="00F11A40">
              <w:t xml:space="preserve">arvutati </w:t>
            </w:r>
            <w:r w:rsidR="00630885" w:rsidRPr="00F11A40">
              <w:t xml:space="preserve">uuringutulemuste </w:t>
            </w:r>
            <w:r w:rsidR="008B5144" w:rsidRPr="00F11A40">
              <w:t>variatsio</w:t>
            </w:r>
            <w:r w:rsidR="00596698">
              <w:t>o</w:t>
            </w:r>
            <w:r w:rsidR="00630885">
              <w:t>ni</w:t>
            </w:r>
            <w:r w:rsidR="008B5144" w:rsidRPr="00F11A40">
              <w:t>koefitsiendid ja reprodutseeritavus eri kehapiirkondades.</w:t>
            </w:r>
          </w:p>
          <w:p w:rsidR="002303BF" w:rsidRDefault="002303BF" w:rsidP="00597EE8">
            <w:pPr>
              <w:jc w:val="both"/>
            </w:pPr>
          </w:p>
          <w:p w:rsidR="002303BF" w:rsidRDefault="002303BF" w:rsidP="0059799A">
            <w:pPr>
              <w:rPr>
                <w:b/>
                <w:color w:val="000000"/>
              </w:rPr>
            </w:pPr>
          </w:p>
          <w:p w:rsidR="00EF67FB" w:rsidRPr="00EF67FB" w:rsidRDefault="00EF67FB" w:rsidP="0059799A">
            <w:pPr>
              <w:rPr>
                <w:b/>
                <w:color w:val="000000"/>
              </w:rPr>
            </w:pPr>
          </w:p>
          <w:p w:rsidR="00026777" w:rsidRPr="00EF67FB" w:rsidRDefault="00026777" w:rsidP="00026777">
            <w:pPr>
              <w:rPr>
                <w:b/>
                <w:bCs/>
                <w:color w:val="000080"/>
                <w:lang w:val="en-US"/>
              </w:rPr>
            </w:pPr>
            <w:r w:rsidRPr="00EF67FB">
              <w:rPr>
                <w:b/>
                <w:bCs/>
                <w:color w:val="000080"/>
                <w:lang w:val="en-US"/>
              </w:rPr>
              <w:lastRenderedPageBreak/>
              <w:t>Viide kirjandusallikale</w:t>
            </w:r>
          </w:p>
          <w:p w:rsidR="000773A1" w:rsidRPr="00F11A40" w:rsidRDefault="000773A1" w:rsidP="00026777"/>
          <w:p w:rsidR="00F11A40" w:rsidRPr="00EF67FB" w:rsidRDefault="00F11A40" w:rsidP="00F11A40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90" w:beforeAutospacing="0" w:after="90" w:afterAutospacing="0" w:line="270" w:lineRule="atLeast"/>
              <w:ind w:left="284" w:hanging="284"/>
              <w:rPr>
                <w:b w:val="0"/>
                <w:color w:val="000000"/>
                <w:sz w:val="22"/>
                <w:szCs w:val="22"/>
              </w:rPr>
            </w:pPr>
            <w:r w:rsidRPr="00EF67FB">
              <w:rPr>
                <w:color w:val="000000"/>
                <w:sz w:val="22"/>
                <w:szCs w:val="22"/>
              </w:rPr>
              <w:t xml:space="preserve">Scibora LM, Ikramuddin S, Buchwald H, </w:t>
            </w:r>
            <w:r w:rsidRPr="00EF67FB">
              <w:rPr>
                <w:i/>
                <w:color w:val="000000"/>
                <w:sz w:val="22"/>
                <w:szCs w:val="22"/>
              </w:rPr>
              <w:t>et al.</w:t>
            </w:r>
            <w:r w:rsidRPr="00EF67FB">
              <w:rPr>
                <w:b w:val="0"/>
                <w:color w:val="000000"/>
                <w:sz w:val="22"/>
                <w:szCs w:val="22"/>
              </w:rPr>
              <w:t xml:space="preserve"> Examining the link between bariatric surgery, bone loss, and osteoporosis: a review of bone density studies. Obes Surg </w:t>
            </w:r>
            <w:r w:rsidR="00BB042E"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2012</w:t>
            </w:r>
            <w:r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;22(4):654-67</w:t>
            </w:r>
          </w:p>
          <w:p w:rsidR="00BB042E" w:rsidRPr="00EF67FB" w:rsidRDefault="00F11A40" w:rsidP="00BB042E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90" w:beforeAutospacing="0" w:after="90" w:afterAutospacing="0" w:line="270" w:lineRule="atLeast"/>
              <w:ind w:left="284" w:hanging="284"/>
              <w:rPr>
                <w:b w:val="0"/>
                <w:color w:val="000000"/>
                <w:sz w:val="22"/>
                <w:szCs w:val="22"/>
              </w:rPr>
            </w:pPr>
            <w:r w:rsidRPr="00EF67FB">
              <w:rPr>
                <w:bCs w:val="0"/>
                <w:color w:val="000000"/>
                <w:sz w:val="22"/>
                <w:szCs w:val="22"/>
                <w:shd w:val="clear" w:color="auto" w:fill="FFFFFF"/>
              </w:rPr>
              <w:t>Vilarrasa N</w:t>
            </w:r>
            <w:r w:rsidRPr="00EF67FB">
              <w:rPr>
                <w:color w:val="000000"/>
                <w:sz w:val="22"/>
                <w:szCs w:val="22"/>
                <w:shd w:val="clear" w:color="auto" w:fill="FFFFFF"/>
              </w:rPr>
              <w:t xml:space="preserve">, de Gordejuela AG, Gómez-Vaquero C, </w:t>
            </w:r>
            <w:r w:rsidRPr="00EF67FB">
              <w:rPr>
                <w:i/>
                <w:color w:val="000000"/>
                <w:sz w:val="22"/>
                <w:szCs w:val="22"/>
                <w:shd w:val="clear" w:color="auto" w:fill="FFFFFF"/>
              </w:rPr>
              <w:t>et al.</w:t>
            </w:r>
            <w:r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F67FB">
              <w:rPr>
                <w:b w:val="0"/>
                <w:color w:val="000000"/>
                <w:sz w:val="22"/>
                <w:szCs w:val="22"/>
              </w:rPr>
              <w:t xml:space="preserve">Effect of bariatric surgery on bone mineral density: comparison of gastric bypass and sleeve gastrectomy. </w:t>
            </w:r>
            <w:r w:rsidRPr="00EF67FB">
              <w:rPr>
                <w:rStyle w:val="jrnl"/>
                <w:b w:val="0"/>
                <w:color w:val="000000"/>
                <w:sz w:val="22"/>
                <w:szCs w:val="22"/>
                <w:shd w:val="clear" w:color="auto" w:fill="FFFFFF"/>
              </w:rPr>
              <w:t>Obes Surg</w:t>
            </w:r>
            <w:r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2013;23(12):2086-91</w:t>
            </w:r>
          </w:p>
          <w:p w:rsidR="00596698" w:rsidRPr="00EF67FB" w:rsidRDefault="00BB042E" w:rsidP="00596698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90" w:beforeAutospacing="0" w:after="90" w:afterAutospacing="0" w:line="270" w:lineRule="atLeast"/>
              <w:ind w:left="284" w:hanging="284"/>
              <w:rPr>
                <w:b w:val="0"/>
                <w:color w:val="000000"/>
                <w:sz w:val="22"/>
                <w:szCs w:val="22"/>
              </w:rPr>
            </w:pPr>
            <w:r w:rsidRPr="00EF67FB">
              <w:rPr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EF67FB">
              <w:rPr>
                <w:color w:val="000000"/>
                <w:sz w:val="22"/>
                <w:szCs w:val="22"/>
              </w:rPr>
              <w:t>olotin H.</w:t>
            </w:r>
            <w:r w:rsidRPr="00EF67FB">
              <w:rPr>
                <w:b w:val="0"/>
                <w:color w:val="000000"/>
                <w:sz w:val="22"/>
                <w:szCs w:val="22"/>
              </w:rPr>
              <w:t xml:space="preserve"> DXA in vivo BMD methodology: an erroneous and misleading research and clinical gauge of bone mineral status, bone fragility, and bone remodelling. Bone </w:t>
            </w:r>
            <w:r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2007;41(1):138-54</w:t>
            </w:r>
          </w:p>
          <w:p w:rsidR="00630885" w:rsidRPr="00EF67FB" w:rsidRDefault="00596698" w:rsidP="00630885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90" w:beforeAutospacing="0" w:after="90" w:afterAutospacing="0" w:line="270" w:lineRule="atLeast"/>
              <w:ind w:left="284" w:hanging="284"/>
              <w:rPr>
                <w:b w:val="0"/>
                <w:color w:val="000000"/>
                <w:sz w:val="22"/>
                <w:szCs w:val="22"/>
              </w:rPr>
            </w:pPr>
            <w:r w:rsidRPr="00EF67FB">
              <w:rPr>
                <w:bCs w:val="0"/>
                <w:color w:val="000000"/>
                <w:sz w:val="22"/>
                <w:szCs w:val="22"/>
                <w:shd w:val="clear" w:color="auto" w:fill="FFFFFF"/>
              </w:rPr>
              <w:t>Yu EW</w:t>
            </w:r>
            <w:r w:rsidRPr="00EF67FB">
              <w:rPr>
                <w:color w:val="000000"/>
                <w:sz w:val="22"/>
                <w:szCs w:val="22"/>
                <w:shd w:val="clear" w:color="auto" w:fill="FFFFFF"/>
              </w:rPr>
              <w:t xml:space="preserve">, Bouxsein ML, Roy AE, </w:t>
            </w:r>
            <w:r w:rsidRPr="00EF67FB">
              <w:rPr>
                <w:i/>
                <w:color w:val="000000"/>
                <w:sz w:val="22"/>
                <w:szCs w:val="22"/>
                <w:shd w:val="clear" w:color="auto" w:fill="FFFFFF"/>
              </w:rPr>
              <w:t>et al</w:t>
            </w:r>
            <w:r w:rsidRPr="00EF67F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F67FB">
              <w:rPr>
                <w:b w:val="0"/>
                <w:color w:val="000000"/>
                <w:sz w:val="22"/>
                <w:szCs w:val="22"/>
              </w:rPr>
              <w:t>Bone loss after bariatric surgery: discordant results between DXA and QCT bone density.</w:t>
            </w:r>
            <w:r w:rsidRPr="00EF67FB">
              <w:rPr>
                <w:rStyle w:val="subabstractlabel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F67FB">
              <w:rPr>
                <w:rStyle w:val="jrnl"/>
                <w:b w:val="0"/>
                <w:color w:val="000000"/>
                <w:sz w:val="22"/>
                <w:szCs w:val="22"/>
                <w:shd w:val="clear" w:color="auto" w:fill="FFFFFF"/>
              </w:rPr>
              <w:t>J Bone Miner Res</w:t>
            </w:r>
            <w:r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. 2014;29(3):542-50</w:t>
            </w:r>
          </w:p>
          <w:p w:rsidR="00026777" w:rsidRPr="00F11A40" w:rsidRDefault="00596698" w:rsidP="00630885">
            <w:pPr>
              <w:pStyle w:val="Heading1"/>
              <w:numPr>
                <w:ilvl w:val="0"/>
                <w:numId w:val="25"/>
              </w:numPr>
              <w:shd w:val="clear" w:color="auto" w:fill="FFFFFF"/>
              <w:spacing w:before="90" w:beforeAutospacing="0" w:after="90" w:afterAutospacing="0" w:line="270" w:lineRule="atLeast"/>
              <w:ind w:left="284" w:hanging="284"/>
              <w:rPr>
                <w:b w:val="0"/>
                <w:color w:val="000000"/>
                <w:sz w:val="24"/>
                <w:szCs w:val="24"/>
              </w:rPr>
            </w:pPr>
            <w:r w:rsidRPr="00EF67FB">
              <w:rPr>
                <w:bCs w:val="0"/>
                <w:color w:val="000000"/>
                <w:sz w:val="22"/>
                <w:szCs w:val="22"/>
                <w:shd w:val="clear" w:color="auto" w:fill="FFFFFF"/>
              </w:rPr>
              <w:t>Carver TE</w:t>
            </w:r>
            <w:r w:rsidRPr="00EF67FB">
              <w:rPr>
                <w:color w:val="000000"/>
                <w:sz w:val="22"/>
                <w:szCs w:val="22"/>
                <w:shd w:val="clear" w:color="auto" w:fill="FFFFFF"/>
              </w:rPr>
              <w:t>, Christou NV, Court O</w:t>
            </w:r>
            <w:r w:rsidR="00630885" w:rsidRPr="00EF67F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630885" w:rsidRPr="00EF67FB">
              <w:rPr>
                <w:i/>
                <w:color w:val="000000"/>
                <w:sz w:val="22"/>
                <w:szCs w:val="22"/>
                <w:shd w:val="clear" w:color="auto" w:fill="FFFFFF"/>
              </w:rPr>
              <w:t>et al.</w:t>
            </w:r>
            <w:r w:rsidR="00630885"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30885" w:rsidRPr="00EF67FB">
              <w:rPr>
                <w:b w:val="0"/>
                <w:color w:val="000000"/>
                <w:sz w:val="22"/>
                <w:szCs w:val="22"/>
              </w:rPr>
              <w:t>In vivo precision of the GE lunar iDXA for the assessment of lumbar spine, total hip, femoral neck, and total body bone mineral density in severely obese patients.</w:t>
            </w:r>
            <w:r w:rsidR="00630885" w:rsidRPr="00EF67FB">
              <w:rPr>
                <w:rStyle w:val="subabstractlabel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30885" w:rsidRPr="00EF67FB">
              <w:rPr>
                <w:rStyle w:val="jrnl"/>
                <w:b w:val="0"/>
                <w:color w:val="000000"/>
                <w:sz w:val="22"/>
                <w:szCs w:val="22"/>
                <w:shd w:val="clear" w:color="auto" w:fill="FFFFFF"/>
              </w:rPr>
              <w:t>J Clin Densitom</w:t>
            </w:r>
            <w:r w:rsidR="00630885" w:rsidRPr="00EF67FB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. 2014;17(1):109-15</w:t>
            </w:r>
          </w:p>
        </w:tc>
      </w:tr>
      <w:tr w:rsidR="00026777" w:rsidRPr="00FE17E8" w:rsidTr="00887D66">
        <w:tc>
          <w:tcPr>
            <w:tcW w:w="9180" w:type="dxa"/>
            <w:shd w:val="clear" w:color="auto" w:fill="auto"/>
          </w:tcPr>
          <w:p w:rsidR="00DE5FCD" w:rsidRPr="00DE7B9E" w:rsidRDefault="00DE5FCD" w:rsidP="00DE5FCD">
            <w:pPr>
              <w:autoSpaceDE w:val="0"/>
              <w:autoSpaceDN w:val="0"/>
              <w:adjustRightInd w:val="0"/>
              <w:rPr>
                <w:rFonts w:ascii="Verdana" w:hAnsi="Verdana" w:cs="SabonLTStd-Roman"/>
                <w:sz w:val="18"/>
                <w:szCs w:val="18"/>
              </w:rPr>
            </w:pPr>
          </w:p>
        </w:tc>
      </w:tr>
      <w:tr w:rsidR="00026777" w:rsidRPr="00FE17E8" w:rsidTr="00887D66">
        <w:tc>
          <w:tcPr>
            <w:tcW w:w="9180" w:type="dxa"/>
            <w:shd w:val="clear" w:color="auto" w:fill="auto"/>
          </w:tcPr>
          <w:p w:rsidR="00026777" w:rsidRPr="00185231" w:rsidRDefault="00026777" w:rsidP="00002C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  <w:tr w:rsidR="00026777" w:rsidRPr="00FE17E8" w:rsidTr="00887D66">
        <w:tc>
          <w:tcPr>
            <w:tcW w:w="9180" w:type="dxa"/>
            <w:shd w:val="clear" w:color="auto" w:fill="auto"/>
          </w:tcPr>
          <w:p w:rsidR="00026777" w:rsidRPr="00185231" w:rsidRDefault="00026777" w:rsidP="00002CA6">
            <w:pPr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</w:tr>
    </w:tbl>
    <w:p w:rsidR="003B0510" w:rsidRDefault="003B0510" w:rsidP="003E1B67">
      <w:pPr>
        <w:rPr>
          <w:lang w:val="en-US"/>
        </w:rPr>
      </w:pPr>
    </w:p>
    <w:p w:rsidR="002D065A" w:rsidRDefault="002D065A" w:rsidP="003E1B67">
      <w:pPr>
        <w:rPr>
          <w:lang w:val="en-US"/>
        </w:rPr>
      </w:pPr>
    </w:p>
    <w:p w:rsidR="00780735" w:rsidRDefault="002D065A" w:rsidP="00780735">
      <w:pPr>
        <w:rPr>
          <w:b/>
        </w:rPr>
      </w:pPr>
      <w:r w:rsidRPr="00042FF2">
        <w:rPr>
          <w:rFonts w:ascii="Verdana" w:hAnsi="Verdana"/>
          <w:b/>
          <w:color w:val="000080"/>
          <w:sz w:val="18"/>
          <w:szCs w:val="18"/>
        </w:rPr>
        <w:t>Ravijuhendid</w:t>
      </w:r>
      <w:r w:rsidR="00780735" w:rsidRPr="00780735">
        <w:rPr>
          <w:b/>
        </w:rPr>
        <w:t xml:space="preserve"> 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2"/>
        <w:gridCol w:w="2157"/>
        <w:gridCol w:w="3864"/>
        <w:gridCol w:w="1483"/>
      </w:tblGrid>
      <w:tr w:rsidR="00780735" w:rsidRPr="00A44EF8" w:rsidTr="00BC394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A44EF8">
              <w:rPr>
                <w:lang w:val="en-US"/>
              </w:rPr>
              <w:t>Ravijuhend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A44EF8">
              <w:rPr>
                <w:lang w:val="en-US"/>
              </w:rPr>
              <w:t>Ravijuhendis sisalduv tekst küsimuse kohta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35" w:rsidRPr="00A44EF8" w:rsidRDefault="00780735" w:rsidP="00A44EF8">
            <w:pPr>
              <w:spacing w:after="200"/>
              <w:rPr>
                <w:sz w:val="20"/>
                <w:szCs w:val="20"/>
                <w:lang w:val="en-US" w:eastAsia="en-US"/>
              </w:rPr>
            </w:pPr>
            <w:r w:rsidRPr="00A44EF8">
              <w:rPr>
                <w:sz w:val="20"/>
                <w:szCs w:val="20"/>
                <w:lang w:val="en-US"/>
              </w:rPr>
              <w:t>Viited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A44EF8">
              <w:rPr>
                <w:lang w:val="en-US"/>
              </w:rPr>
              <w:t>Ravijuhendis hõlmatud kirjanduse otsingu ajavhemik</w:t>
            </w:r>
          </w:p>
        </w:tc>
      </w:tr>
      <w:tr w:rsidR="00780735" w:rsidRPr="00A44EF8" w:rsidTr="00BC394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Default="000773A1" w:rsidP="000773A1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</w:t>
            </w:r>
            <w:r w:rsidR="00780735" w:rsidRPr="00A44EF8">
              <w:rPr>
                <w:sz w:val="22"/>
                <w:szCs w:val="22"/>
                <w:lang w:val="en-US" w:eastAsia="en-US"/>
              </w:rPr>
              <w:t>Clinical Practice Guidelines for the Perioperative Nutritional, Metabolic, and Nonsurgical Support of the Bariatric Surgery Patient—2013 Update:Cosponsored by American Association ofClinical Endocrinologists, The Obesity Society, and American Society for Metabolic &amp; Bariatric Surgery</w:t>
            </w:r>
          </w:p>
          <w:p w:rsidR="001869D6" w:rsidRPr="00A44EF8" w:rsidRDefault="001869D6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Default="00145AFC" w:rsidP="00DC5820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Endoskoopia on eelistatuim meetod striktuuri või võõrkeha kahtlusel. Sel juhul omab meetod diagnostilist ja</w:t>
            </w:r>
            <w:r w:rsidR="00DC5820">
              <w:rPr>
                <w:sz w:val="22"/>
                <w:szCs w:val="22"/>
                <w:lang w:val="en-US" w:eastAsia="en-US"/>
              </w:rPr>
              <w:t xml:space="preserve"> teraapilist väärtust (dilatatsioon või võõrkeha eemaldamine) (Grade C).</w:t>
            </w:r>
          </w:p>
          <w:p w:rsidR="00DC5820" w:rsidRDefault="00DC5820" w:rsidP="00DC5820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Uuringuga saab tuvastada ka H pylori infektsiooni, kui ühte võimalikku püsivate seedetrakti kaebuste põhjustajat operatsiooni järgselt (Grade D).</w:t>
            </w:r>
          </w:p>
          <w:p w:rsidR="00DC5820" w:rsidRDefault="00DC5820" w:rsidP="00DC5820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Endoskoopia on tsöliaakia ja bakteriaalse ü</w:t>
            </w:r>
            <w:r w:rsidR="00395A4B">
              <w:rPr>
                <w:sz w:val="22"/>
                <w:szCs w:val="22"/>
                <w:lang w:val="en-US" w:eastAsia="en-US"/>
              </w:rPr>
              <w:t>lekasvu diagnostika kuldstandard</w:t>
            </w:r>
            <w:r>
              <w:rPr>
                <w:sz w:val="22"/>
                <w:szCs w:val="22"/>
                <w:lang w:val="en-US" w:eastAsia="en-US"/>
              </w:rPr>
              <w:t xml:space="preserve"> (Grade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C).</w:t>
            </w:r>
          </w:p>
          <w:p w:rsidR="00DC5820" w:rsidRPr="00A44EF8" w:rsidRDefault="00DC5820" w:rsidP="00B630BC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Luudensitomeetria võib olla näidustatud RYGB, BPD või BPD/DS patsientidele osteoporoosi avastamiseks </w:t>
            </w:r>
            <w:r w:rsidR="00B630BC">
              <w:rPr>
                <w:sz w:val="22"/>
                <w:szCs w:val="22"/>
                <w:lang w:val="en-US" w:eastAsia="en-US"/>
              </w:rPr>
              <w:t>alghetkel ning 2 aasta möödudes (Grade D).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2DC" w:rsidRDefault="00B630BC" w:rsidP="00A44EF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B630BC">
              <w:rPr>
                <w:b/>
                <w:sz w:val="20"/>
                <w:szCs w:val="20"/>
                <w:lang w:val="en-US" w:eastAsia="en-US"/>
              </w:rPr>
              <w:lastRenderedPageBreak/>
              <w:t>Ryou M, Mogabgab O, Lautz DB, et al.</w:t>
            </w:r>
            <w:r>
              <w:rPr>
                <w:sz w:val="20"/>
                <w:szCs w:val="20"/>
                <w:lang w:val="en-US" w:eastAsia="en-US"/>
              </w:rPr>
              <w:t xml:space="preserve"> Endoscopic foreign body removal for treatment of chronic abdominal pain in patients after Roux-en-Y gastric bypass. Surg Obes Relat Dis 2010;6:526-31</w:t>
            </w:r>
          </w:p>
          <w:p w:rsidR="00B630BC" w:rsidRDefault="00B630BC" w:rsidP="00A44EF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712BDA" w:rsidRDefault="00712BDA" w:rsidP="006F1F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 w:eastAsia="en-US"/>
              </w:rPr>
            </w:pPr>
          </w:p>
          <w:p w:rsidR="00B630BC" w:rsidRDefault="00B630BC" w:rsidP="006F1F6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F1F6F">
              <w:rPr>
                <w:b/>
                <w:sz w:val="20"/>
                <w:szCs w:val="20"/>
                <w:lang w:val="en-US" w:eastAsia="en-US"/>
              </w:rPr>
              <w:t>G</w:t>
            </w:r>
            <w:r w:rsidR="006F1F6F" w:rsidRPr="006F1F6F">
              <w:rPr>
                <w:b/>
                <w:sz w:val="20"/>
                <w:szCs w:val="20"/>
                <w:lang w:val="en-US" w:eastAsia="en-US"/>
              </w:rPr>
              <w:t>ómez JM, Vilarassa N, Masdevall C, et al.</w:t>
            </w:r>
            <w:r w:rsidR="006F1F6F">
              <w:rPr>
                <w:sz w:val="20"/>
                <w:szCs w:val="20"/>
                <w:lang w:val="en-US" w:eastAsia="en-US"/>
              </w:rPr>
              <w:t xml:space="preserve"> Regulation of bone mineral density in morbidly obese women- a cross-sectional </w:t>
            </w:r>
            <w:r w:rsidR="006F1F6F">
              <w:rPr>
                <w:sz w:val="20"/>
                <w:szCs w:val="20"/>
                <w:lang w:val="en-US" w:eastAsia="en-US"/>
              </w:rPr>
              <w:lastRenderedPageBreak/>
              <w:t>study in two cohorts before and after bypass surgery. Obes Surg 2009;19:345-50</w:t>
            </w:r>
          </w:p>
          <w:p w:rsidR="006F1F6F" w:rsidRDefault="006F1F6F" w:rsidP="006F1F6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</w:p>
          <w:p w:rsidR="006F1F6F" w:rsidRDefault="006F1F6F" w:rsidP="006F1F6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F1F6F">
              <w:rPr>
                <w:b/>
                <w:sz w:val="20"/>
                <w:szCs w:val="20"/>
                <w:lang w:val="en-US" w:eastAsia="en-US"/>
              </w:rPr>
              <w:t>Scibora LM, Ikramuddin S, Buchwald H, et al.</w:t>
            </w:r>
            <w:r>
              <w:rPr>
                <w:sz w:val="20"/>
                <w:szCs w:val="20"/>
                <w:lang w:val="en-US" w:eastAsia="en-US"/>
              </w:rPr>
              <w:t xml:space="preserve"> Examine the link between bariatric surgery, bone loss, and osteoporosis: review of bone density studies. Obes Surg 2012;22:654-67</w:t>
            </w:r>
          </w:p>
          <w:p w:rsidR="006F1F6F" w:rsidRDefault="006F1F6F" w:rsidP="006F1F6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</w:p>
          <w:p w:rsidR="006F1F6F" w:rsidRPr="006F1F6F" w:rsidRDefault="006F1F6F" w:rsidP="006F1F6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6F1F6F">
              <w:rPr>
                <w:b/>
                <w:sz w:val="20"/>
                <w:szCs w:val="20"/>
                <w:lang w:val="en-US" w:eastAsia="en-US"/>
              </w:rPr>
              <w:t>Williams SE.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Metabolic bone disease in bariatric surgery patients. J Obes 2011;2011:634614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E01BB1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A44EF8">
              <w:rPr>
                <w:sz w:val="22"/>
                <w:szCs w:val="22"/>
                <w:lang w:val="en-US" w:eastAsia="en-US"/>
              </w:rPr>
              <w:lastRenderedPageBreak/>
              <w:t>Kuni 2012</w:t>
            </w:r>
          </w:p>
        </w:tc>
      </w:tr>
      <w:tr w:rsidR="00780735" w:rsidRPr="00A44EF8" w:rsidTr="00BC394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Default="000773A1" w:rsidP="00440DC7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2.</w:t>
            </w:r>
            <w:r w:rsidR="00440DC7">
              <w:rPr>
                <w:sz w:val="22"/>
                <w:szCs w:val="22"/>
                <w:lang w:val="en-US" w:eastAsia="en-US"/>
              </w:rPr>
              <w:t>A</w:t>
            </w:r>
            <w:r w:rsidR="00440DC7" w:rsidRPr="00440DC7">
              <w:rPr>
                <w:sz w:val="22"/>
                <w:szCs w:val="22"/>
                <w:lang w:val="en-US" w:eastAsia="en-US"/>
              </w:rPr>
              <w:t>merican Association of Clinical Endocrinologists, The Obesity Society,</w:t>
            </w:r>
            <w:r w:rsidR="00165D18">
              <w:rPr>
                <w:sz w:val="22"/>
                <w:szCs w:val="22"/>
                <w:lang w:val="en-US" w:eastAsia="en-US"/>
              </w:rPr>
              <w:t xml:space="preserve"> </w:t>
            </w:r>
            <w:r w:rsidR="00440DC7" w:rsidRPr="00440DC7">
              <w:rPr>
                <w:sz w:val="22"/>
                <w:szCs w:val="22"/>
                <w:lang w:val="en-US" w:eastAsia="en-US"/>
              </w:rPr>
              <w:t>and American Society for Metabolic &amp; Bariatric Surgery Medical</w:t>
            </w:r>
            <w:r w:rsidR="00165D18">
              <w:rPr>
                <w:sz w:val="22"/>
                <w:szCs w:val="22"/>
                <w:lang w:val="en-US" w:eastAsia="en-US"/>
              </w:rPr>
              <w:t xml:space="preserve"> </w:t>
            </w:r>
            <w:r w:rsidR="00440DC7" w:rsidRPr="00440DC7">
              <w:rPr>
                <w:sz w:val="22"/>
                <w:szCs w:val="22"/>
                <w:lang w:val="en-US" w:eastAsia="en-US"/>
              </w:rPr>
              <w:t>Guidelines for Clinical Practice for the Perioperative Nutritional,</w:t>
            </w:r>
            <w:r w:rsidR="00165D18">
              <w:rPr>
                <w:sz w:val="22"/>
                <w:szCs w:val="22"/>
                <w:lang w:val="en-US" w:eastAsia="en-US"/>
              </w:rPr>
              <w:t xml:space="preserve"> </w:t>
            </w:r>
            <w:r w:rsidR="00440DC7" w:rsidRPr="00440DC7">
              <w:rPr>
                <w:sz w:val="22"/>
                <w:szCs w:val="22"/>
                <w:lang w:val="en-US" w:eastAsia="en-US"/>
              </w:rPr>
              <w:t>Metabolic, and Nonsurgical Support of the Bariatric Surgery Patient</w:t>
            </w:r>
          </w:p>
          <w:p w:rsidR="00165D18" w:rsidRPr="00A44EF8" w:rsidRDefault="00165D18" w:rsidP="00440DC7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D18" w:rsidRDefault="00395A4B" w:rsidP="00165D1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Luudensitomeetria võib olla näidustatud RYGB, BPD või BPD/DS patsientidele osteoporoosi avastamiseks alghetkel ning 2 aasta möödudes (Grade D).</w:t>
            </w:r>
          </w:p>
          <w:p w:rsidR="00395A4B" w:rsidRDefault="00395A4B" w:rsidP="00165D1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  <w:p w:rsidR="00395A4B" w:rsidRDefault="00395A4B" w:rsidP="00165D1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Püsivate seedetrakti kaebuste korral on endoskoopia eelistatuim meetod, kuna võimaldab vajadusel ka terapeutilist sekkumist (striktuuri dilatatsioon) (Grade C). Endoskoopial peaks võtma ka H pylori uuringu, kuna see võib olla kaebuste põhjuseks (Grade C).</w:t>
            </w:r>
          </w:p>
          <w:p w:rsidR="00395A4B" w:rsidRPr="00A44EF8" w:rsidRDefault="00395A4B" w:rsidP="00712BDA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Endoskoopia on tsöliaakia ja bakteriaalse ülekasvu diagnostika kuldstandard (Grade C).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62" w:rsidRDefault="00535262" w:rsidP="00535262">
            <w:pPr>
              <w:pStyle w:val="Heading1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color w:val="333333"/>
                <w:sz w:val="20"/>
                <w:szCs w:val="20"/>
              </w:rPr>
            </w:pPr>
            <w:r w:rsidRPr="00535262">
              <w:rPr>
                <w:bCs w:val="0"/>
                <w:color w:val="333333"/>
                <w:sz w:val="20"/>
                <w:szCs w:val="20"/>
              </w:rPr>
              <w:t>Baim S, Binkley N, Bilezikian JB, et al.</w:t>
            </w:r>
            <w:r w:rsidRPr="00535262">
              <w:rPr>
                <w:b w:val="0"/>
                <w:bCs w:val="0"/>
                <w:color w:val="333333"/>
                <w:sz w:val="20"/>
                <w:szCs w:val="20"/>
              </w:rPr>
              <w:t xml:space="preserve"> Official Positions of the International Society for Clinical Densitometry and Executive Summary of the 2007 ISCD Position Development Conference. J Clin Densitom 2008;11:75-91</w:t>
            </w:r>
          </w:p>
          <w:p w:rsidR="00054021" w:rsidRDefault="00054021" w:rsidP="00535262">
            <w:pPr>
              <w:pStyle w:val="Heading1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color w:val="333333"/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Byrne TK</w:t>
            </w:r>
            <w:r w:rsidRPr="00054021">
              <w:rPr>
                <w:sz w:val="20"/>
                <w:szCs w:val="20"/>
              </w:rPr>
              <w:t>. Complications of surgery for obesity. Surg Clin North Am 2001;81:1181–1193, vii–viii.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Stocker DJ.</w:t>
            </w:r>
            <w:r w:rsidRPr="00054021">
              <w:rPr>
                <w:sz w:val="20"/>
                <w:szCs w:val="20"/>
              </w:rPr>
              <w:t xml:space="preserve"> Management of the bariatric surgery patient. Endocrinol Metab Clin North Am 2003;32:437– 457.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MacLean LD, Rhode BM, Nohr C,</w:t>
            </w:r>
            <w:r w:rsidRPr="00054021">
              <w:rPr>
                <w:sz w:val="20"/>
                <w:szCs w:val="20"/>
              </w:rPr>
              <w:t xml:space="preserve"> </w:t>
            </w:r>
            <w:r w:rsidRPr="00054021">
              <w:rPr>
                <w:b/>
                <w:sz w:val="20"/>
                <w:szCs w:val="20"/>
              </w:rPr>
              <w:t>et al.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4021">
              <w:rPr>
                <w:sz w:val="20"/>
                <w:szCs w:val="20"/>
              </w:rPr>
              <w:t>Stomal ulcer after gastric bypass. J Am Coll Surg 1997;185:1–7.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Huang CS, Forse RA, Jacobson BC</w:t>
            </w:r>
            <w:r w:rsidRPr="00054021">
              <w:rPr>
                <w:sz w:val="20"/>
                <w:szCs w:val="20"/>
              </w:rPr>
              <w:t xml:space="preserve">, </w:t>
            </w:r>
            <w:r w:rsidRPr="00054021">
              <w:rPr>
                <w:b/>
                <w:sz w:val="20"/>
                <w:szCs w:val="20"/>
              </w:rPr>
              <w:t>et al.</w:t>
            </w:r>
            <w:r w:rsidRPr="00054021">
              <w:rPr>
                <w:sz w:val="20"/>
                <w:szCs w:val="20"/>
              </w:rPr>
              <w:t xml:space="preserve"> Endoscopic findings and their clinical correlations in patients with symptoms after gastric bypass surgery. Gastrointest Endosc 2003;58:859 –866.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Livingston EH.</w:t>
            </w:r>
            <w:r w:rsidRPr="00054021">
              <w:rPr>
                <w:sz w:val="20"/>
                <w:szCs w:val="20"/>
              </w:rPr>
              <w:t xml:space="preserve"> Complications of bariatric surgery. Surg Clin North Am 2005;85:853– 868, vii.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Riordan SM, McIver CJ, Duncombe VM,</w:t>
            </w:r>
            <w:r w:rsidRPr="00054021">
              <w:rPr>
                <w:sz w:val="20"/>
                <w:szCs w:val="20"/>
              </w:rPr>
              <w:t xml:space="preserve"> </w:t>
            </w:r>
            <w:r w:rsidRPr="00054021">
              <w:rPr>
                <w:b/>
                <w:sz w:val="20"/>
                <w:szCs w:val="20"/>
              </w:rPr>
              <w:t>et al.</w:t>
            </w:r>
            <w:r w:rsidRPr="00054021">
              <w:rPr>
                <w:sz w:val="20"/>
                <w:szCs w:val="20"/>
              </w:rPr>
              <w:t xml:space="preserve"> Evaluation of the rice breath hydrogen test for small intestinal bacterial overgrowth. Am J Gastroenterol 2000;95:2858 –2864.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Kerlin P, Wong L.</w:t>
            </w:r>
            <w:r w:rsidRPr="00054021">
              <w:rPr>
                <w:sz w:val="20"/>
                <w:szCs w:val="20"/>
              </w:rPr>
              <w:t xml:space="preserve"> Breath hydrogen testing in bacterial overgrowth of the small intestine. Gastroenterology 1988;95:982–988.</w:t>
            </w: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4021" w:rsidRPr="00054021" w:rsidRDefault="00054021" w:rsidP="00054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021">
              <w:rPr>
                <w:b/>
                <w:sz w:val="20"/>
                <w:szCs w:val="20"/>
              </w:rPr>
              <w:t>Rumessen JJ, Gudmand-Hųyer E, Bachmann E,</w:t>
            </w:r>
            <w:r>
              <w:rPr>
                <w:b/>
                <w:sz w:val="20"/>
                <w:szCs w:val="20"/>
              </w:rPr>
              <w:t xml:space="preserve"> et al</w:t>
            </w:r>
            <w:r w:rsidRPr="00054021">
              <w:rPr>
                <w:sz w:val="20"/>
                <w:szCs w:val="20"/>
              </w:rPr>
              <w:t>. Diagnosis</w:t>
            </w:r>
            <w:r>
              <w:rPr>
                <w:sz w:val="20"/>
                <w:szCs w:val="20"/>
              </w:rPr>
              <w:t xml:space="preserve"> </w:t>
            </w:r>
            <w:r w:rsidRPr="00054021">
              <w:rPr>
                <w:sz w:val="20"/>
                <w:szCs w:val="20"/>
              </w:rPr>
              <w:t>of bacterial overgrowth of the small intestine: comparison of</w:t>
            </w:r>
            <w:r w:rsidR="00DF2218">
              <w:rPr>
                <w:sz w:val="20"/>
                <w:szCs w:val="20"/>
              </w:rPr>
              <w:t xml:space="preserve"> </w:t>
            </w:r>
            <w:r w:rsidRPr="00054021">
              <w:rPr>
                <w:sz w:val="20"/>
                <w:szCs w:val="20"/>
              </w:rPr>
              <w:t>the 14C-D-xylose breath test and jejunal cultures in 60 patients.</w:t>
            </w:r>
          </w:p>
          <w:p w:rsidR="00535262" w:rsidRPr="00AC01B4" w:rsidRDefault="00054021" w:rsidP="00DF221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054021">
              <w:rPr>
                <w:sz w:val="20"/>
                <w:szCs w:val="20"/>
              </w:rPr>
              <w:t>Scand J Gastroenterol 1985;20:1267–1275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165D18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Kuni 2008</w:t>
            </w:r>
          </w:p>
        </w:tc>
      </w:tr>
      <w:tr w:rsidR="00780735" w:rsidRPr="00A44EF8" w:rsidTr="00BC394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0773A1" w:rsidRDefault="000773A1" w:rsidP="00A65B6F">
            <w:pPr>
              <w:pStyle w:val="Heading1"/>
              <w:shd w:val="clear" w:color="auto" w:fill="FFFFFF"/>
              <w:spacing w:before="90" w:beforeAutospacing="0" w:after="90" w:afterAutospacing="0" w:line="270" w:lineRule="atLeast"/>
              <w:rPr>
                <w:b w:val="0"/>
                <w:sz w:val="22"/>
                <w:szCs w:val="22"/>
                <w:lang w:val="en-US" w:eastAsia="en-US"/>
              </w:rPr>
            </w:pPr>
            <w:r w:rsidRPr="000773A1">
              <w:rPr>
                <w:b w:val="0"/>
                <w:sz w:val="22"/>
                <w:szCs w:val="22"/>
                <w:lang w:val="en-US" w:eastAsia="en-US"/>
              </w:rPr>
              <w:lastRenderedPageBreak/>
              <w:t xml:space="preserve">3. </w:t>
            </w:r>
            <w:r w:rsidR="001869D6" w:rsidRPr="000773A1">
              <w:rPr>
                <w:b w:val="0"/>
                <w:sz w:val="22"/>
                <w:szCs w:val="22"/>
                <w:lang w:val="en-US" w:eastAsia="en-US"/>
              </w:rPr>
              <w:t>SIGN 2010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1869D6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</w:tr>
      <w:tr w:rsidR="00780735" w:rsidRPr="00A44EF8" w:rsidTr="00BC394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0773A1" w:rsidRDefault="000773A1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0773A1">
              <w:rPr>
                <w:sz w:val="22"/>
                <w:szCs w:val="22"/>
                <w:lang w:val="en-US" w:eastAsia="en-US"/>
              </w:rPr>
              <w:t xml:space="preserve">4. </w:t>
            </w:r>
            <w:r w:rsidR="001869D6" w:rsidRPr="000773A1">
              <w:rPr>
                <w:sz w:val="22"/>
                <w:szCs w:val="22"/>
                <w:lang w:val="en-US" w:eastAsia="en-US"/>
              </w:rPr>
              <w:t>AUS 2013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1869D6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35" w:rsidRPr="00A44EF8" w:rsidRDefault="00780735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</w:tr>
      <w:tr w:rsidR="001869D6" w:rsidRPr="00A44EF8" w:rsidTr="00BC394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D6" w:rsidRPr="000773A1" w:rsidRDefault="000773A1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 w:rsidRPr="000773A1">
              <w:rPr>
                <w:sz w:val="22"/>
                <w:szCs w:val="22"/>
                <w:lang w:val="en-US" w:eastAsia="en-US"/>
              </w:rPr>
              <w:t xml:space="preserve">5. </w:t>
            </w:r>
            <w:r w:rsidR="001869D6" w:rsidRPr="000773A1">
              <w:rPr>
                <w:sz w:val="22"/>
                <w:szCs w:val="22"/>
                <w:lang w:val="en-US" w:eastAsia="en-US"/>
              </w:rPr>
              <w:t>NICE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D6" w:rsidRDefault="001869D6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D6" w:rsidRPr="00A44EF8" w:rsidRDefault="001869D6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D6" w:rsidRPr="00A44EF8" w:rsidRDefault="001869D6" w:rsidP="00A44EF8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780735" w:rsidRPr="00440DC7" w:rsidRDefault="00440DC7" w:rsidP="00780735">
      <w:pPr>
        <w:rPr>
          <w:color w:val="FF0000"/>
        </w:rPr>
      </w:pPr>
      <w:r w:rsidRPr="00440DC7">
        <w:rPr>
          <w:color w:val="FF0000"/>
        </w:rPr>
        <w:t xml:space="preserve">Soovitused </w:t>
      </w:r>
      <w:r w:rsidR="000773A1">
        <w:rPr>
          <w:color w:val="FF0000"/>
        </w:rPr>
        <w:t>ravijuhendites on</w:t>
      </w:r>
      <w:r w:rsidRPr="00440DC7">
        <w:rPr>
          <w:color w:val="FF0000"/>
        </w:rPr>
        <w:t xml:space="preserve"> EL </w:t>
      </w:r>
      <w:r w:rsidR="000773A1">
        <w:rPr>
          <w:color w:val="FF0000"/>
        </w:rPr>
        <w:t>C-</w:t>
      </w:r>
      <w:r w:rsidRPr="00440DC7">
        <w:rPr>
          <w:color w:val="FF0000"/>
        </w:rPr>
        <w:t>D taseme soovitused</w:t>
      </w:r>
    </w:p>
    <w:p w:rsidR="00780735" w:rsidRDefault="00780735" w:rsidP="00780735">
      <w:pPr>
        <w:rPr>
          <w:b/>
        </w:rPr>
      </w:pPr>
      <w:r>
        <w:rPr>
          <w:b/>
        </w:rPr>
        <w:t>Soovitus</w:t>
      </w:r>
    </w:p>
    <w:p w:rsidR="000B7A5C" w:rsidRPr="000B7A5C" w:rsidRDefault="00C247FD" w:rsidP="00C247FD">
      <w:pPr>
        <w:numPr>
          <w:ilvl w:val="0"/>
          <w:numId w:val="27"/>
        </w:numPr>
        <w:rPr>
          <w:b/>
        </w:rPr>
      </w:pPr>
      <w:r>
        <w:t>Bariaatrilise operatsiooni järgselt tuleks patsiendil teostada ülemise seedetrakti endoskoopia</w:t>
      </w:r>
      <w:r w:rsidR="0063112A">
        <w:t xml:space="preserve">,  kui esinevad </w:t>
      </w:r>
      <w:r w:rsidR="0063112A">
        <w:rPr>
          <w:lang w:eastAsia="en-US"/>
        </w:rPr>
        <w:t xml:space="preserve">püsivaid seedetrakti kaebused </w:t>
      </w:r>
      <w:r w:rsidR="000B7A5C">
        <w:rPr>
          <w:lang w:eastAsia="en-US"/>
        </w:rPr>
        <w:t>ja endoskoopia omaks diagnostilist kui ka võimalusel terapeutilist väärtust</w:t>
      </w:r>
    </w:p>
    <w:p w:rsidR="002A57B9" w:rsidRPr="000B7A5C" w:rsidRDefault="002A57B9" w:rsidP="00C247FD">
      <w:pPr>
        <w:numPr>
          <w:ilvl w:val="0"/>
          <w:numId w:val="27"/>
        </w:numPr>
        <w:rPr>
          <w:b/>
        </w:rPr>
      </w:pPr>
      <w:r>
        <w:rPr>
          <w:lang w:eastAsia="en-US"/>
        </w:rPr>
        <w:t>Luutiheduse uuring</w:t>
      </w:r>
      <w:r w:rsidR="00EF67FB">
        <w:rPr>
          <w:lang w:eastAsia="en-US"/>
        </w:rPr>
        <w:t xml:space="preserve"> oleks soovitatav</w:t>
      </w:r>
      <w:r>
        <w:rPr>
          <w:lang w:eastAsia="en-US"/>
        </w:rPr>
        <w:t xml:space="preserve"> kõikidele patsientidele 2 aasta möödudes operatsioonist.</w:t>
      </w:r>
    </w:p>
    <w:sectPr w:rsidR="002A57B9" w:rsidRPr="000B7A5C" w:rsidSect="00042FF2">
      <w:head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FAD" w:rsidRDefault="00C92FAD" w:rsidP="00042FF2">
      <w:r>
        <w:separator/>
      </w:r>
    </w:p>
  </w:endnote>
  <w:endnote w:type="continuationSeparator" w:id="1">
    <w:p w:rsidR="00C92FAD" w:rsidRDefault="00C92FAD" w:rsidP="0004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SFU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ARAD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dvTTc9c3bd71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8E8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FAD" w:rsidRDefault="00C92FAD" w:rsidP="00042FF2">
      <w:r>
        <w:separator/>
      </w:r>
    </w:p>
  </w:footnote>
  <w:footnote w:type="continuationSeparator" w:id="1">
    <w:p w:rsidR="00C92FAD" w:rsidRDefault="00C92FAD" w:rsidP="00042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FF2" w:rsidRDefault="00042FF2">
    <w:pPr>
      <w:pStyle w:val="Header"/>
    </w:pPr>
    <w:r>
      <w:t>[Type text]</w:t>
    </w:r>
  </w:p>
  <w:p w:rsidR="00042FF2" w:rsidRDefault="00042F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FF2" w:rsidRDefault="00042FF2">
    <w:pPr>
      <w:pStyle w:val="Header"/>
    </w:pPr>
    <w:r>
      <w:t>Tõendusmaterjali kokkuvõte</w:t>
    </w:r>
    <w:r w:rsidR="000C3547">
      <w:t xml:space="preserve"> - EvSu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2"/>
    <w:multiLevelType w:val="hybridMultilevel"/>
    <w:tmpl w:val="6FEACDF4"/>
    <w:lvl w:ilvl="0" w:tplc="E42CFD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0344B"/>
    <w:multiLevelType w:val="hybridMultilevel"/>
    <w:tmpl w:val="CC1E1A86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B4E87"/>
    <w:multiLevelType w:val="hybridMultilevel"/>
    <w:tmpl w:val="6A56C87E"/>
    <w:lvl w:ilvl="0" w:tplc="5C2A4332">
      <w:start w:val="1"/>
      <w:numFmt w:val="decimal"/>
      <w:lvlText w:val="%1."/>
      <w:lvlJc w:val="left"/>
      <w:pPr>
        <w:ind w:left="720" w:hanging="360"/>
      </w:pPr>
      <w:rPr>
        <w:rFonts w:ascii="AdvPSFUW" w:hAnsi="AdvPSFUW" w:cs="AdvPSFUW" w:hint="default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67BC6"/>
    <w:multiLevelType w:val="hybridMultilevel"/>
    <w:tmpl w:val="F3C8CBC6"/>
    <w:lvl w:ilvl="0" w:tplc="DCF67F5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93B32"/>
    <w:multiLevelType w:val="hybridMultilevel"/>
    <w:tmpl w:val="807EEE5E"/>
    <w:lvl w:ilvl="0" w:tplc="60307846">
      <w:start w:val="4"/>
      <w:numFmt w:val="bullet"/>
      <w:lvlText w:val="-"/>
      <w:lvlJc w:val="left"/>
      <w:pPr>
        <w:ind w:left="720" w:hanging="360"/>
      </w:pPr>
      <w:rPr>
        <w:rFonts w:ascii="AdvPSSAB-R" w:eastAsia="Times New Roman" w:hAnsi="AdvPSSAB-R" w:cs="AdvPSSAB-R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65043"/>
    <w:multiLevelType w:val="hybridMultilevel"/>
    <w:tmpl w:val="207EC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C0580"/>
    <w:multiLevelType w:val="hybridMultilevel"/>
    <w:tmpl w:val="E3C47298"/>
    <w:lvl w:ilvl="0" w:tplc="ED044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C9564E"/>
    <w:multiLevelType w:val="hybridMultilevel"/>
    <w:tmpl w:val="CC54653A"/>
    <w:lvl w:ilvl="0" w:tplc="590A5B38">
      <w:numFmt w:val="bullet"/>
      <w:lvlText w:val="-"/>
      <w:lvlJc w:val="left"/>
      <w:pPr>
        <w:ind w:left="420" w:hanging="360"/>
      </w:pPr>
      <w:rPr>
        <w:rFonts w:ascii="Verdana" w:eastAsia="Times New Roman" w:hAnsi="Verdana" w:cs="ArialMT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84C760E"/>
    <w:multiLevelType w:val="hybridMultilevel"/>
    <w:tmpl w:val="AD3202CE"/>
    <w:lvl w:ilvl="0" w:tplc="FBBAC2AA">
      <w:start w:val="1252"/>
      <w:numFmt w:val="bullet"/>
      <w:lvlText w:val="-"/>
      <w:lvlJc w:val="left"/>
      <w:pPr>
        <w:ind w:left="720" w:hanging="360"/>
      </w:pPr>
      <w:rPr>
        <w:rFonts w:ascii="AdvGARAD-R" w:eastAsia="Times New Roman" w:hAnsi="AdvGARAD-R" w:cs="AdvGARAD-R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B54BA"/>
    <w:multiLevelType w:val="hybridMultilevel"/>
    <w:tmpl w:val="04FC88B2"/>
    <w:lvl w:ilvl="0" w:tplc="BFB2A2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61AE"/>
    <w:multiLevelType w:val="hybridMultilevel"/>
    <w:tmpl w:val="59324DEA"/>
    <w:lvl w:ilvl="0" w:tplc="0B68D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C5BFE"/>
    <w:multiLevelType w:val="hybridMultilevel"/>
    <w:tmpl w:val="D1E6DF96"/>
    <w:lvl w:ilvl="0" w:tplc="05029F9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B2F04"/>
    <w:multiLevelType w:val="hybridMultilevel"/>
    <w:tmpl w:val="CC5441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53D9C"/>
    <w:multiLevelType w:val="hybridMultilevel"/>
    <w:tmpl w:val="90D85272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82C2F46"/>
    <w:multiLevelType w:val="hybridMultilevel"/>
    <w:tmpl w:val="67A6BBF4"/>
    <w:lvl w:ilvl="0" w:tplc="0B68D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118F6"/>
    <w:multiLevelType w:val="hybridMultilevel"/>
    <w:tmpl w:val="12F20F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B8A"/>
    <w:multiLevelType w:val="hybridMultilevel"/>
    <w:tmpl w:val="E1F6608A"/>
    <w:lvl w:ilvl="0" w:tplc="34C49D60">
      <w:start w:val="1252"/>
      <w:numFmt w:val="bullet"/>
      <w:lvlText w:val="-"/>
      <w:lvlJc w:val="left"/>
      <w:pPr>
        <w:ind w:left="720" w:hanging="360"/>
      </w:pPr>
      <w:rPr>
        <w:rFonts w:ascii="AdvGARAD-R" w:eastAsia="Times New Roman" w:hAnsi="AdvGARAD-R" w:cs="AdvGARAD-R" w:hint="default"/>
        <w:sz w:val="1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6C070C"/>
    <w:multiLevelType w:val="hybridMultilevel"/>
    <w:tmpl w:val="18E6B2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111BC"/>
    <w:multiLevelType w:val="hybridMultilevel"/>
    <w:tmpl w:val="62EC6EFC"/>
    <w:lvl w:ilvl="0" w:tplc="E98094D0">
      <w:start w:val="4"/>
      <w:numFmt w:val="bullet"/>
      <w:lvlText w:val="-"/>
      <w:lvlJc w:val="left"/>
      <w:pPr>
        <w:ind w:left="720" w:hanging="360"/>
      </w:pPr>
      <w:rPr>
        <w:rFonts w:ascii="AdvPSSAB-R" w:eastAsia="Times New Roman" w:hAnsi="AdvPSSAB-R" w:cs="AdvPSSAB-R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E587B"/>
    <w:multiLevelType w:val="hybridMultilevel"/>
    <w:tmpl w:val="7814F718"/>
    <w:lvl w:ilvl="0" w:tplc="AB7A1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67B00"/>
    <w:multiLevelType w:val="hybridMultilevel"/>
    <w:tmpl w:val="7436DC84"/>
    <w:lvl w:ilvl="0" w:tplc="A1D02A1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  <w:lvlOverride w:ilvl="0">
      <w:startOverride w:val="30"/>
    </w:lvlOverride>
  </w:num>
  <w:num w:numId="4">
    <w:abstractNumId w:val="4"/>
    <w:lvlOverride w:ilvl="0">
      <w:startOverride w:val="31"/>
    </w:lvlOverride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"/>
  </w:num>
  <w:num w:numId="10">
    <w:abstractNumId w:val="23"/>
  </w:num>
  <w:num w:numId="11">
    <w:abstractNumId w:val="6"/>
  </w:num>
  <w:num w:numId="12">
    <w:abstractNumId w:val="21"/>
  </w:num>
  <w:num w:numId="13">
    <w:abstractNumId w:val="1"/>
  </w:num>
  <w:num w:numId="14">
    <w:abstractNumId w:val="0"/>
  </w:num>
  <w:num w:numId="15">
    <w:abstractNumId w:val="16"/>
  </w:num>
  <w:num w:numId="16">
    <w:abstractNumId w:val="25"/>
  </w:num>
  <w:num w:numId="17">
    <w:abstractNumId w:val="14"/>
  </w:num>
  <w:num w:numId="18">
    <w:abstractNumId w:val="8"/>
  </w:num>
  <w:num w:numId="19">
    <w:abstractNumId w:val="24"/>
  </w:num>
  <w:num w:numId="20">
    <w:abstractNumId w:val="3"/>
  </w:num>
  <w:num w:numId="21">
    <w:abstractNumId w:val="17"/>
  </w:num>
  <w:num w:numId="22">
    <w:abstractNumId w:val="13"/>
  </w:num>
  <w:num w:numId="23">
    <w:abstractNumId w:val="22"/>
  </w:num>
  <w:num w:numId="24">
    <w:abstractNumId w:val="18"/>
  </w:num>
  <w:num w:numId="25">
    <w:abstractNumId w:val="15"/>
  </w:num>
  <w:num w:numId="26">
    <w:abstractNumId w:val="1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CDE"/>
    <w:rsid w:val="00000097"/>
    <w:rsid w:val="0000060E"/>
    <w:rsid w:val="00000764"/>
    <w:rsid w:val="00000BF8"/>
    <w:rsid w:val="00000FA7"/>
    <w:rsid w:val="000016B9"/>
    <w:rsid w:val="00001C52"/>
    <w:rsid w:val="00001CCE"/>
    <w:rsid w:val="00002146"/>
    <w:rsid w:val="00002234"/>
    <w:rsid w:val="00002273"/>
    <w:rsid w:val="00002CA6"/>
    <w:rsid w:val="00003415"/>
    <w:rsid w:val="00003BB1"/>
    <w:rsid w:val="00005947"/>
    <w:rsid w:val="000059B2"/>
    <w:rsid w:val="00006685"/>
    <w:rsid w:val="0000743C"/>
    <w:rsid w:val="0000751E"/>
    <w:rsid w:val="00007540"/>
    <w:rsid w:val="00007FA9"/>
    <w:rsid w:val="00010083"/>
    <w:rsid w:val="0001121A"/>
    <w:rsid w:val="00011A30"/>
    <w:rsid w:val="00012BC6"/>
    <w:rsid w:val="000135ED"/>
    <w:rsid w:val="00014B22"/>
    <w:rsid w:val="00014BB0"/>
    <w:rsid w:val="000151F7"/>
    <w:rsid w:val="00015D0F"/>
    <w:rsid w:val="0001666D"/>
    <w:rsid w:val="0001777F"/>
    <w:rsid w:val="00017EA2"/>
    <w:rsid w:val="0002234B"/>
    <w:rsid w:val="00022D36"/>
    <w:rsid w:val="0002331C"/>
    <w:rsid w:val="00023384"/>
    <w:rsid w:val="000241F7"/>
    <w:rsid w:val="0002432C"/>
    <w:rsid w:val="0002452F"/>
    <w:rsid w:val="00025A92"/>
    <w:rsid w:val="00025ECD"/>
    <w:rsid w:val="0002609B"/>
    <w:rsid w:val="00026777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2FF2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4021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6254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3A1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EB1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3EFB"/>
    <w:rsid w:val="00095479"/>
    <w:rsid w:val="00095A89"/>
    <w:rsid w:val="00095D5C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27E9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CA3"/>
    <w:rsid w:val="000B1172"/>
    <w:rsid w:val="000B2511"/>
    <w:rsid w:val="000B25A2"/>
    <w:rsid w:val="000B297D"/>
    <w:rsid w:val="000B2D59"/>
    <w:rsid w:val="000B3A63"/>
    <w:rsid w:val="000B3F52"/>
    <w:rsid w:val="000B457C"/>
    <w:rsid w:val="000B49CE"/>
    <w:rsid w:val="000B4C92"/>
    <w:rsid w:val="000B5228"/>
    <w:rsid w:val="000B576F"/>
    <w:rsid w:val="000B6E56"/>
    <w:rsid w:val="000B74F4"/>
    <w:rsid w:val="000B7A5C"/>
    <w:rsid w:val="000C04ED"/>
    <w:rsid w:val="000C0953"/>
    <w:rsid w:val="000C1341"/>
    <w:rsid w:val="000C174B"/>
    <w:rsid w:val="000C1A39"/>
    <w:rsid w:val="000C1A80"/>
    <w:rsid w:val="000C1BE1"/>
    <w:rsid w:val="000C1E8C"/>
    <w:rsid w:val="000C2276"/>
    <w:rsid w:val="000C227C"/>
    <w:rsid w:val="000C32B5"/>
    <w:rsid w:val="000C3547"/>
    <w:rsid w:val="000C4235"/>
    <w:rsid w:val="000C431A"/>
    <w:rsid w:val="000C51F1"/>
    <w:rsid w:val="000C5D52"/>
    <w:rsid w:val="000C7B7A"/>
    <w:rsid w:val="000C7DAE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DF8"/>
    <w:rsid w:val="001343D0"/>
    <w:rsid w:val="00134EFF"/>
    <w:rsid w:val="0013545D"/>
    <w:rsid w:val="00136991"/>
    <w:rsid w:val="00136B50"/>
    <w:rsid w:val="00136DD4"/>
    <w:rsid w:val="001407F5"/>
    <w:rsid w:val="00141327"/>
    <w:rsid w:val="0014137E"/>
    <w:rsid w:val="00141671"/>
    <w:rsid w:val="0014260B"/>
    <w:rsid w:val="0014373A"/>
    <w:rsid w:val="00144109"/>
    <w:rsid w:val="001441BA"/>
    <w:rsid w:val="001445F3"/>
    <w:rsid w:val="00144B9E"/>
    <w:rsid w:val="00144E97"/>
    <w:rsid w:val="00145AFC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2B4"/>
    <w:rsid w:val="0015337B"/>
    <w:rsid w:val="00153BC0"/>
    <w:rsid w:val="001541CD"/>
    <w:rsid w:val="00154241"/>
    <w:rsid w:val="0015446F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AEE"/>
    <w:rsid w:val="00160C48"/>
    <w:rsid w:val="001614BF"/>
    <w:rsid w:val="0016191C"/>
    <w:rsid w:val="00162FEF"/>
    <w:rsid w:val="00163701"/>
    <w:rsid w:val="001639A1"/>
    <w:rsid w:val="00164483"/>
    <w:rsid w:val="00164634"/>
    <w:rsid w:val="001648F0"/>
    <w:rsid w:val="00164C33"/>
    <w:rsid w:val="00164EB4"/>
    <w:rsid w:val="001650C8"/>
    <w:rsid w:val="00165A4E"/>
    <w:rsid w:val="00165D18"/>
    <w:rsid w:val="001664AD"/>
    <w:rsid w:val="001669D3"/>
    <w:rsid w:val="0016732C"/>
    <w:rsid w:val="001675E0"/>
    <w:rsid w:val="00167E94"/>
    <w:rsid w:val="00170CD3"/>
    <w:rsid w:val="00171532"/>
    <w:rsid w:val="00171633"/>
    <w:rsid w:val="001719C5"/>
    <w:rsid w:val="00171E18"/>
    <w:rsid w:val="00172AC8"/>
    <w:rsid w:val="00172EFA"/>
    <w:rsid w:val="001733F5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69D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3C28"/>
    <w:rsid w:val="00194358"/>
    <w:rsid w:val="00194589"/>
    <w:rsid w:val="001947DC"/>
    <w:rsid w:val="001957A8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71E"/>
    <w:rsid w:val="001A7912"/>
    <w:rsid w:val="001A7D2C"/>
    <w:rsid w:val="001A7F77"/>
    <w:rsid w:val="001B08C5"/>
    <w:rsid w:val="001B1F6D"/>
    <w:rsid w:val="001B21EA"/>
    <w:rsid w:val="001B2637"/>
    <w:rsid w:val="001B369F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47FB"/>
    <w:rsid w:val="001D4835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2DD2"/>
    <w:rsid w:val="00203323"/>
    <w:rsid w:val="00203376"/>
    <w:rsid w:val="00203A0F"/>
    <w:rsid w:val="00204A47"/>
    <w:rsid w:val="00204CFC"/>
    <w:rsid w:val="00204EA4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696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E41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06C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3BF"/>
    <w:rsid w:val="00230495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58B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1F86"/>
    <w:rsid w:val="0025280E"/>
    <w:rsid w:val="00253250"/>
    <w:rsid w:val="00253EF3"/>
    <w:rsid w:val="00253F7A"/>
    <w:rsid w:val="002541F9"/>
    <w:rsid w:val="002548FB"/>
    <w:rsid w:val="00254A9A"/>
    <w:rsid w:val="00255397"/>
    <w:rsid w:val="00255A1C"/>
    <w:rsid w:val="00255A8A"/>
    <w:rsid w:val="00255DA0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2E33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571C"/>
    <w:rsid w:val="002A57B9"/>
    <w:rsid w:val="002A6880"/>
    <w:rsid w:val="002A73F6"/>
    <w:rsid w:val="002A774D"/>
    <w:rsid w:val="002A7F83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0D1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5A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B70"/>
    <w:rsid w:val="002F1CC1"/>
    <w:rsid w:val="002F1DB7"/>
    <w:rsid w:val="002F1DC9"/>
    <w:rsid w:val="002F288D"/>
    <w:rsid w:val="002F2E78"/>
    <w:rsid w:val="002F36B4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884"/>
    <w:rsid w:val="002F7F7A"/>
    <w:rsid w:val="003001A0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E53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4F79"/>
    <w:rsid w:val="0030546E"/>
    <w:rsid w:val="00305592"/>
    <w:rsid w:val="00307208"/>
    <w:rsid w:val="003078FF"/>
    <w:rsid w:val="003079F3"/>
    <w:rsid w:val="003106F1"/>
    <w:rsid w:val="0031071A"/>
    <w:rsid w:val="00310EB1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0EA5"/>
    <w:rsid w:val="003211FC"/>
    <w:rsid w:val="003220DA"/>
    <w:rsid w:val="003221C7"/>
    <w:rsid w:val="003228AA"/>
    <w:rsid w:val="00323C85"/>
    <w:rsid w:val="003245B0"/>
    <w:rsid w:val="00324819"/>
    <w:rsid w:val="0032548D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B8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0F7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5FC"/>
    <w:rsid w:val="003736DE"/>
    <w:rsid w:val="003739D9"/>
    <w:rsid w:val="00373B11"/>
    <w:rsid w:val="00373CB7"/>
    <w:rsid w:val="003740A1"/>
    <w:rsid w:val="00374FB2"/>
    <w:rsid w:val="003751E0"/>
    <w:rsid w:val="0037561B"/>
    <w:rsid w:val="00375CD4"/>
    <w:rsid w:val="00376A1E"/>
    <w:rsid w:val="00377A70"/>
    <w:rsid w:val="00380DBE"/>
    <w:rsid w:val="00380E2F"/>
    <w:rsid w:val="00381414"/>
    <w:rsid w:val="003827F4"/>
    <w:rsid w:val="00382A28"/>
    <w:rsid w:val="003844DA"/>
    <w:rsid w:val="00384A54"/>
    <w:rsid w:val="00384B41"/>
    <w:rsid w:val="00385243"/>
    <w:rsid w:val="00385C51"/>
    <w:rsid w:val="00385EA2"/>
    <w:rsid w:val="003860B9"/>
    <w:rsid w:val="00387029"/>
    <w:rsid w:val="0038727B"/>
    <w:rsid w:val="00387AF2"/>
    <w:rsid w:val="00387D11"/>
    <w:rsid w:val="00390D93"/>
    <w:rsid w:val="00391810"/>
    <w:rsid w:val="003919A8"/>
    <w:rsid w:val="00391DB9"/>
    <w:rsid w:val="003938F5"/>
    <w:rsid w:val="00393C78"/>
    <w:rsid w:val="00393EA1"/>
    <w:rsid w:val="0039410B"/>
    <w:rsid w:val="003952C1"/>
    <w:rsid w:val="003958F1"/>
    <w:rsid w:val="00395A4B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65D"/>
    <w:rsid w:val="003A2B1C"/>
    <w:rsid w:val="003A3034"/>
    <w:rsid w:val="003A32BD"/>
    <w:rsid w:val="003A3CFD"/>
    <w:rsid w:val="003A4FDD"/>
    <w:rsid w:val="003A552E"/>
    <w:rsid w:val="003A5CFA"/>
    <w:rsid w:val="003A7123"/>
    <w:rsid w:val="003A75B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E7F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B67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6F02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A30"/>
    <w:rsid w:val="00403C18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4DAF"/>
    <w:rsid w:val="00425BEF"/>
    <w:rsid w:val="00425C80"/>
    <w:rsid w:val="00426158"/>
    <w:rsid w:val="004264A1"/>
    <w:rsid w:val="00426508"/>
    <w:rsid w:val="004271FA"/>
    <w:rsid w:val="0042796D"/>
    <w:rsid w:val="0043029A"/>
    <w:rsid w:val="00431361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0DC7"/>
    <w:rsid w:val="0044101D"/>
    <w:rsid w:val="00441439"/>
    <w:rsid w:val="0044193F"/>
    <w:rsid w:val="00442A57"/>
    <w:rsid w:val="00442C4F"/>
    <w:rsid w:val="0044447F"/>
    <w:rsid w:val="004444A3"/>
    <w:rsid w:val="004445A1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10D5"/>
    <w:rsid w:val="00452078"/>
    <w:rsid w:val="004523DA"/>
    <w:rsid w:val="00453500"/>
    <w:rsid w:val="00453FB2"/>
    <w:rsid w:val="004542D7"/>
    <w:rsid w:val="0045444E"/>
    <w:rsid w:val="004546F6"/>
    <w:rsid w:val="00454880"/>
    <w:rsid w:val="00455612"/>
    <w:rsid w:val="00455717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2D"/>
    <w:rsid w:val="00463E30"/>
    <w:rsid w:val="0046476B"/>
    <w:rsid w:val="00465216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65E5"/>
    <w:rsid w:val="00477403"/>
    <w:rsid w:val="0047792B"/>
    <w:rsid w:val="00480289"/>
    <w:rsid w:val="004807D8"/>
    <w:rsid w:val="00480B40"/>
    <w:rsid w:val="00482363"/>
    <w:rsid w:val="0048258F"/>
    <w:rsid w:val="00482742"/>
    <w:rsid w:val="00482F29"/>
    <w:rsid w:val="00483423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32B6"/>
    <w:rsid w:val="004938DB"/>
    <w:rsid w:val="00493FFA"/>
    <w:rsid w:val="004944C6"/>
    <w:rsid w:val="004948C9"/>
    <w:rsid w:val="00494EF9"/>
    <w:rsid w:val="00494FDF"/>
    <w:rsid w:val="00495054"/>
    <w:rsid w:val="004954CD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4A5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1CAC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91D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2B74"/>
    <w:rsid w:val="004F3347"/>
    <w:rsid w:val="004F3394"/>
    <w:rsid w:val="004F3A75"/>
    <w:rsid w:val="004F3F23"/>
    <w:rsid w:val="004F4F99"/>
    <w:rsid w:val="004F50C9"/>
    <w:rsid w:val="004F5AEE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0F53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6BED"/>
    <w:rsid w:val="005271D5"/>
    <w:rsid w:val="005273D5"/>
    <w:rsid w:val="005279A1"/>
    <w:rsid w:val="00527CBE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262"/>
    <w:rsid w:val="00535454"/>
    <w:rsid w:val="00535627"/>
    <w:rsid w:val="00536EEC"/>
    <w:rsid w:val="005372CF"/>
    <w:rsid w:val="005373E3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0CA2"/>
    <w:rsid w:val="005512BB"/>
    <w:rsid w:val="00552211"/>
    <w:rsid w:val="005523E3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5A81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4E3"/>
    <w:rsid w:val="00566977"/>
    <w:rsid w:val="00566A60"/>
    <w:rsid w:val="00566AC9"/>
    <w:rsid w:val="00570A20"/>
    <w:rsid w:val="00570CD1"/>
    <w:rsid w:val="00570F5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04F"/>
    <w:rsid w:val="00581360"/>
    <w:rsid w:val="0058159B"/>
    <w:rsid w:val="00581A30"/>
    <w:rsid w:val="005820D1"/>
    <w:rsid w:val="005822DF"/>
    <w:rsid w:val="005827F3"/>
    <w:rsid w:val="005832F8"/>
    <w:rsid w:val="00583CEC"/>
    <w:rsid w:val="005841F3"/>
    <w:rsid w:val="0058531B"/>
    <w:rsid w:val="00585A78"/>
    <w:rsid w:val="00586785"/>
    <w:rsid w:val="0058694B"/>
    <w:rsid w:val="00587F65"/>
    <w:rsid w:val="005910F9"/>
    <w:rsid w:val="00591736"/>
    <w:rsid w:val="00591BB5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698"/>
    <w:rsid w:val="00596B71"/>
    <w:rsid w:val="0059705C"/>
    <w:rsid w:val="00597095"/>
    <w:rsid w:val="00597451"/>
    <w:rsid w:val="0059799A"/>
    <w:rsid w:val="00597EE8"/>
    <w:rsid w:val="00597FB4"/>
    <w:rsid w:val="005A0499"/>
    <w:rsid w:val="005A06FB"/>
    <w:rsid w:val="005A124B"/>
    <w:rsid w:val="005A2C69"/>
    <w:rsid w:val="005A313A"/>
    <w:rsid w:val="005A3D02"/>
    <w:rsid w:val="005A464F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28AB"/>
    <w:rsid w:val="005B403D"/>
    <w:rsid w:val="005B44AF"/>
    <w:rsid w:val="005B4944"/>
    <w:rsid w:val="005B53A1"/>
    <w:rsid w:val="005B5534"/>
    <w:rsid w:val="005B5AA4"/>
    <w:rsid w:val="005B60BA"/>
    <w:rsid w:val="005B6979"/>
    <w:rsid w:val="005B6E4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3BFB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0E0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27807"/>
    <w:rsid w:val="00630058"/>
    <w:rsid w:val="0063069D"/>
    <w:rsid w:val="00630885"/>
    <w:rsid w:val="00630C8D"/>
    <w:rsid w:val="0063112A"/>
    <w:rsid w:val="006315EB"/>
    <w:rsid w:val="0063179D"/>
    <w:rsid w:val="00632689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EB3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BB2"/>
    <w:rsid w:val="00690C47"/>
    <w:rsid w:val="00691A60"/>
    <w:rsid w:val="00691F67"/>
    <w:rsid w:val="00693468"/>
    <w:rsid w:val="00693607"/>
    <w:rsid w:val="00693DAF"/>
    <w:rsid w:val="00693DB7"/>
    <w:rsid w:val="00694FCB"/>
    <w:rsid w:val="00695596"/>
    <w:rsid w:val="006955F3"/>
    <w:rsid w:val="006958E6"/>
    <w:rsid w:val="006960C9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67A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3C31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B88"/>
    <w:rsid w:val="006D3DBC"/>
    <w:rsid w:val="006D3F6F"/>
    <w:rsid w:val="006D482A"/>
    <w:rsid w:val="006D4A07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1F6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6DA9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BDA"/>
    <w:rsid w:val="00712C30"/>
    <w:rsid w:val="00712ED1"/>
    <w:rsid w:val="0071306B"/>
    <w:rsid w:val="007134EF"/>
    <w:rsid w:val="00713970"/>
    <w:rsid w:val="007141C7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CEA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4A58"/>
    <w:rsid w:val="00735677"/>
    <w:rsid w:val="007358C1"/>
    <w:rsid w:val="00735A2E"/>
    <w:rsid w:val="00735A59"/>
    <w:rsid w:val="00736678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08C"/>
    <w:rsid w:val="00742C9F"/>
    <w:rsid w:val="00742F87"/>
    <w:rsid w:val="00743427"/>
    <w:rsid w:val="0074393C"/>
    <w:rsid w:val="00743B35"/>
    <w:rsid w:val="0074420A"/>
    <w:rsid w:val="00744245"/>
    <w:rsid w:val="00745E33"/>
    <w:rsid w:val="00746818"/>
    <w:rsid w:val="00746B2F"/>
    <w:rsid w:val="00746CC3"/>
    <w:rsid w:val="0075054E"/>
    <w:rsid w:val="00750A4E"/>
    <w:rsid w:val="00753511"/>
    <w:rsid w:val="00753B37"/>
    <w:rsid w:val="00753BE7"/>
    <w:rsid w:val="00754AEB"/>
    <w:rsid w:val="007550B0"/>
    <w:rsid w:val="00755AD5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ABB"/>
    <w:rsid w:val="00774B63"/>
    <w:rsid w:val="00776CCE"/>
    <w:rsid w:val="0077740B"/>
    <w:rsid w:val="00777434"/>
    <w:rsid w:val="00777F30"/>
    <w:rsid w:val="007801EE"/>
    <w:rsid w:val="0078060B"/>
    <w:rsid w:val="00780735"/>
    <w:rsid w:val="0078119D"/>
    <w:rsid w:val="007811F7"/>
    <w:rsid w:val="007825D0"/>
    <w:rsid w:val="00782C5A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A47"/>
    <w:rsid w:val="00790BF2"/>
    <w:rsid w:val="00790EF5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4E3"/>
    <w:rsid w:val="007977A8"/>
    <w:rsid w:val="00797AA4"/>
    <w:rsid w:val="00797B19"/>
    <w:rsid w:val="00797E77"/>
    <w:rsid w:val="007A09BD"/>
    <w:rsid w:val="007A0FAC"/>
    <w:rsid w:val="007A18E6"/>
    <w:rsid w:val="007A26C5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1EF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12C"/>
    <w:rsid w:val="0081098F"/>
    <w:rsid w:val="00810D30"/>
    <w:rsid w:val="00810EFE"/>
    <w:rsid w:val="0081182E"/>
    <w:rsid w:val="00812516"/>
    <w:rsid w:val="00813378"/>
    <w:rsid w:val="00813A68"/>
    <w:rsid w:val="00814E25"/>
    <w:rsid w:val="008153C9"/>
    <w:rsid w:val="0081597D"/>
    <w:rsid w:val="00815E0C"/>
    <w:rsid w:val="00816DB0"/>
    <w:rsid w:val="0081714E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C72"/>
    <w:rsid w:val="00824F48"/>
    <w:rsid w:val="008254C0"/>
    <w:rsid w:val="00825DE7"/>
    <w:rsid w:val="00826303"/>
    <w:rsid w:val="00826711"/>
    <w:rsid w:val="008276E6"/>
    <w:rsid w:val="00830042"/>
    <w:rsid w:val="00830E88"/>
    <w:rsid w:val="00830F5A"/>
    <w:rsid w:val="008312BC"/>
    <w:rsid w:val="00831339"/>
    <w:rsid w:val="00832625"/>
    <w:rsid w:val="0083278F"/>
    <w:rsid w:val="008328E1"/>
    <w:rsid w:val="00832974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D4F"/>
    <w:rsid w:val="00842ED1"/>
    <w:rsid w:val="00843140"/>
    <w:rsid w:val="00843379"/>
    <w:rsid w:val="0084437A"/>
    <w:rsid w:val="00844788"/>
    <w:rsid w:val="00844982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3B1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D66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144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1C46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C98"/>
    <w:rsid w:val="008E3E4F"/>
    <w:rsid w:val="008E434F"/>
    <w:rsid w:val="008E44C5"/>
    <w:rsid w:val="008E529D"/>
    <w:rsid w:val="008E5B2C"/>
    <w:rsid w:val="008E5F7E"/>
    <w:rsid w:val="008E64A9"/>
    <w:rsid w:val="008E682D"/>
    <w:rsid w:val="008E6ADE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3FF7"/>
    <w:rsid w:val="0090469B"/>
    <w:rsid w:val="00905587"/>
    <w:rsid w:val="009056FD"/>
    <w:rsid w:val="00905D7F"/>
    <w:rsid w:val="00905DFE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6A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7F6"/>
    <w:rsid w:val="009239A2"/>
    <w:rsid w:val="00923D5A"/>
    <w:rsid w:val="00924312"/>
    <w:rsid w:val="0092459F"/>
    <w:rsid w:val="0092480A"/>
    <w:rsid w:val="00924DEF"/>
    <w:rsid w:val="00925104"/>
    <w:rsid w:val="0092551F"/>
    <w:rsid w:val="00926558"/>
    <w:rsid w:val="009268A2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15E9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32E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4CD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6575"/>
    <w:rsid w:val="0098742A"/>
    <w:rsid w:val="0098768E"/>
    <w:rsid w:val="00987F19"/>
    <w:rsid w:val="009900FE"/>
    <w:rsid w:val="00990C2F"/>
    <w:rsid w:val="0099128D"/>
    <w:rsid w:val="00991F03"/>
    <w:rsid w:val="009947A7"/>
    <w:rsid w:val="00994C18"/>
    <w:rsid w:val="00994D88"/>
    <w:rsid w:val="00995782"/>
    <w:rsid w:val="009959CC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2CE7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3DEF"/>
    <w:rsid w:val="009C46DF"/>
    <w:rsid w:val="009C4792"/>
    <w:rsid w:val="009C53F8"/>
    <w:rsid w:val="009C5A7C"/>
    <w:rsid w:val="009C6166"/>
    <w:rsid w:val="009C69A6"/>
    <w:rsid w:val="009C7B93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4BF0"/>
    <w:rsid w:val="009D594C"/>
    <w:rsid w:val="009D5A44"/>
    <w:rsid w:val="009D6057"/>
    <w:rsid w:val="009D63DC"/>
    <w:rsid w:val="009D6A34"/>
    <w:rsid w:val="009D76A4"/>
    <w:rsid w:val="009D7C6C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4FF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9F7F02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2DC"/>
    <w:rsid w:val="00A07637"/>
    <w:rsid w:val="00A07B7B"/>
    <w:rsid w:val="00A07C9C"/>
    <w:rsid w:val="00A07DDE"/>
    <w:rsid w:val="00A10D82"/>
    <w:rsid w:val="00A11193"/>
    <w:rsid w:val="00A11EB0"/>
    <w:rsid w:val="00A1217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1A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4E6B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4EF8"/>
    <w:rsid w:val="00A451C5"/>
    <w:rsid w:val="00A4586E"/>
    <w:rsid w:val="00A46813"/>
    <w:rsid w:val="00A46B51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497C"/>
    <w:rsid w:val="00A5534C"/>
    <w:rsid w:val="00A554F1"/>
    <w:rsid w:val="00A55F70"/>
    <w:rsid w:val="00A5639E"/>
    <w:rsid w:val="00A56518"/>
    <w:rsid w:val="00A57815"/>
    <w:rsid w:val="00A6076A"/>
    <w:rsid w:val="00A6108C"/>
    <w:rsid w:val="00A6119F"/>
    <w:rsid w:val="00A61A43"/>
    <w:rsid w:val="00A61B1E"/>
    <w:rsid w:val="00A6201F"/>
    <w:rsid w:val="00A62240"/>
    <w:rsid w:val="00A62273"/>
    <w:rsid w:val="00A63619"/>
    <w:rsid w:val="00A63A22"/>
    <w:rsid w:val="00A64731"/>
    <w:rsid w:val="00A64AB3"/>
    <w:rsid w:val="00A64FF3"/>
    <w:rsid w:val="00A65B6F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414"/>
    <w:rsid w:val="00A917CD"/>
    <w:rsid w:val="00A91E40"/>
    <w:rsid w:val="00A91EF3"/>
    <w:rsid w:val="00A91FF3"/>
    <w:rsid w:val="00A92020"/>
    <w:rsid w:val="00A92AA5"/>
    <w:rsid w:val="00A92AFF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6F0B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1B4"/>
    <w:rsid w:val="00AC06DD"/>
    <w:rsid w:val="00AC09D6"/>
    <w:rsid w:val="00AC0C3B"/>
    <w:rsid w:val="00AC1C81"/>
    <w:rsid w:val="00AC20EE"/>
    <w:rsid w:val="00AC2528"/>
    <w:rsid w:val="00AC28A1"/>
    <w:rsid w:val="00AC2E0B"/>
    <w:rsid w:val="00AC2F0F"/>
    <w:rsid w:val="00AC3B49"/>
    <w:rsid w:val="00AC3BCF"/>
    <w:rsid w:val="00AC5848"/>
    <w:rsid w:val="00AC65EA"/>
    <w:rsid w:val="00AC696C"/>
    <w:rsid w:val="00AC6BE9"/>
    <w:rsid w:val="00AC6ECB"/>
    <w:rsid w:val="00AC7662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0C7"/>
    <w:rsid w:val="00AE43D1"/>
    <w:rsid w:val="00AE4A0A"/>
    <w:rsid w:val="00AE57DE"/>
    <w:rsid w:val="00AE5BAB"/>
    <w:rsid w:val="00AE604E"/>
    <w:rsid w:val="00AE69BB"/>
    <w:rsid w:val="00AE6BEE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7A0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3F1A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175EE"/>
    <w:rsid w:val="00B20492"/>
    <w:rsid w:val="00B209AC"/>
    <w:rsid w:val="00B21D26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342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3FBC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0BC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3DA1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527"/>
    <w:rsid w:val="00B92639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42E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8BD"/>
    <w:rsid w:val="00BC1948"/>
    <w:rsid w:val="00BC2A3C"/>
    <w:rsid w:val="00BC3943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4870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244"/>
    <w:rsid w:val="00C00556"/>
    <w:rsid w:val="00C010D9"/>
    <w:rsid w:val="00C0226F"/>
    <w:rsid w:val="00C0247A"/>
    <w:rsid w:val="00C03543"/>
    <w:rsid w:val="00C041E2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3F85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7FD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36438"/>
    <w:rsid w:val="00C37A96"/>
    <w:rsid w:val="00C405DA"/>
    <w:rsid w:val="00C4160D"/>
    <w:rsid w:val="00C4189E"/>
    <w:rsid w:val="00C4193B"/>
    <w:rsid w:val="00C42386"/>
    <w:rsid w:val="00C4368C"/>
    <w:rsid w:val="00C43DA9"/>
    <w:rsid w:val="00C44214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9B0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6DFB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6CF"/>
    <w:rsid w:val="00C85CF5"/>
    <w:rsid w:val="00C86D2E"/>
    <w:rsid w:val="00C8750A"/>
    <w:rsid w:val="00C876EC"/>
    <w:rsid w:val="00C9055B"/>
    <w:rsid w:val="00C9074B"/>
    <w:rsid w:val="00C910F3"/>
    <w:rsid w:val="00C9118D"/>
    <w:rsid w:val="00C9174A"/>
    <w:rsid w:val="00C9181B"/>
    <w:rsid w:val="00C91DEB"/>
    <w:rsid w:val="00C922AA"/>
    <w:rsid w:val="00C9250D"/>
    <w:rsid w:val="00C928C3"/>
    <w:rsid w:val="00C92FAD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118"/>
    <w:rsid w:val="00CB29FF"/>
    <w:rsid w:val="00CB2EB7"/>
    <w:rsid w:val="00CB3518"/>
    <w:rsid w:val="00CB3611"/>
    <w:rsid w:val="00CB4279"/>
    <w:rsid w:val="00CB54CF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8D0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6E3D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1DAA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38A0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44F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568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4C71"/>
    <w:rsid w:val="00D55466"/>
    <w:rsid w:val="00D562C7"/>
    <w:rsid w:val="00D56327"/>
    <w:rsid w:val="00D56906"/>
    <w:rsid w:val="00D574D2"/>
    <w:rsid w:val="00D57CC5"/>
    <w:rsid w:val="00D614F4"/>
    <w:rsid w:val="00D618AB"/>
    <w:rsid w:val="00D61A33"/>
    <w:rsid w:val="00D61A7F"/>
    <w:rsid w:val="00D61FCA"/>
    <w:rsid w:val="00D62C1D"/>
    <w:rsid w:val="00D63242"/>
    <w:rsid w:val="00D632DF"/>
    <w:rsid w:val="00D634C5"/>
    <w:rsid w:val="00D643AE"/>
    <w:rsid w:val="00D64E6C"/>
    <w:rsid w:val="00D64FEA"/>
    <w:rsid w:val="00D650FE"/>
    <w:rsid w:val="00D656CF"/>
    <w:rsid w:val="00D657F0"/>
    <w:rsid w:val="00D66572"/>
    <w:rsid w:val="00D66F41"/>
    <w:rsid w:val="00D67285"/>
    <w:rsid w:val="00D67DDD"/>
    <w:rsid w:val="00D70594"/>
    <w:rsid w:val="00D706F7"/>
    <w:rsid w:val="00D70EE1"/>
    <w:rsid w:val="00D711F4"/>
    <w:rsid w:val="00D7138E"/>
    <w:rsid w:val="00D7177F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69C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10C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3B73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AB3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820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326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5FCD"/>
    <w:rsid w:val="00DE6C59"/>
    <w:rsid w:val="00DE7B8A"/>
    <w:rsid w:val="00DE7B9E"/>
    <w:rsid w:val="00DF0453"/>
    <w:rsid w:val="00DF05F5"/>
    <w:rsid w:val="00DF08CD"/>
    <w:rsid w:val="00DF0A25"/>
    <w:rsid w:val="00DF1331"/>
    <w:rsid w:val="00DF2218"/>
    <w:rsid w:val="00DF2CA9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696F"/>
    <w:rsid w:val="00DF7377"/>
    <w:rsid w:val="00E000F2"/>
    <w:rsid w:val="00E001E7"/>
    <w:rsid w:val="00E0046B"/>
    <w:rsid w:val="00E004B7"/>
    <w:rsid w:val="00E00980"/>
    <w:rsid w:val="00E016BB"/>
    <w:rsid w:val="00E01BB1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3F56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73E"/>
    <w:rsid w:val="00E34BFE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2776"/>
    <w:rsid w:val="00E435B3"/>
    <w:rsid w:val="00E43EE6"/>
    <w:rsid w:val="00E45DA7"/>
    <w:rsid w:val="00E45E56"/>
    <w:rsid w:val="00E46822"/>
    <w:rsid w:val="00E46AF2"/>
    <w:rsid w:val="00E470C1"/>
    <w:rsid w:val="00E476BA"/>
    <w:rsid w:val="00E47A74"/>
    <w:rsid w:val="00E500C6"/>
    <w:rsid w:val="00E50869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0D84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1EBE"/>
    <w:rsid w:val="00E82103"/>
    <w:rsid w:val="00E8221E"/>
    <w:rsid w:val="00E82765"/>
    <w:rsid w:val="00E828E3"/>
    <w:rsid w:val="00E831F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D8E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7FB"/>
    <w:rsid w:val="00EF6D38"/>
    <w:rsid w:val="00EF7542"/>
    <w:rsid w:val="00F0025D"/>
    <w:rsid w:val="00F00398"/>
    <w:rsid w:val="00F0085D"/>
    <w:rsid w:val="00F008CB"/>
    <w:rsid w:val="00F00D15"/>
    <w:rsid w:val="00F0174A"/>
    <w:rsid w:val="00F01AE3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1A40"/>
    <w:rsid w:val="00F12003"/>
    <w:rsid w:val="00F1225B"/>
    <w:rsid w:val="00F12882"/>
    <w:rsid w:val="00F12966"/>
    <w:rsid w:val="00F12C0F"/>
    <w:rsid w:val="00F139FC"/>
    <w:rsid w:val="00F14277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85A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E4F"/>
    <w:rsid w:val="00F5141E"/>
    <w:rsid w:val="00F5148C"/>
    <w:rsid w:val="00F518BC"/>
    <w:rsid w:val="00F51F59"/>
    <w:rsid w:val="00F527AB"/>
    <w:rsid w:val="00F52D51"/>
    <w:rsid w:val="00F54105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2CE3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6CC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3BC"/>
    <w:rsid w:val="00FA6512"/>
    <w:rsid w:val="00FA69B9"/>
    <w:rsid w:val="00FA6B4F"/>
    <w:rsid w:val="00FA6D31"/>
    <w:rsid w:val="00FA726A"/>
    <w:rsid w:val="00FA729A"/>
    <w:rsid w:val="00FA78AF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2E88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2D0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7E8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15E0C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5E0C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link w:val="Heading4Char"/>
    <w:uiPriority w:val="9"/>
    <w:qFormat/>
    <w:rsid w:val="00815E0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uiPriority w:val="99"/>
    <w:rsid w:val="00402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uiPriority w:val="99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styleId="ListParagraph">
    <w:name w:val="List Paragraph"/>
    <w:basedOn w:val="Normal"/>
    <w:qFormat/>
    <w:rsid w:val="001D47FB"/>
    <w:pPr>
      <w:ind w:left="720"/>
      <w:contextualSpacing/>
    </w:pPr>
    <w:rPr>
      <w:lang w:val="en-GB"/>
    </w:rPr>
  </w:style>
  <w:style w:type="character" w:customStyle="1" w:styleId="Heading1Char">
    <w:name w:val="Heading 1 Char"/>
    <w:link w:val="Heading1"/>
    <w:uiPriority w:val="9"/>
    <w:rsid w:val="00815E0C"/>
    <w:rPr>
      <w:b/>
      <w:bCs/>
      <w:kern w:val="36"/>
      <w:sz w:val="36"/>
      <w:szCs w:val="36"/>
    </w:rPr>
  </w:style>
  <w:style w:type="character" w:customStyle="1" w:styleId="Heading3Char">
    <w:name w:val="Heading 3 Char"/>
    <w:link w:val="Heading3"/>
    <w:uiPriority w:val="9"/>
    <w:rsid w:val="00815E0C"/>
    <w:rPr>
      <w:b/>
      <w:bCs/>
      <w:sz w:val="34"/>
      <w:szCs w:val="34"/>
    </w:rPr>
  </w:style>
  <w:style w:type="character" w:customStyle="1" w:styleId="Heading4Char">
    <w:name w:val="Heading 4 Char"/>
    <w:link w:val="Heading4"/>
    <w:uiPriority w:val="9"/>
    <w:rsid w:val="00815E0C"/>
    <w:rPr>
      <w:b/>
      <w:bCs/>
      <w:sz w:val="29"/>
      <w:szCs w:val="29"/>
    </w:rPr>
  </w:style>
  <w:style w:type="paragraph" w:styleId="NormalWeb">
    <w:name w:val="Normal (Web)"/>
    <w:basedOn w:val="Normal"/>
    <w:uiPriority w:val="99"/>
    <w:unhideWhenUsed/>
    <w:rsid w:val="00815E0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2FF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42FF2"/>
    <w:rPr>
      <w:sz w:val="24"/>
      <w:szCs w:val="24"/>
    </w:rPr>
  </w:style>
  <w:style w:type="paragraph" w:styleId="Footer">
    <w:name w:val="footer"/>
    <w:basedOn w:val="Normal"/>
    <w:link w:val="FooterChar"/>
    <w:rsid w:val="00042FF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42FF2"/>
    <w:rPr>
      <w:sz w:val="24"/>
      <w:szCs w:val="24"/>
    </w:rPr>
  </w:style>
  <w:style w:type="paragraph" w:styleId="BalloonText">
    <w:name w:val="Balloon Text"/>
    <w:basedOn w:val="Normal"/>
    <w:link w:val="BalloonTextChar"/>
    <w:rsid w:val="00042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2FF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807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54C71"/>
  </w:style>
  <w:style w:type="character" w:customStyle="1" w:styleId="jrnl">
    <w:name w:val="jrnl"/>
    <w:rsid w:val="00E70D84"/>
  </w:style>
  <w:style w:type="character" w:customStyle="1" w:styleId="highlight">
    <w:name w:val="highlight"/>
    <w:rsid w:val="00E42776"/>
  </w:style>
  <w:style w:type="paragraph" w:customStyle="1" w:styleId="desc">
    <w:name w:val="desc"/>
    <w:basedOn w:val="Normal"/>
    <w:rsid w:val="00903FF7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903F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3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7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38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34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6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1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10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90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6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9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19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3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1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5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5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97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6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4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7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38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41307B8-B397-4B21-B6FE-996F3400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creator>Kasutaja</dc:creator>
  <cp:lastModifiedBy>Kaur Liivak</cp:lastModifiedBy>
  <cp:revision>2</cp:revision>
  <dcterms:created xsi:type="dcterms:W3CDTF">2014-11-19T02:43:00Z</dcterms:created>
  <dcterms:modified xsi:type="dcterms:W3CDTF">2014-11-19T02:43:00Z</dcterms:modified>
</cp:coreProperties>
</file>