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41BCD" w14:textId="4C0D7445" w:rsidR="00E865E8" w:rsidRPr="00961023" w:rsidRDefault="00281304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b/>
          <w:lang w:val="et-EE"/>
        </w:rPr>
        <w:t>Kliiniline küsimus nr 11</w:t>
      </w:r>
      <w:r w:rsidR="007B6E90" w:rsidRPr="00961023">
        <w:rPr>
          <w:b/>
          <w:lang w:val="et-EE"/>
        </w:rPr>
        <w:t>.2</w:t>
      </w:r>
      <w:r w:rsidR="006A3BAC" w:rsidRPr="00961023">
        <w:rPr>
          <w:b/>
          <w:lang w:val="et-EE"/>
        </w:rPr>
        <w:t>:</w:t>
      </w:r>
      <w:r w:rsidR="006A3BAC" w:rsidRPr="00961023">
        <w:rPr>
          <w:lang w:val="et-EE"/>
        </w:rPr>
        <w:t xml:space="preserve"> </w:t>
      </w:r>
      <w:r w:rsidR="00E865E8" w:rsidRPr="00961023">
        <w:rPr>
          <w:rFonts w:ascii="Times-Roman" w:hAnsi="Times-Roman" w:cs="Times-Roman"/>
          <w:lang w:val="et-EE"/>
        </w:rPr>
        <w:t>Kas bariaatrilise operatsiooni järgselt tuleks patsiendil teostada järgmised uuringud/analüüsid (võrreldes uuringute/analüüsid</w:t>
      </w:r>
      <w:r w:rsidR="00E27F73">
        <w:rPr>
          <w:lang w:val="et-EE"/>
        </w:rPr>
        <w:t>e</w:t>
      </w:r>
      <w:r w:rsidR="00E865E8" w:rsidRPr="00961023">
        <w:rPr>
          <w:rFonts w:ascii="Times-Roman" w:hAnsi="Times-Roman" w:cs="Times-Roman"/>
          <w:lang w:val="et-EE"/>
        </w:rPr>
        <w:t xml:space="preserve"> mitte tegemisega)</w:t>
      </w:r>
    </w:p>
    <w:p w14:paraId="215B4D9C" w14:textId="77777777" w:rsidR="00E865E8" w:rsidRPr="00961023" w:rsidRDefault="00E865E8" w:rsidP="00E865E8">
      <w:pPr>
        <w:autoSpaceDE w:val="0"/>
        <w:autoSpaceDN w:val="0"/>
        <w:adjustRightInd w:val="0"/>
        <w:rPr>
          <w:color w:val="D9D9D9" w:themeColor="background1" w:themeShade="D9"/>
          <w:lang w:val="et-EE"/>
        </w:rPr>
      </w:pPr>
      <w:r w:rsidRPr="00961023">
        <w:rPr>
          <w:color w:val="D9D9D9" w:themeColor="background1" w:themeShade="D9"/>
          <w:lang w:val="et-EE"/>
        </w:rPr>
        <w:t>- ülemise seedetrakti endoskoopia</w:t>
      </w:r>
    </w:p>
    <w:p w14:paraId="46BD0DBF" w14:textId="77777777" w:rsidR="00E865E8" w:rsidRPr="00961023" w:rsidRDefault="00E865E8" w:rsidP="00E865E8">
      <w:pPr>
        <w:autoSpaceDE w:val="0"/>
        <w:autoSpaceDN w:val="0"/>
        <w:adjustRightInd w:val="0"/>
        <w:rPr>
          <w:color w:val="D9D9D9" w:themeColor="background1" w:themeShade="D9"/>
          <w:lang w:val="et-EE"/>
        </w:rPr>
      </w:pPr>
      <w:r w:rsidRPr="00961023">
        <w:rPr>
          <w:color w:val="D9D9D9" w:themeColor="background1" w:themeShade="D9"/>
          <w:lang w:val="et-EE"/>
        </w:rPr>
        <w:t>- Densitomeetria – KAIRE</w:t>
      </w:r>
    </w:p>
    <w:p w14:paraId="5DC53B71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b/>
          <w:lang w:val="et-EE"/>
        </w:rPr>
      </w:pPr>
    </w:p>
    <w:p w14:paraId="72863CD5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rFonts w:ascii="Courier" w:hAnsi="Courier" w:cs="Courier"/>
          <w:lang w:val="et-EE"/>
        </w:rPr>
        <w:t xml:space="preserve">- </w:t>
      </w:r>
      <w:r w:rsidRPr="00961023">
        <w:rPr>
          <w:rFonts w:ascii="Times-Roman" w:hAnsi="Times-Roman" w:cs="Times-Roman"/>
          <w:lang w:val="et-EE"/>
        </w:rPr>
        <w:t>Kolesterool ja verelipiidid</w:t>
      </w:r>
    </w:p>
    <w:p w14:paraId="22D8AEF7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rFonts w:ascii="Courier" w:hAnsi="Courier" w:cs="Courier"/>
          <w:lang w:val="et-EE"/>
        </w:rPr>
        <w:t xml:space="preserve">- </w:t>
      </w:r>
      <w:r w:rsidRPr="00961023">
        <w:rPr>
          <w:rFonts w:ascii="Times-Roman" w:hAnsi="Times-Roman" w:cs="Times-Roman"/>
          <w:lang w:val="et-EE"/>
        </w:rPr>
        <w:t>B12, foolhape</w:t>
      </w:r>
    </w:p>
    <w:p w14:paraId="6DBD0FAC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rFonts w:ascii="Courier" w:hAnsi="Courier" w:cs="Courier"/>
          <w:lang w:val="et-EE"/>
        </w:rPr>
        <w:t xml:space="preserve">- </w:t>
      </w:r>
      <w:r w:rsidRPr="00961023">
        <w:rPr>
          <w:rFonts w:ascii="Times-Roman" w:hAnsi="Times-Roman" w:cs="Times-Roman"/>
          <w:lang w:val="et-EE"/>
        </w:rPr>
        <w:t>raud, feritiin</w:t>
      </w:r>
    </w:p>
    <w:p w14:paraId="090F2071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rFonts w:ascii="Courier" w:hAnsi="Courier" w:cs="Courier"/>
          <w:lang w:val="et-EE"/>
        </w:rPr>
        <w:t xml:space="preserve">- </w:t>
      </w:r>
      <w:r w:rsidRPr="00961023">
        <w:rPr>
          <w:rFonts w:ascii="Times-Roman" w:hAnsi="Times-Roman" w:cs="Times-Roman"/>
          <w:lang w:val="et-EE"/>
        </w:rPr>
        <w:t>Tsink</w:t>
      </w:r>
    </w:p>
    <w:p w14:paraId="245C3258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rFonts w:ascii="Courier" w:hAnsi="Courier" w:cs="Courier"/>
          <w:lang w:val="et-EE"/>
        </w:rPr>
        <w:t xml:space="preserve">- </w:t>
      </w:r>
      <w:r w:rsidRPr="00961023">
        <w:rPr>
          <w:rFonts w:ascii="Times-Roman" w:hAnsi="Times-Roman" w:cs="Times-Roman"/>
          <w:lang w:val="et-EE"/>
        </w:rPr>
        <w:t>TSH</w:t>
      </w:r>
    </w:p>
    <w:p w14:paraId="000422A7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rFonts w:ascii="Courier" w:hAnsi="Courier" w:cs="Courier"/>
          <w:lang w:val="et-EE"/>
        </w:rPr>
        <w:t xml:space="preserve">- </w:t>
      </w:r>
      <w:r w:rsidRPr="00961023">
        <w:rPr>
          <w:rFonts w:ascii="Times-Roman" w:hAnsi="Times-Roman" w:cs="Times-Roman"/>
          <w:lang w:val="et-EE"/>
        </w:rPr>
        <w:t>PTH</w:t>
      </w:r>
    </w:p>
    <w:p w14:paraId="39B21B7D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rFonts w:ascii="Courier" w:hAnsi="Courier" w:cs="Courier"/>
          <w:lang w:val="et-EE"/>
        </w:rPr>
        <w:t xml:space="preserve">- </w:t>
      </w:r>
      <w:r w:rsidRPr="00961023">
        <w:rPr>
          <w:rFonts w:ascii="Times-Roman" w:hAnsi="Times-Roman" w:cs="Times-Roman"/>
          <w:lang w:val="et-EE"/>
        </w:rPr>
        <w:t>Kaltsium</w:t>
      </w:r>
    </w:p>
    <w:p w14:paraId="00D55472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rFonts w:ascii="Courier" w:hAnsi="Courier" w:cs="Courier"/>
          <w:lang w:val="et-EE"/>
        </w:rPr>
        <w:t xml:space="preserve">- </w:t>
      </w:r>
      <w:r w:rsidRPr="00961023">
        <w:rPr>
          <w:rFonts w:ascii="Times-Roman" w:hAnsi="Times-Roman" w:cs="Times-Roman"/>
          <w:lang w:val="et-EE"/>
        </w:rPr>
        <w:t>25(OH) D3 vitamiin</w:t>
      </w:r>
    </w:p>
    <w:p w14:paraId="13154613" w14:textId="77777777" w:rsidR="00E865E8" w:rsidRPr="00961023" w:rsidRDefault="00E865E8" w:rsidP="00E865E8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61023">
        <w:rPr>
          <w:rFonts w:ascii="Courier" w:hAnsi="Courier" w:cs="Courier"/>
          <w:lang w:val="et-EE"/>
        </w:rPr>
        <w:t xml:space="preserve">- </w:t>
      </w:r>
      <w:r w:rsidRPr="00961023">
        <w:rPr>
          <w:rFonts w:ascii="Times-Roman" w:hAnsi="Times-Roman" w:cs="Times-Roman"/>
          <w:lang w:val="et-EE"/>
        </w:rPr>
        <w:t xml:space="preserve">Glükohemoglobiin </w:t>
      </w:r>
    </w:p>
    <w:p w14:paraId="099525A3" w14:textId="63BE8EAB" w:rsidR="006A3BAC" w:rsidRPr="00961023" w:rsidRDefault="006A3BAC" w:rsidP="00E865E8">
      <w:pPr>
        <w:autoSpaceDE w:val="0"/>
        <w:autoSpaceDN w:val="0"/>
        <w:adjustRightInd w:val="0"/>
        <w:rPr>
          <w:b/>
          <w:bCs/>
          <w:lang w:val="et-EE"/>
        </w:rPr>
      </w:pPr>
    </w:p>
    <w:p w14:paraId="39D19104" w14:textId="77777777" w:rsidR="006A3BAC" w:rsidRPr="00961023" w:rsidRDefault="006A3BAC" w:rsidP="00D14D43">
      <w:pPr>
        <w:autoSpaceDE w:val="0"/>
        <w:autoSpaceDN w:val="0"/>
        <w:adjustRightInd w:val="0"/>
        <w:rPr>
          <w:i/>
          <w:iCs/>
          <w:lang w:val="et-EE"/>
        </w:rPr>
      </w:pPr>
      <w:r w:rsidRPr="00961023">
        <w:rPr>
          <w:b/>
          <w:bCs/>
          <w:lang w:val="et-EE"/>
        </w:rPr>
        <w:t xml:space="preserve">Tulemusnäitajad: </w:t>
      </w:r>
      <w:r w:rsidR="00D14D43" w:rsidRPr="00961023">
        <w:rPr>
          <w:rFonts w:ascii="Times-Italic" w:hAnsi="Times-Italic" w:cs="Times-Italic"/>
          <w:i/>
          <w:iCs/>
          <w:lang w:val="et-EE"/>
        </w:rPr>
        <w:t>Uuringumeetodi tundlikkus ja spetsiifilisus, positiivne ja negatiivne ennustatav väärtus, kulutõhusus</w:t>
      </w:r>
    </w:p>
    <w:p w14:paraId="37B52623" w14:textId="77777777" w:rsidR="00D14D43" w:rsidRPr="00961023" w:rsidRDefault="00D14D43" w:rsidP="003276D8">
      <w:pPr>
        <w:autoSpaceDE w:val="0"/>
        <w:autoSpaceDN w:val="0"/>
        <w:adjustRightInd w:val="0"/>
        <w:rPr>
          <w:i/>
          <w:iCs/>
          <w:lang w:val="et-EE"/>
        </w:rPr>
      </w:pPr>
    </w:p>
    <w:p w14:paraId="3B84E4D5" w14:textId="77777777" w:rsidR="00D14D43" w:rsidRPr="00961023" w:rsidRDefault="00D14D43" w:rsidP="003276D8">
      <w:pPr>
        <w:autoSpaceDE w:val="0"/>
        <w:autoSpaceDN w:val="0"/>
        <w:adjustRightInd w:val="0"/>
        <w:rPr>
          <w:i/>
          <w:iCs/>
          <w:lang w:val="et-EE"/>
        </w:rPr>
      </w:pPr>
    </w:p>
    <w:p w14:paraId="744B8A3B" w14:textId="77777777" w:rsidR="006A3BAC" w:rsidRPr="00961023" w:rsidRDefault="006A3BAC" w:rsidP="003276D8">
      <w:pPr>
        <w:pBdr>
          <w:bottom w:val="single" w:sz="18" w:space="4" w:color="E5E5E5"/>
        </w:pBdr>
        <w:spacing w:after="300"/>
        <w:rPr>
          <w:b/>
          <w:lang w:val="et-EE"/>
        </w:rPr>
      </w:pPr>
      <w:r w:rsidRPr="00961023">
        <w:rPr>
          <w:b/>
          <w:lang w:val="et-EE" w:eastAsia="et-EE"/>
        </w:rPr>
        <w:t>Kokkuvõte:</w:t>
      </w:r>
      <w:r w:rsidRPr="00961023">
        <w:rPr>
          <w:b/>
          <w:lang w:val="et-EE"/>
        </w:rPr>
        <w:t xml:space="preserve"> </w:t>
      </w:r>
    </w:p>
    <w:p w14:paraId="5B3A11D5" w14:textId="77777777" w:rsidR="00E40DA1" w:rsidRPr="00961023" w:rsidRDefault="00E40DA1" w:rsidP="00E40DA1">
      <w:pPr>
        <w:rPr>
          <w:lang w:val="et-EE"/>
        </w:rPr>
      </w:pPr>
      <w:r w:rsidRPr="00961023">
        <w:rPr>
          <w:lang w:val="et-EE"/>
        </w:rPr>
        <w:t>Vereanalüüside jälgimise ja mikrotoitainete taseme määramise olulisus on välja toodud kõigis ravijuhendites, kõige põhjalikumalt USA omas (</w:t>
      </w:r>
      <w:r w:rsidRPr="00961023">
        <w:rPr>
          <w:color w:val="131413"/>
          <w:lang w:val="et-EE"/>
        </w:rPr>
        <w:t>tõenduspõhisuse tase</w:t>
      </w:r>
      <w:r w:rsidRPr="00961023">
        <w:rPr>
          <w:lang w:val="et-EE"/>
        </w:rPr>
        <w:t xml:space="preserve"> A):</w:t>
      </w:r>
    </w:p>
    <w:p w14:paraId="37F85C42" w14:textId="77777777" w:rsidR="001A2981" w:rsidRPr="00961023" w:rsidRDefault="00E40DA1" w:rsidP="001A2981">
      <w:pPr>
        <w:pStyle w:val="ListParagraph"/>
        <w:numPr>
          <w:ilvl w:val="0"/>
          <w:numId w:val="13"/>
        </w:numPr>
        <w:rPr>
          <w:rFonts w:eastAsiaTheme="minorEastAsia"/>
          <w:color w:val="1A1818"/>
          <w:sz w:val="22"/>
          <w:szCs w:val="22"/>
          <w:lang w:val="et-EE" w:eastAsia="ja-JP"/>
        </w:rPr>
      </w:pP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diabeedi ja hüpoglokeemiliste sümptomite puhul </w:t>
      </w:r>
      <w:r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 xml:space="preserve">vereglükoosi 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>jälgida (</w:t>
      </w:r>
      <w:r w:rsidRPr="00961023">
        <w:rPr>
          <w:color w:val="131413"/>
          <w:lang w:val="et-EE"/>
        </w:rPr>
        <w:t>tõenduspõhisuse tase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 A). </w:t>
      </w:r>
    </w:p>
    <w:p w14:paraId="368E17E8" w14:textId="77777777" w:rsidR="001A2981" w:rsidRPr="00961023" w:rsidRDefault="001A2981" w:rsidP="001A2981">
      <w:pPr>
        <w:pStyle w:val="ListParagraph"/>
        <w:numPr>
          <w:ilvl w:val="0"/>
          <w:numId w:val="13"/>
        </w:numPr>
        <w:rPr>
          <w:rFonts w:eastAsiaTheme="minorEastAsia"/>
          <w:color w:val="1A1818"/>
          <w:sz w:val="22"/>
          <w:szCs w:val="22"/>
          <w:lang w:val="et-EE" w:eastAsia="ja-JP"/>
        </w:rPr>
      </w:pPr>
      <w:r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r</w:t>
      </w:r>
      <w:r w:rsidR="00E40DA1"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aua</w:t>
      </w:r>
      <w:r w:rsidR="00E40DA1"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 taset tuleks uurida kõigil patsientidel (</w:t>
      </w:r>
      <w:r w:rsidR="00E40DA1" w:rsidRPr="00961023">
        <w:rPr>
          <w:color w:val="131413"/>
          <w:lang w:val="et-EE"/>
        </w:rPr>
        <w:t>tõenduspõhisuse tase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 D). </w:t>
      </w:r>
    </w:p>
    <w:p w14:paraId="5C14188B" w14:textId="77777777" w:rsidR="001A2981" w:rsidRPr="00961023" w:rsidRDefault="001A2981" w:rsidP="001A2981">
      <w:pPr>
        <w:pStyle w:val="ListParagraph"/>
        <w:numPr>
          <w:ilvl w:val="0"/>
          <w:numId w:val="13"/>
        </w:numPr>
        <w:rPr>
          <w:rFonts w:eastAsiaTheme="minorEastAsia"/>
          <w:color w:val="1A1818"/>
          <w:sz w:val="22"/>
          <w:szCs w:val="22"/>
          <w:lang w:val="et-EE" w:eastAsia="ja-JP"/>
        </w:rPr>
      </w:pPr>
      <w:r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v</w:t>
      </w:r>
      <w:r w:rsidR="00E40DA1"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erelipiidi</w:t>
      </w:r>
      <w:r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de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 analüüs iga 6-12 kuu tagant</w:t>
      </w:r>
    </w:p>
    <w:p w14:paraId="7FBCE201" w14:textId="77777777" w:rsidR="001A2981" w:rsidRPr="00961023" w:rsidRDefault="00E40DA1" w:rsidP="001A2981">
      <w:pPr>
        <w:pStyle w:val="ListParagraph"/>
        <w:numPr>
          <w:ilvl w:val="0"/>
          <w:numId w:val="13"/>
        </w:numPr>
        <w:rPr>
          <w:rFonts w:eastAsiaTheme="minorEastAsia"/>
          <w:color w:val="1A1818"/>
          <w:sz w:val="22"/>
          <w:szCs w:val="22"/>
          <w:lang w:val="et-EE" w:eastAsia="ja-JP"/>
        </w:rPr>
      </w:pP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6 kuu pärast 24-tunni </w:t>
      </w:r>
      <w:r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uriini kaltsium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, seejärel iga aasta. </w:t>
      </w:r>
    </w:p>
    <w:p w14:paraId="40109CB3" w14:textId="41FE5A5E" w:rsidR="001A2981" w:rsidRPr="00961023" w:rsidRDefault="00E40DA1" w:rsidP="001A2981">
      <w:pPr>
        <w:pStyle w:val="ListParagraph"/>
        <w:numPr>
          <w:ilvl w:val="0"/>
          <w:numId w:val="13"/>
        </w:numPr>
        <w:rPr>
          <w:rFonts w:eastAsiaTheme="minorEastAsia"/>
          <w:color w:val="1A1818"/>
          <w:sz w:val="22"/>
          <w:szCs w:val="22"/>
          <w:lang w:val="et-EE" w:eastAsia="ja-JP"/>
        </w:rPr>
      </w:pPr>
      <w:r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B</w:t>
      </w:r>
      <w:r w:rsidRPr="00E27F73">
        <w:rPr>
          <w:rFonts w:eastAsiaTheme="minorEastAsia"/>
          <w:b/>
          <w:color w:val="1A1818"/>
          <w:sz w:val="22"/>
          <w:szCs w:val="22"/>
          <w:vertAlign w:val="subscript"/>
          <w:lang w:val="et-EE" w:eastAsia="ja-JP"/>
        </w:rPr>
        <w:t>12</w:t>
      </w:r>
      <w:r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-vitamiin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 alg- ja postoperatiivse taseme määramine soovitatud kõikide patsientide puhu</w:t>
      </w:r>
      <w:r w:rsidR="005E3860"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l 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>kord aastas (</w:t>
      </w:r>
      <w:r w:rsidRPr="00E27F73">
        <w:rPr>
          <w:color w:val="131413"/>
          <w:sz w:val="22"/>
          <w:szCs w:val="22"/>
          <w:lang w:val="et-EE"/>
        </w:rPr>
        <w:t>tõenduspõhisuse tase</w:t>
      </w:r>
      <w:r w:rsidRPr="00E27F73">
        <w:rPr>
          <w:rFonts w:eastAsiaTheme="minorEastAsia"/>
          <w:color w:val="1A1818"/>
          <w:sz w:val="22"/>
          <w:szCs w:val="22"/>
          <w:lang w:val="et-EE" w:eastAsia="ja-JP"/>
        </w:rPr>
        <w:t xml:space="preserve"> B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), hiljem 3-6 kuu tagant kui lisandeid kasutada. </w:t>
      </w:r>
    </w:p>
    <w:p w14:paraId="55DDAAE7" w14:textId="77777777" w:rsidR="005E3860" w:rsidRPr="00961023" w:rsidRDefault="001A2981" w:rsidP="001A2981">
      <w:pPr>
        <w:pStyle w:val="ListParagraph"/>
        <w:numPr>
          <w:ilvl w:val="0"/>
          <w:numId w:val="13"/>
        </w:numPr>
        <w:rPr>
          <w:rFonts w:eastAsiaTheme="minorEastAsia"/>
          <w:color w:val="1A1818"/>
          <w:sz w:val="22"/>
          <w:szCs w:val="22"/>
          <w:lang w:val="et-EE" w:eastAsia="ja-JP"/>
        </w:rPr>
      </w:pP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>m</w:t>
      </w:r>
      <w:r w:rsidR="00E40DA1"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äärata </w:t>
      </w:r>
      <w:r w:rsidR="00E40DA1"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foolhape, 25(OH)D</w:t>
      </w:r>
      <w:r w:rsidR="00E40DA1" w:rsidRPr="00E27F73">
        <w:rPr>
          <w:rFonts w:eastAsiaTheme="minorEastAsia"/>
          <w:b/>
          <w:color w:val="1A1818"/>
          <w:sz w:val="22"/>
          <w:szCs w:val="22"/>
          <w:vertAlign w:val="subscript"/>
          <w:lang w:val="et-EE" w:eastAsia="ja-JP"/>
        </w:rPr>
        <w:t>3</w:t>
      </w:r>
      <w:r w:rsidR="00E40DA1"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>-vitamiin, iPTH</w:t>
      </w:r>
      <w:r w:rsidR="00E40DA1"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. </w:t>
      </w:r>
    </w:p>
    <w:p w14:paraId="5DCB06F9" w14:textId="33F24931" w:rsidR="00E40DA1" w:rsidRPr="00961023" w:rsidRDefault="00E40DA1" w:rsidP="001A2981">
      <w:pPr>
        <w:pStyle w:val="ListParagraph"/>
        <w:numPr>
          <w:ilvl w:val="0"/>
          <w:numId w:val="13"/>
        </w:numPr>
        <w:rPr>
          <w:rFonts w:eastAsiaTheme="minorEastAsia"/>
          <w:color w:val="1A1818"/>
          <w:sz w:val="22"/>
          <w:szCs w:val="22"/>
          <w:lang w:val="et-EE" w:eastAsia="ja-JP"/>
        </w:rPr>
      </w:pP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Rutiinne </w:t>
      </w:r>
      <w:r w:rsidRPr="00961023">
        <w:rPr>
          <w:rFonts w:eastAsiaTheme="minorEastAsia"/>
          <w:b/>
          <w:color w:val="1A1818"/>
          <w:sz w:val="22"/>
          <w:szCs w:val="22"/>
          <w:lang w:val="et-EE" w:eastAsia="ja-JP"/>
        </w:rPr>
        <w:t xml:space="preserve">tsingi 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>analüüs peale malabsorptiivset protseduuri (</w:t>
      </w:r>
      <w:r w:rsidRPr="00961023">
        <w:rPr>
          <w:color w:val="131413"/>
          <w:lang w:val="et-EE"/>
        </w:rPr>
        <w:t>tõenduspõhisuse tase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 C) või spetsiifiliste sümptomite korral. </w:t>
      </w:r>
    </w:p>
    <w:p w14:paraId="50D75C31" w14:textId="77777777" w:rsidR="00E40DA1" w:rsidRPr="00961023" w:rsidRDefault="00E40DA1" w:rsidP="001A2981">
      <w:pPr>
        <w:pStyle w:val="ListParagraph"/>
        <w:numPr>
          <w:ilvl w:val="0"/>
          <w:numId w:val="13"/>
        </w:numPr>
        <w:rPr>
          <w:rFonts w:eastAsiaTheme="minorEastAsia"/>
          <w:color w:val="1A1818"/>
          <w:sz w:val="22"/>
          <w:szCs w:val="22"/>
          <w:lang w:val="et-EE" w:eastAsia="ja-JP"/>
        </w:rPr>
      </w:pP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>Naised, kes jäävad peale operatsiooni rasedaks, peaksid puuduste vältimiseks läbima toitumis- ja laborianalüüsid iga trimester. Analüüsid peaksid sisaldama raua, folaadi, B</w:t>
      </w:r>
      <w:r w:rsidRPr="00E27F73">
        <w:rPr>
          <w:rFonts w:eastAsiaTheme="minorEastAsia"/>
          <w:color w:val="1A1818"/>
          <w:sz w:val="22"/>
          <w:szCs w:val="22"/>
          <w:vertAlign w:val="subscript"/>
          <w:lang w:val="et-EE" w:eastAsia="ja-JP"/>
        </w:rPr>
        <w:t>12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>-vitamiini, kaltsiumi ja rasvlahustuvate vitamiinide näite (</w:t>
      </w:r>
      <w:r w:rsidRPr="00E27F73">
        <w:rPr>
          <w:color w:val="131413"/>
          <w:sz w:val="22"/>
          <w:szCs w:val="22"/>
          <w:lang w:val="et-EE"/>
        </w:rPr>
        <w:t xml:space="preserve">tõenduspõhisuse tase </w:t>
      </w:r>
      <w:r w:rsidRPr="00E27F73">
        <w:rPr>
          <w:rFonts w:eastAsiaTheme="minorEastAsia"/>
          <w:color w:val="1A1818"/>
          <w:sz w:val="22"/>
          <w:szCs w:val="22"/>
          <w:lang w:val="et-EE" w:eastAsia="ja-JP"/>
        </w:rPr>
        <w:t>D</w:t>
      </w:r>
      <w:r w:rsidRPr="00961023">
        <w:rPr>
          <w:rFonts w:eastAsiaTheme="minorEastAsia"/>
          <w:color w:val="1A1818"/>
          <w:sz w:val="22"/>
          <w:szCs w:val="22"/>
          <w:lang w:val="et-EE" w:eastAsia="ja-JP"/>
        </w:rPr>
        <w:t xml:space="preserve">). </w:t>
      </w:r>
    </w:p>
    <w:p w14:paraId="70F8A68E" w14:textId="77777777" w:rsidR="00E40DA1" w:rsidRPr="00961023" w:rsidRDefault="00E40DA1" w:rsidP="00E40DA1">
      <w:pPr>
        <w:rPr>
          <w:lang w:val="et-EE"/>
        </w:rPr>
      </w:pPr>
      <w:r w:rsidRPr="00961023">
        <w:rPr>
          <w:lang w:val="et-EE"/>
        </w:rPr>
        <w:t xml:space="preserve">SIGN soovitab postoperatiivselt teha </w:t>
      </w:r>
      <w:r w:rsidRPr="00961023">
        <w:rPr>
          <w:rFonts w:eastAsiaTheme="minorEastAsia"/>
          <w:color w:val="1A1818"/>
          <w:lang w:val="et-EE" w:eastAsia="ja-JP"/>
        </w:rPr>
        <w:t>täisvere-, kaltsiumi, magneesiumi, fosfaadi ja albumiini analüüsi</w:t>
      </w:r>
      <w:r w:rsidRPr="00961023">
        <w:rPr>
          <w:lang w:val="et-EE"/>
        </w:rPr>
        <w:t>. Saksa (tugev soovitus), NICE ja AUS ravijuhendites on lihtsalt mainitud, et mikrotoitainete taset tuleb jälgida.</w:t>
      </w:r>
    </w:p>
    <w:p w14:paraId="2290E46C" w14:textId="77777777" w:rsidR="00516472" w:rsidRPr="00961023" w:rsidRDefault="00516472" w:rsidP="00E40DA1">
      <w:pPr>
        <w:rPr>
          <w:lang w:val="et-EE"/>
        </w:rPr>
      </w:pPr>
    </w:p>
    <w:p w14:paraId="2B97B883" w14:textId="1D87B77E" w:rsidR="00516472" w:rsidRPr="00961023" w:rsidRDefault="00AD5553" w:rsidP="00E40DA1">
      <w:pPr>
        <w:rPr>
          <w:lang w:val="et-EE"/>
        </w:rPr>
      </w:pPr>
      <w:r w:rsidRPr="00961023">
        <w:rPr>
          <w:lang w:val="et-EE"/>
        </w:rPr>
        <w:t>Madala tõenduspõhisusega s</w:t>
      </w:r>
      <w:r w:rsidR="0000591B" w:rsidRPr="00961023">
        <w:rPr>
          <w:lang w:val="et-EE"/>
        </w:rPr>
        <w:t xml:space="preserve">üstemaatilises ülevaateartiklis (Stroh et al) </w:t>
      </w:r>
      <w:r w:rsidR="00516472" w:rsidRPr="00961023">
        <w:rPr>
          <w:lang w:val="et-EE"/>
        </w:rPr>
        <w:t xml:space="preserve">soovitatakse rutiinselt kontrollida </w:t>
      </w:r>
      <w:r w:rsidR="0000591B" w:rsidRPr="00961023">
        <w:rPr>
          <w:b/>
          <w:lang w:val="et-EE"/>
        </w:rPr>
        <w:t xml:space="preserve">foolhapet, rauda, </w:t>
      </w:r>
      <w:r w:rsidR="00516472" w:rsidRPr="00961023">
        <w:rPr>
          <w:b/>
          <w:lang w:val="et-EE"/>
        </w:rPr>
        <w:t>B</w:t>
      </w:r>
      <w:r w:rsidR="00516472" w:rsidRPr="00961023">
        <w:rPr>
          <w:b/>
          <w:vertAlign w:val="subscript"/>
          <w:lang w:val="et-EE"/>
        </w:rPr>
        <w:t>12,</w:t>
      </w:r>
      <w:r w:rsidR="00516472" w:rsidRPr="00961023">
        <w:rPr>
          <w:b/>
          <w:lang w:val="et-EE"/>
        </w:rPr>
        <w:t>-</w:t>
      </w:r>
      <w:r w:rsidR="00516472" w:rsidRPr="00961023">
        <w:rPr>
          <w:b/>
          <w:vertAlign w:val="subscript"/>
          <w:lang w:val="et-EE"/>
        </w:rPr>
        <w:t xml:space="preserve"> </w:t>
      </w:r>
      <w:r w:rsidR="00516472" w:rsidRPr="00961023">
        <w:rPr>
          <w:b/>
          <w:lang w:val="et-EE"/>
        </w:rPr>
        <w:t>, D-vitamiini ja PTH tase</w:t>
      </w:r>
      <w:r w:rsidR="00516472" w:rsidRPr="00961023">
        <w:rPr>
          <w:lang w:val="et-EE"/>
        </w:rPr>
        <w:t>t. Soovituslikult üks kontroll 6 kuud peale opera</w:t>
      </w:r>
      <w:r w:rsidRPr="00961023">
        <w:rPr>
          <w:lang w:val="et-EE"/>
        </w:rPr>
        <w:t xml:space="preserve">tsiooni, seejärel kord aastas. </w:t>
      </w:r>
    </w:p>
    <w:p w14:paraId="22E5B880" w14:textId="77777777" w:rsidR="00A2548C" w:rsidRPr="00961023" w:rsidRDefault="00A2548C" w:rsidP="00E40DA1">
      <w:pPr>
        <w:rPr>
          <w:lang w:val="et-EE"/>
        </w:rPr>
      </w:pPr>
    </w:p>
    <w:p w14:paraId="146A1C4A" w14:textId="3C002F3E" w:rsidR="00A2548C" w:rsidRPr="00961023" w:rsidRDefault="00A2548C" w:rsidP="00A2548C">
      <w:pPr>
        <w:spacing w:before="120" w:after="120"/>
        <w:rPr>
          <w:lang w:val="et-EE"/>
        </w:rPr>
      </w:pPr>
      <w:r w:rsidRPr="00961023">
        <w:rPr>
          <w:lang w:val="et-EE"/>
        </w:rPr>
        <w:t>Mõõduka tõenduspõhisusega ülevaateartikkel</w:t>
      </w:r>
      <w:r w:rsidR="0000591B" w:rsidRPr="00961023">
        <w:rPr>
          <w:lang w:val="et-EE"/>
        </w:rPr>
        <w:t xml:space="preserve"> (Stein et al)</w:t>
      </w:r>
      <w:r w:rsidRPr="00961023">
        <w:rPr>
          <w:lang w:val="et-EE"/>
        </w:rPr>
        <w:t xml:space="preserve"> soovitab teha järgnevad analüüsid:</w:t>
      </w:r>
    </w:p>
    <w:p w14:paraId="7942B367" w14:textId="5244A6E2" w:rsidR="00A2548C" w:rsidRPr="00961023" w:rsidRDefault="00A2548C" w:rsidP="00A2548C">
      <w:pPr>
        <w:rPr>
          <w:lang w:val="et-EE"/>
        </w:rPr>
      </w:pPr>
      <w:r w:rsidRPr="00961023">
        <w:rPr>
          <w:b/>
          <w:lang w:val="et-EE"/>
        </w:rPr>
        <w:t>B</w:t>
      </w:r>
      <w:r w:rsidRPr="00E27F73">
        <w:rPr>
          <w:b/>
          <w:vertAlign w:val="subscript"/>
          <w:lang w:val="et-EE"/>
        </w:rPr>
        <w:t>12</w:t>
      </w:r>
      <w:r w:rsidRPr="00961023">
        <w:rPr>
          <w:b/>
          <w:lang w:val="et-EE"/>
        </w:rPr>
        <w:t>, D, Zn</w:t>
      </w:r>
      <w:r w:rsidRPr="00961023">
        <w:rPr>
          <w:lang w:val="et-EE"/>
        </w:rPr>
        <w:t xml:space="preserve"> (6., 12. kuul ja seejärel kord aastas).</w:t>
      </w:r>
    </w:p>
    <w:p w14:paraId="0EE967A3" w14:textId="77777777" w:rsidR="00A2548C" w:rsidRPr="00961023" w:rsidRDefault="00A2548C" w:rsidP="00A2548C">
      <w:pPr>
        <w:rPr>
          <w:lang w:val="et-EE"/>
        </w:rPr>
      </w:pPr>
      <w:r w:rsidRPr="00961023">
        <w:rPr>
          <w:b/>
          <w:lang w:val="et-EE"/>
        </w:rPr>
        <w:t>Raud</w:t>
      </w:r>
      <w:r w:rsidRPr="00961023">
        <w:rPr>
          <w:lang w:val="et-EE"/>
        </w:rPr>
        <w:t xml:space="preserve"> (3., 6., 12., 18. ja 24. kuul ja seejärel kord aastas).</w:t>
      </w:r>
    </w:p>
    <w:p w14:paraId="2B399D60" w14:textId="0BF592A6" w:rsidR="00A2548C" w:rsidRPr="00961023" w:rsidRDefault="00A2548C" w:rsidP="00A2548C">
      <w:pPr>
        <w:rPr>
          <w:lang w:val="et-EE"/>
        </w:rPr>
      </w:pPr>
      <w:r w:rsidRPr="00961023">
        <w:rPr>
          <w:b/>
          <w:lang w:val="et-EE"/>
        </w:rPr>
        <w:t>Ca</w:t>
      </w:r>
      <w:r w:rsidRPr="00961023">
        <w:rPr>
          <w:lang w:val="et-EE"/>
        </w:rPr>
        <w:t xml:space="preserve"> (6., 12., 18. Ja 24. kuul)</w:t>
      </w:r>
    </w:p>
    <w:p w14:paraId="5C573873" w14:textId="28908699" w:rsidR="00A2548C" w:rsidRPr="00961023" w:rsidRDefault="00A2548C" w:rsidP="00A2548C">
      <w:pPr>
        <w:rPr>
          <w:lang w:val="et-EE"/>
        </w:rPr>
      </w:pPr>
      <w:r w:rsidRPr="00961023">
        <w:rPr>
          <w:b/>
          <w:lang w:val="et-EE"/>
        </w:rPr>
        <w:t>iPTH</w:t>
      </w:r>
      <w:r w:rsidRPr="00961023">
        <w:rPr>
          <w:lang w:val="et-EE"/>
        </w:rPr>
        <w:t xml:space="preserve"> (12., 18. Ja 24. kuul)</w:t>
      </w:r>
    </w:p>
    <w:p w14:paraId="61E3BFD2" w14:textId="77777777" w:rsidR="00A2548C" w:rsidRPr="00961023" w:rsidRDefault="00A2548C" w:rsidP="00E40DA1">
      <w:pPr>
        <w:rPr>
          <w:lang w:val="et-EE"/>
        </w:rPr>
      </w:pPr>
    </w:p>
    <w:p w14:paraId="528864FC" w14:textId="120F55AD" w:rsidR="00A2548C" w:rsidRPr="00961023" w:rsidRDefault="0000591B" w:rsidP="00E40DA1">
      <w:pPr>
        <w:rPr>
          <w:lang w:val="et-EE"/>
        </w:rPr>
      </w:pPr>
      <w:r w:rsidRPr="00961023">
        <w:rPr>
          <w:lang w:val="et-EE"/>
        </w:rPr>
        <w:lastRenderedPageBreak/>
        <w:t xml:space="preserve">Ka teistes madala ja ülimadala tõenduspõhisusega ülevaateartiklites on viidatud just eelkõige </w:t>
      </w:r>
      <w:r w:rsidRPr="00961023">
        <w:rPr>
          <w:b/>
          <w:lang w:val="et-EE"/>
        </w:rPr>
        <w:t>raua, B</w:t>
      </w:r>
      <w:r w:rsidR="005E3860" w:rsidRPr="00961023">
        <w:rPr>
          <w:b/>
          <w:lang w:val="et-EE"/>
        </w:rPr>
        <w:t xml:space="preserve">12-, D-vitamiini, </w:t>
      </w:r>
      <w:r w:rsidRPr="00961023">
        <w:rPr>
          <w:b/>
          <w:lang w:val="et-EE"/>
        </w:rPr>
        <w:t>folaadi</w:t>
      </w:r>
      <w:r w:rsidR="005E3860" w:rsidRPr="00961023">
        <w:rPr>
          <w:b/>
          <w:lang w:val="et-EE"/>
        </w:rPr>
        <w:t>, kaltsiumi ja tsingi</w:t>
      </w:r>
      <w:r w:rsidR="005E3860" w:rsidRPr="00961023">
        <w:rPr>
          <w:lang w:val="et-EE"/>
        </w:rPr>
        <w:t xml:space="preserve"> defitsiitidele ning nende tasemete määramise vajalikkusele, enamasti </w:t>
      </w:r>
      <w:r w:rsidR="005E3860" w:rsidRPr="00961023">
        <w:rPr>
          <w:b/>
          <w:lang w:val="et-EE"/>
        </w:rPr>
        <w:t>6 ja 12 kuud peale operatsiooni</w:t>
      </w:r>
      <w:r w:rsidR="005E3860" w:rsidRPr="00961023">
        <w:rPr>
          <w:lang w:val="et-EE"/>
        </w:rPr>
        <w:t>.</w:t>
      </w:r>
    </w:p>
    <w:p w14:paraId="78FCC4A6" w14:textId="4F6A3D00" w:rsidR="00E40DA1" w:rsidRPr="00961023" w:rsidRDefault="00A2548C" w:rsidP="00E40DA1">
      <w:pPr>
        <w:autoSpaceDE w:val="0"/>
        <w:autoSpaceDN w:val="0"/>
        <w:adjustRightInd w:val="0"/>
        <w:rPr>
          <w:lang w:val="et-EE"/>
        </w:rPr>
      </w:pPr>
      <w:r w:rsidRPr="00961023">
        <w:rPr>
          <w:lang w:val="et-EE"/>
        </w:rPr>
        <w:t>Kliinilises küsimuses ei olnud küll esitatud, aga kirjanduse andmetel on väga levinud ka B1-vitamiini puudus, mida soovitatakse samuti jälgida.</w:t>
      </w:r>
    </w:p>
    <w:p w14:paraId="36592275" w14:textId="77777777" w:rsidR="005E3860" w:rsidRPr="00961023" w:rsidRDefault="005E3860" w:rsidP="00E40DA1">
      <w:pPr>
        <w:autoSpaceDE w:val="0"/>
        <w:autoSpaceDN w:val="0"/>
        <w:adjustRightInd w:val="0"/>
        <w:rPr>
          <w:lang w:val="et-EE"/>
        </w:rPr>
      </w:pPr>
    </w:p>
    <w:p w14:paraId="7181F6B5" w14:textId="2B183753" w:rsidR="001C53B0" w:rsidRDefault="000949CB" w:rsidP="001A2B98">
      <w:pPr>
        <w:autoSpaceDE w:val="0"/>
        <w:autoSpaceDN w:val="0"/>
        <w:adjustRightInd w:val="0"/>
        <w:rPr>
          <w:lang w:val="et-EE"/>
        </w:rPr>
      </w:pPr>
      <w:r w:rsidRPr="00961023">
        <w:rPr>
          <w:lang w:val="et-EE"/>
        </w:rPr>
        <w:t>Tugeva teaduspõhisusega uuringuid pikaajaliste postoperatiivsete komplikatsioonide kohta on vähe leida. Olemasoleva materjali põhjal võib aga väita, et toitumuslikud probleemid ja sellest tulenevad toitainete puudujäägid on väga sagedased</w:t>
      </w:r>
      <w:r w:rsidRPr="00961023">
        <w:rPr>
          <w:b/>
          <w:lang w:val="et-EE"/>
        </w:rPr>
        <w:t xml:space="preserve">. Levinuimad on </w:t>
      </w:r>
      <w:r w:rsidR="00A2548C" w:rsidRPr="00961023">
        <w:rPr>
          <w:b/>
          <w:lang w:val="et-EE"/>
        </w:rPr>
        <w:t>B</w:t>
      </w:r>
      <w:r w:rsidR="00A2548C" w:rsidRPr="00E27F73">
        <w:rPr>
          <w:b/>
          <w:vertAlign w:val="subscript"/>
          <w:lang w:val="et-EE"/>
        </w:rPr>
        <w:t>1</w:t>
      </w:r>
      <w:r w:rsidR="00A2548C" w:rsidRPr="00961023">
        <w:rPr>
          <w:b/>
          <w:lang w:val="et-EE"/>
        </w:rPr>
        <w:t xml:space="preserve">-, </w:t>
      </w:r>
      <w:r w:rsidR="005E3860" w:rsidRPr="00961023">
        <w:rPr>
          <w:b/>
          <w:lang w:val="et-EE"/>
        </w:rPr>
        <w:t>B</w:t>
      </w:r>
      <w:r w:rsidR="005E3860" w:rsidRPr="00E27F73">
        <w:rPr>
          <w:b/>
          <w:vertAlign w:val="subscript"/>
          <w:lang w:val="et-EE"/>
        </w:rPr>
        <w:t>12</w:t>
      </w:r>
      <w:r w:rsidR="005E3860" w:rsidRPr="00961023">
        <w:rPr>
          <w:b/>
          <w:lang w:val="et-EE"/>
        </w:rPr>
        <w:t xml:space="preserve">-, </w:t>
      </w:r>
      <w:r w:rsidRPr="00961023">
        <w:rPr>
          <w:b/>
          <w:lang w:val="et-EE"/>
        </w:rPr>
        <w:t>D-vitamiini</w:t>
      </w:r>
      <w:r w:rsidR="00A2548C" w:rsidRPr="00961023">
        <w:rPr>
          <w:b/>
          <w:lang w:val="et-EE"/>
        </w:rPr>
        <w:t xml:space="preserve">, </w:t>
      </w:r>
      <w:r w:rsidR="005E3860" w:rsidRPr="00961023">
        <w:rPr>
          <w:b/>
          <w:lang w:val="et-EE"/>
        </w:rPr>
        <w:t xml:space="preserve">folaadi, </w:t>
      </w:r>
      <w:r w:rsidR="00A2548C" w:rsidRPr="00961023">
        <w:rPr>
          <w:b/>
          <w:lang w:val="et-EE"/>
        </w:rPr>
        <w:t>kaltsiumi,</w:t>
      </w:r>
      <w:r w:rsidR="00E40DA1" w:rsidRPr="00961023">
        <w:rPr>
          <w:b/>
          <w:lang w:val="et-EE"/>
        </w:rPr>
        <w:t xml:space="preserve"> raua </w:t>
      </w:r>
      <w:r w:rsidR="00A2548C" w:rsidRPr="00961023">
        <w:rPr>
          <w:b/>
          <w:lang w:val="et-EE"/>
        </w:rPr>
        <w:t xml:space="preserve">ja tsingi </w:t>
      </w:r>
      <w:r w:rsidR="00E40DA1" w:rsidRPr="00961023">
        <w:rPr>
          <w:b/>
          <w:lang w:val="et-EE"/>
        </w:rPr>
        <w:t>defitsiit.</w:t>
      </w:r>
      <w:r w:rsidR="00516472" w:rsidRPr="00961023">
        <w:rPr>
          <w:lang w:val="et-EE"/>
        </w:rPr>
        <w:t xml:space="preserve"> Bariaatrilise kirurgia patsiendid vajavad regulaarset toitainete taseme jälgimist, eriti esimesel aastal peale operatsiooni. Jälg</w:t>
      </w:r>
      <w:r w:rsidR="00E27F73">
        <w:rPr>
          <w:lang w:val="et-EE"/>
        </w:rPr>
        <w:t>i</w:t>
      </w:r>
      <w:r w:rsidR="00516472" w:rsidRPr="00961023">
        <w:rPr>
          <w:lang w:val="et-EE"/>
        </w:rPr>
        <w:t>mine on vajalik selleks, et veenduda patsiendi toidulisandite tarbimises ja et varakult tuvastada makro- ja mikrotoitainete puudust</w:t>
      </w:r>
      <w:r w:rsidR="00A2548C" w:rsidRPr="00961023">
        <w:rPr>
          <w:lang w:val="et-EE"/>
        </w:rPr>
        <w:t xml:space="preserve"> või liiga</w:t>
      </w:r>
      <w:r w:rsidR="00516472" w:rsidRPr="00961023">
        <w:rPr>
          <w:lang w:val="et-EE"/>
        </w:rPr>
        <w:t>.</w:t>
      </w:r>
      <w:r w:rsidR="00A2548C" w:rsidRPr="00961023">
        <w:rPr>
          <w:lang w:val="et-EE"/>
        </w:rPr>
        <w:t xml:space="preserve"> </w:t>
      </w:r>
    </w:p>
    <w:p w14:paraId="5B0F3BD9" w14:textId="77777777" w:rsidR="001A2B98" w:rsidRPr="001A2B98" w:rsidRDefault="001A2B98" w:rsidP="001A2B98">
      <w:pPr>
        <w:autoSpaceDE w:val="0"/>
        <w:autoSpaceDN w:val="0"/>
        <w:adjustRightInd w:val="0"/>
        <w:rPr>
          <w:lang w:val="et-EE"/>
        </w:rPr>
      </w:pPr>
    </w:p>
    <w:p w14:paraId="686DA334" w14:textId="77777777" w:rsidR="000949CB" w:rsidRPr="00961023" w:rsidRDefault="000949CB" w:rsidP="000949CB">
      <w:pPr>
        <w:autoSpaceDE w:val="0"/>
        <w:autoSpaceDN w:val="0"/>
        <w:adjustRightInd w:val="0"/>
        <w:rPr>
          <w:lang w:val="et-EE"/>
        </w:rPr>
      </w:pPr>
    </w:p>
    <w:p w14:paraId="00EA10E3" w14:textId="77777777" w:rsidR="006A3BAC" w:rsidRPr="00961023" w:rsidRDefault="006A3BAC" w:rsidP="003276D8">
      <w:pPr>
        <w:autoSpaceDE w:val="0"/>
        <w:autoSpaceDN w:val="0"/>
        <w:adjustRightInd w:val="0"/>
        <w:rPr>
          <w:b/>
          <w:color w:val="131413"/>
          <w:lang w:val="et-EE"/>
        </w:rPr>
      </w:pPr>
      <w:r w:rsidRPr="00961023">
        <w:rPr>
          <w:b/>
          <w:color w:val="131413"/>
          <w:lang w:val="et-EE"/>
        </w:rPr>
        <w:t>Kokkuvõte tõendustest:</w:t>
      </w:r>
    </w:p>
    <w:p w14:paraId="2E967F66" w14:textId="77777777" w:rsidR="006A3BAC" w:rsidRPr="00961023" w:rsidRDefault="006A3BAC" w:rsidP="003276D8">
      <w:pPr>
        <w:autoSpaceDE w:val="0"/>
        <w:autoSpaceDN w:val="0"/>
        <w:adjustRightInd w:val="0"/>
        <w:rPr>
          <w:b/>
          <w:color w:val="131413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6"/>
        <w:gridCol w:w="2268"/>
      </w:tblGrid>
      <w:tr w:rsidR="006A3BAC" w:rsidRPr="00961023" w14:paraId="3AB2B061" w14:textId="77777777" w:rsidTr="003D6736">
        <w:tc>
          <w:tcPr>
            <w:tcW w:w="7196" w:type="dxa"/>
          </w:tcPr>
          <w:p w14:paraId="5EA248F7" w14:textId="77777777" w:rsidR="006A3BAC" w:rsidRPr="00961023" w:rsidRDefault="006A3BAC" w:rsidP="009C038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b/>
                <w:lang w:val="et-EE"/>
              </w:rPr>
            </w:pPr>
            <w:r w:rsidRPr="00961023">
              <w:rPr>
                <w:b/>
                <w:lang w:val="et-EE"/>
              </w:rPr>
              <w:t>Kokkuvõtted ülevaateartiklitest</w:t>
            </w:r>
          </w:p>
        </w:tc>
        <w:tc>
          <w:tcPr>
            <w:tcW w:w="2268" w:type="dxa"/>
          </w:tcPr>
          <w:p w14:paraId="12D61A11" w14:textId="77777777" w:rsidR="006A3BAC" w:rsidRPr="00961023" w:rsidRDefault="006A3BAC" w:rsidP="009C0386">
            <w:pPr>
              <w:spacing w:before="120" w:after="120"/>
              <w:rPr>
                <w:b/>
                <w:lang w:val="et-EE"/>
              </w:rPr>
            </w:pPr>
            <w:r w:rsidRPr="00961023">
              <w:rPr>
                <w:b/>
                <w:lang w:val="et-EE"/>
              </w:rPr>
              <w:t>Viide</w:t>
            </w:r>
          </w:p>
        </w:tc>
      </w:tr>
      <w:tr w:rsidR="006E7D92" w:rsidRPr="00961023" w14:paraId="4B004EEE" w14:textId="77777777" w:rsidTr="003D6736">
        <w:tc>
          <w:tcPr>
            <w:tcW w:w="7196" w:type="dxa"/>
          </w:tcPr>
          <w:p w14:paraId="1D151535" w14:textId="77777777" w:rsidR="00E865E8" w:rsidRPr="00961023" w:rsidRDefault="00E865E8" w:rsidP="00E865E8">
            <w:pPr>
              <w:tabs>
                <w:tab w:val="left" w:pos="0"/>
              </w:tabs>
              <w:rPr>
                <w:rFonts w:eastAsiaTheme="minorEastAsia"/>
                <w:color w:val="1A1718"/>
                <w:szCs w:val="15"/>
                <w:lang w:val="et-EE" w:eastAsia="ja-JP"/>
              </w:rPr>
            </w:pPr>
            <w:r w:rsidRPr="00961023">
              <w:rPr>
                <w:rFonts w:eastAsiaTheme="minorEastAsia"/>
                <w:color w:val="1A1718"/>
                <w:szCs w:val="15"/>
                <w:lang w:val="et-EE" w:eastAsia="ja-JP"/>
              </w:rPr>
              <w:t>Soovitavad perioodiliselt läbi viia kliinilised ja biokeemilised analüüsid, et tuvastada mikro- ja makrotoitainete puudujäägid (tugev soovitus, tõendusmaterjal keskmise kvaliteediga). Regulaarne vereanalüüside ja toitumise jälgmine pre- ja postoperatiivselt on optimaalse toitumise tagamise aluseks. Soovitatakse ka sellisel juhul, kui patsient talub oma dieeti hästi ning oksendamist ja kõhulahtisust ei esine. Võimaldab tuvastada subkliinilisi puudujääke.</w:t>
            </w:r>
          </w:p>
          <w:p w14:paraId="4CDB5AA2" w14:textId="77777777" w:rsidR="00E865E8" w:rsidRPr="00961023" w:rsidRDefault="00E865E8" w:rsidP="00E865E8">
            <w:pPr>
              <w:tabs>
                <w:tab w:val="left" w:pos="0"/>
              </w:tabs>
              <w:rPr>
                <w:rFonts w:eastAsiaTheme="minorEastAsia"/>
                <w:color w:val="1A1718"/>
                <w:szCs w:val="15"/>
                <w:lang w:val="et-EE" w:eastAsia="ja-JP"/>
              </w:rPr>
            </w:pPr>
            <w:r w:rsidRPr="00961023">
              <w:rPr>
                <w:rFonts w:eastAsiaTheme="minorEastAsia"/>
                <w:color w:val="1A1718"/>
                <w:szCs w:val="15"/>
                <w:lang w:val="et-EE" w:eastAsia="ja-JP"/>
              </w:rPr>
              <w:t>Algandmed soovitatakse koguda juba enne operatsiooni, et võimalikke puudujääke varakult kõrvaldada ning saada võrdlusväärtused.</w:t>
            </w:r>
          </w:p>
          <w:p w14:paraId="0BA49DC9" w14:textId="2709BADD" w:rsidR="005E1ECF" w:rsidRPr="00961023" w:rsidRDefault="00E865E8" w:rsidP="00E865E8">
            <w:pPr>
              <w:tabs>
                <w:tab w:val="left" w:pos="0"/>
              </w:tabs>
              <w:rPr>
                <w:rFonts w:eastAsiaTheme="minorEastAsia"/>
                <w:color w:val="1A1718"/>
                <w:szCs w:val="15"/>
                <w:lang w:val="et-EE" w:eastAsia="ja-JP"/>
              </w:rPr>
            </w:pPr>
            <w:r w:rsidRPr="00961023">
              <w:rPr>
                <w:rFonts w:eastAsiaTheme="minorEastAsia"/>
                <w:color w:val="1A1718"/>
                <w:szCs w:val="15"/>
                <w:lang w:val="et-EE" w:eastAsia="ja-JP"/>
              </w:rPr>
              <w:t>Postoperatiivselt soovitatakse teha järgmised analüüsid:</w:t>
            </w:r>
          </w:p>
          <w:p w14:paraId="6CBBC331" w14:textId="77777777" w:rsidR="00E865E8" w:rsidRPr="00961023" w:rsidRDefault="00E865E8" w:rsidP="00E865E8">
            <w:pPr>
              <w:tabs>
                <w:tab w:val="left" w:pos="0"/>
              </w:tabs>
              <w:rPr>
                <w:rFonts w:eastAsiaTheme="minorEastAsia"/>
                <w:color w:val="1A1718"/>
                <w:szCs w:val="15"/>
                <w:lang w:val="et-EE" w:eastAsia="ja-JP"/>
              </w:rPr>
            </w:pPr>
          </w:p>
          <w:tbl>
            <w:tblPr>
              <w:tblStyle w:val="TableGrid"/>
              <w:tblW w:w="6918" w:type="dxa"/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516"/>
              <w:gridCol w:w="553"/>
              <w:gridCol w:w="514"/>
              <w:gridCol w:w="634"/>
              <w:gridCol w:w="648"/>
              <w:gridCol w:w="521"/>
              <w:gridCol w:w="1184"/>
            </w:tblGrid>
            <w:tr w:rsidR="00E865E8" w:rsidRPr="00961023" w14:paraId="6F0727E1" w14:textId="77777777" w:rsidTr="000E507E">
              <w:tc>
                <w:tcPr>
                  <w:tcW w:w="2348" w:type="dxa"/>
                </w:tcPr>
                <w:p w14:paraId="7A3C18D2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6" w:type="dxa"/>
                </w:tcPr>
                <w:p w14:paraId="6E913163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1 k</w:t>
                  </w:r>
                </w:p>
              </w:tc>
              <w:tc>
                <w:tcPr>
                  <w:tcW w:w="553" w:type="dxa"/>
                </w:tcPr>
                <w:p w14:paraId="5320A1F8" w14:textId="77777777" w:rsidR="00E865E8" w:rsidRPr="00961023" w:rsidRDefault="00E865E8" w:rsidP="000E507E">
                  <w:pPr>
                    <w:tabs>
                      <w:tab w:val="left" w:pos="-264"/>
                    </w:tabs>
                    <w:ind w:left="-264" w:firstLine="264"/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3 k</w:t>
                  </w:r>
                </w:p>
              </w:tc>
              <w:tc>
                <w:tcPr>
                  <w:tcW w:w="514" w:type="dxa"/>
                </w:tcPr>
                <w:p w14:paraId="25F27C70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6 k</w:t>
                  </w:r>
                </w:p>
              </w:tc>
              <w:tc>
                <w:tcPr>
                  <w:tcW w:w="634" w:type="dxa"/>
                </w:tcPr>
                <w:p w14:paraId="629CAA41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1 a</w:t>
                  </w:r>
                </w:p>
              </w:tc>
              <w:tc>
                <w:tcPr>
                  <w:tcW w:w="648" w:type="dxa"/>
                </w:tcPr>
                <w:p w14:paraId="2F3C6A16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1,5 a</w:t>
                  </w:r>
                </w:p>
              </w:tc>
              <w:tc>
                <w:tcPr>
                  <w:tcW w:w="521" w:type="dxa"/>
                </w:tcPr>
                <w:p w14:paraId="3BBEAC1A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2 a</w:t>
                  </w:r>
                </w:p>
              </w:tc>
              <w:tc>
                <w:tcPr>
                  <w:tcW w:w="1184" w:type="dxa"/>
                </w:tcPr>
                <w:p w14:paraId="1CDD40AF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Iga aasta</w:t>
                  </w:r>
                </w:p>
              </w:tc>
            </w:tr>
            <w:tr w:rsidR="00E865E8" w:rsidRPr="00961023" w14:paraId="7AA4B31A" w14:textId="77777777" w:rsidTr="000E507E">
              <w:tc>
                <w:tcPr>
                  <w:tcW w:w="2348" w:type="dxa"/>
                </w:tcPr>
                <w:p w14:paraId="0091C652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Hemogramm</w:t>
                  </w:r>
                </w:p>
              </w:tc>
              <w:tc>
                <w:tcPr>
                  <w:tcW w:w="516" w:type="dxa"/>
                </w:tcPr>
                <w:p w14:paraId="7371FAB2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53" w:type="dxa"/>
                </w:tcPr>
                <w:p w14:paraId="76AB86BB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14" w:type="dxa"/>
                </w:tcPr>
                <w:p w14:paraId="2D5CBA48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34" w:type="dxa"/>
                </w:tcPr>
                <w:p w14:paraId="596329DB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48" w:type="dxa"/>
                </w:tcPr>
                <w:p w14:paraId="4C499E42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21" w:type="dxa"/>
                </w:tcPr>
                <w:p w14:paraId="3F4932CD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1184" w:type="dxa"/>
                </w:tcPr>
                <w:p w14:paraId="762EC0BB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</w:tr>
            <w:tr w:rsidR="00E865E8" w:rsidRPr="00961023" w14:paraId="1E508DBC" w14:textId="77777777" w:rsidTr="000E507E">
              <w:tc>
                <w:tcPr>
                  <w:tcW w:w="2348" w:type="dxa"/>
                </w:tcPr>
                <w:p w14:paraId="1B77DF50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Maksa funkts. testid</w:t>
                  </w:r>
                </w:p>
              </w:tc>
              <w:tc>
                <w:tcPr>
                  <w:tcW w:w="516" w:type="dxa"/>
                </w:tcPr>
                <w:p w14:paraId="60BEC512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53" w:type="dxa"/>
                </w:tcPr>
                <w:p w14:paraId="119B288C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14" w:type="dxa"/>
                </w:tcPr>
                <w:p w14:paraId="086F30A5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34" w:type="dxa"/>
                </w:tcPr>
                <w:p w14:paraId="2CA9DCBF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48" w:type="dxa"/>
                </w:tcPr>
                <w:p w14:paraId="0B8644B6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21" w:type="dxa"/>
                </w:tcPr>
                <w:p w14:paraId="3906ABDF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1184" w:type="dxa"/>
                </w:tcPr>
                <w:p w14:paraId="4FFC54DD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</w:tr>
            <w:tr w:rsidR="00E865E8" w:rsidRPr="00961023" w14:paraId="2ED83DFD" w14:textId="77777777" w:rsidTr="000E507E">
              <w:tc>
                <w:tcPr>
                  <w:tcW w:w="2348" w:type="dxa"/>
                </w:tcPr>
                <w:p w14:paraId="135A2AE9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Glükoos</w:t>
                  </w:r>
                </w:p>
              </w:tc>
              <w:tc>
                <w:tcPr>
                  <w:tcW w:w="516" w:type="dxa"/>
                </w:tcPr>
                <w:p w14:paraId="052CD64F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53" w:type="dxa"/>
                </w:tcPr>
                <w:p w14:paraId="242647E1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14" w:type="dxa"/>
                </w:tcPr>
                <w:p w14:paraId="6BA03889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34" w:type="dxa"/>
                </w:tcPr>
                <w:p w14:paraId="7CA5C9A4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48" w:type="dxa"/>
                </w:tcPr>
                <w:p w14:paraId="7F358BBD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21" w:type="dxa"/>
                </w:tcPr>
                <w:p w14:paraId="443ED8E8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1184" w:type="dxa"/>
                </w:tcPr>
                <w:p w14:paraId="3A1410E0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</w:tr>
            <w:tr w:rsidR="00E865E8" w:rsidRPr="00961023" w14:paraId="1BA3B708" w14:textId="77777777" w:rsidTr="000E507E">
              <w:tc>
                <w:tcPr>
                  <w:tcW w:w="2348" w:type="dxa"/>
                </w:tcPr>
                <w:p w14:paraId="38CED9DE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Kreatiniin</w:t>
                  </w:r>
                </w:p>
              </w:tc>
              <w:tc>
                <w:tcPr>
                  <w:tcW w:w="516" w:type="dxa"/>
                </w:tcPr>
                <w:p w14:paraId="7288F402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53" w:type="dxa"/>
                </w:tcPr>
                <w:p w14:paraId="0B05F32E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14" w:type="dxa"/>
                </w:tcPr>
                <w:p w14:paraId="7E4EE853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34" w:type="dxa"/>
                </w:tcPr>
                <w:p w14:paraId="3433B655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48" w:type="dxa"/>
                </w:tcPr>
                <w:p w14:paraId="3EE6B039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21" w:type="dxa"/>
                </w:tcPr>
                <w:p w14:paraId="33035047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1184" w:type="dxa"/>
                </w:tcPr>
                <w:p w14:paraId="212B77E8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</w:tr>
            <w:tr w:rsidR="00E865E8" w:rsidRPr="00961023" w14:paraId="53ADD3C0" w14:textId="77777777" w:rsidTr="000E507E">
              <w:tc>
                <w:tcPr>
                  <w:tcW w:w="2348" w:type="dxa"/>
                </w:tcPr>
                <w:p w14:paraId="72B166C6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Elektrolüüdid</w:t>
                  </w:r>
                </w:p>
              </w:tc>
              <w:tc>
                <w:tcPr>
                  <w:tcW w:w="516" w:type="dxa"/>
                </w:tcPr>
                <w:p w14:paraId="1AC0B4F7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53" w:type="dxa"/>
                </w:tcPr>
                <w:p w14:paraId="6DEB2518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14" w:type="dxa"/>
                </w:tcPr>
                <w:p w14:paraId="70FB00DA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34" w:type="dxa"/>
                </w:tcPr>
                <w:p w14:paraId="685CA434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648" w:type="dxa"/>
                </w:tcPr>
                <w:p w14:paraId="45144637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521" w:type="dxa"/>
                </w:tcPr>
                <w:p w14:paraId="35D69854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  <w:tc>
                <w:tcPr>
                  <w:tcW w:w="1184" w:type="dxa"/>
                </w:tcPr>
                <w:p w14:paraId="049E9B05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aps/>
                      <w:color w:val="1A1718"/>
                      <w:sz w:val="22"/>
                      <w:szCs w:val="22"/>
                      <w:lang w:val="et-EE" w:eastAsia="ja-JP"/>
                    </w:rPr>
                    <w:t>x</w:t>
                  </w:r>
                </w:p>
              </w:tc>
            </w:tr>
            <w:tr w:rsidR="00E865E8" w:rsidRPr="00961023" w14:paraId="7965A9D8" w14:textId="77777777" w:rsidTr="000E507E">
              <w:tc>
                <w:tcPr>
                  <w:tcW w:w="2348" w:type="dxa"/>
                </w:tcPr>
                <w:p w14:paraId="4EA14AC9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Raud/ferritiin</w:t>
                  </w:r>
                </w:p>
              </w:tc>
              <w:tc>
                <w:tcPr>
                  <w:tcW w:w="516" w:type="dxa"/>
                </w:tcPr>
                <w:p w14:paraId="1CBED94A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53" w:type="dxa"/>
                </w:tcPr>
                <w:p w14:paraId="60A29E4F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4" w:type="dxa"/>
                </w:tcPr>
                <w:p w14:paraId="59A01FE7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34" w:type="dxa"/>
                </w:tcPr>
                <w:p w14:paraId="6EF4CDA3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48" w:type="dxa"/>
                </w:tcPr>
                <w:p w14:paraId="4081D58F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521" w:type="dxa"/>
                </w:tcPr>
                <w:p w14:paraId="4FEAA5CA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1184" w:type="dxa"/>
                </w:tcPr>
                <w:p w14:paraId="77E72439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</w:tr>
            <w:tr w:rsidR="00E865E8" w:rsidRPr="00961023" w14:paraId="44127103" w14:textId="77777777" w:rsidTr="000E507E">
              <w:tc>
                <w:tcPr>
                  <w:tcW w:w="2348" w:type="dxa"/>
                </w:tcPr>
                <w:p w14:paraId="4C31CF82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B12-vitamiin</w:t>
                  </w:r>
                </w:p>
              </w:tc>
              <w:tc>
                <w:tcPr>
                  <w:tcW w:w="516" w:type="dxa"/>
                </w:tcPr>
                <w:p w14:paraId="2DF29ACD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53" w:type="dxa"/>
                </w:tcPr>
                <w:p w14:paraId="4F296584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4" w:type="dxa"/>
                </w:tcPr>
                <w:p w14:paraId="022857E4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34" w:type="dxa"/>
                </w:tcPr>
                <w:p w14:paraId="60C07E9F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48" w:type="dxa"/>
                </w:tcPr>
                <w:p w14:paraId="53C68DD4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521" w:type="dxa"/>
                </w:tcPr>
                <w:p w14:paraId="033BD65C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1184" w:type="dxa"/>
                </w:tcPr>
                <w:p w14:paraId="299B40D2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</w:tr>
            <w:tr w:rsidR="00E865E8" w:rsidRPr="00961023" w14:paraId="7909B075" w14:textId="77777777" w:rsidTr="000E507E">
              <w:tc>
                <w:tcPr>
                  <w:tcW w:w="2348" w:type="dxa"/>
                </w:tcPr>
                <w:p w14:paraId="12865DD4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Folaat</w:t>
                  </w:r>
                </w:p>
              </w:tc>
              <w:tc>
                <w:tcPr>
                  <w:tcW w:w="516" w:type="dxa"/>
                </w:tcPr>
                <w:p w14:paraId="47CA4A68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53" w:type="dxa"/>
                </w:tcPr>
                <w:p w14:paraId="3695610E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4" w:type="dxa"/>
                </w:tcPr>
                <w:p w14:paraId="1BB937CC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34" w:type="dxa"/>
                </w:tcPr>
                <w:p w14:paraId="2B9E3B31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48" w:type="dxa"/>
                </w:tcPr>
                <w:p w14:paraId="70519579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521" w:type="dxa"/>
                </w:tcPr>
                <w:p w14:paraId="04E03886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1184" w:type="dxa"/>
                </w:tcPr>
                <w:p w14:paraId="28E52002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</w:tr>
            <w:tr w:rsidR="00E865E8" w:rsidRPr="00961023" w14:paraId="40869F1E" w14:textId="77777777" w:rsidTr="000E507E">
              <w:tc>
                <w:tcPr>
                  <w:tcW w:w="2348" w:type="dxa"/>
                </w:tcPr>
                <w:p w14:paraId="03C38081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Kaltsium</w:t>
                  </w:r>
                </w:p>
              </w:tc>
              <w:tc>
                <w:tcPr>
                  <w:tcW w:w="516" w:type="dxa"/>
                </w:tcPr>
                <w:p w14:paraId="7E257C0C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53" w:type="dxa"/>
                </w:tcPr>
                <w:p w14:paraId="7F14D87C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4" w:type="dxa"/>
                </w:tcPr>
                <w:p w14:paraId="5DC1FE43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34" w:type="dxa"/>
                </w:tcPr>
                <w:p w14:paraId="76443BDC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48" w:type="dxa"/>
                </w:tcPr>
                <w:p w14:paraId="32B959DD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521" w:type="dxa"/>
                </w:tcPr>
                <w:p w14:paraId="0BB93F57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1184" w:type="dxa"/>
                </w:tcPr>
                <w:p w14:paraId="5CBFAE17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</w:tr>
            <w:tr w:rsidR="00E865E8" w:rsidRPr="00961023" w14:paraId="7E29E6AB" w14:textId="77777777" w:rsidTr="000E507E">
              <w:tc>
                <w:tcPr>
                  <w:tcW w:w="2348" w:type="dxa"/>
                </w:tcPr>
                <w:p w14:paraId="079317EB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PTH</w:t>
                  </w:r>
                </w:p>
              </w:tc>
              <w:tc>
                <w:tcPr>
                  <w:tcW w:w="516" w:type="dxa"/>
                </w:tcPr>
                <w:p w14:paraId="310959EE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53" w:type="dxa"/>
                </w:tcPr>
                <w:p w14:paraId="4ECBC4D8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4" w:type="dxa"/>
                </w:tcPr>
                <w:p w14:paraId="7A4B73F2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34" w:type="dxa"/>
                </w:tcPr>
                <w:p w14:paraId="3BAC172E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48" w:type="dxa"/>
                </w:tcPr>
                <w:p w14:paraId="54021ABF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521" w:type="dxa"/>
                </w:tcPr>
                <w:p w14:paraId="6FC905D3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1184" w:type="dxa"/>
                </w:tcPr>
                <w:p w14:paraId="0DF153D6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</w:tr>
            <w:tr w:rsidR="00E865E8" w:rsidRPr="00961023" w14:paraId="21A3F87D" w14:textId="77777777" w:rsidTr="000E507E">
              <w:tc>
                <w:tcPr>
                  <w:tcW w:w="2348" w:type="dxa"/>
                </w:tcPr>
                <w:p w14:paraId="28833B96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25-D</w:t>
                  </w:r>
                </w:p>
              </w:tc>
              <w:tc>
                <w:tcPr>
                  <w:tcW w:w="516" w:type="dxa"/>
                </w:tcPr>
                <w:p w14:paraId="4D91C0EF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53" w:type="dxa"/>
                </w:tcPr>
                <w:p w14:paraId="6BA369B0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4" w:type="dxa"/>
                </w:tcPr>
                <w:p w14:paraId="771A6F1C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34" w:type="dxa"/>
                </w:tcPr>
                <w:p w14:paraId="4C256DD9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48" w:type="dxa"/>
                </w:tcPr>
                <w:p w14:paraId="52F3EE3B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521" w:type="dxa"/>
                </w:tcPr>
                <w:p w14:paraId="73072373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1184" w:type="dxa"/>
                </w:tcPr>
                <w:p w14:paraId="73E7E0B2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</w:tr>
            <w:tr w:rsidR="00E865E8" w:rsidRPr="00961023" w14:paraId="270661D7" w14:textId="77777777" w:rsidTr="000E507E">
              <w:tc>
                <w:tcPr>
                  <w:tcW w:w="2348" w:type="dxa"/>
                </w:tcPr>
                <w:p w14:paraId="2A809593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Albumiin/prealbumiin</w:t>
                  </w:r>
                </w:p>
              </w:tc>
              <w:tc>
                <w:tcPr>
                  <w:tcW w:w="516" w:type="dxa"/>
                </w:tcPr>
                <w:p w14:paraId="21F6EACA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53" w:type="dxa"/>
                </w:tcPr>
                <w:p w14:paraId="189A1EAD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4" w:type="dxa"/>
                </w:tcPr>
                <w:p w14:paraId="6B979DC6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34" w:type="dxa"/>
                </w:tcPr>
                <w:p w14:paraId="328CA759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48" w:type="dxa"/>
                </w:tcPr>
                <w:p w14:paraId="58FCC2E5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521" w:type="dxa"/>
                </w:tcPr>
                <w:p w14:paraId="73CDA28E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1184" w:type="dxa"/>
                </w:tcPr>
                <w:p w14:paraId="32E219D9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</w:tr>
            <w:tr w:rsidR="00E865E8" w:rsidRPr="00961023" w14:paraId="46A28DC1" w14:textId="77777777" w:rsidTr="000E507E">
              <w:tc>
                <w:tcPr>
                  <w:tcW w:w="2348" w:type="dxa"/>
                </w:tcPr>
                <w:p w14:paraId="3AE43DF0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Tsink</w:t>
                  </w:r>
                </w:p>
              </w:tc>
              <w:tc>
                <w:tcPr>
                  <w:tcW w:w="516" w:type="dxa"/>
                </w:tcPr>
                <w:p w14:paraId="6128E8F1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53" w:type="dxa"/>
                </w:tcPr>
                <w:p w14:paraId="797D4DB3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4" w:type="dxa"/>
                </w:tcPr>
                <w:p w14:paraId="571AB84C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V</w:t>
                  </w:r>
                </w:p>
              </w:tc>
              <w:tc>
                <w:tcPr>
                  <w:tcW w:w="634" w:type="dxa"/>
                </w:tcPr>
                <w:p w14:paraId="371D2795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V</w:t>
                  </w:r>
                </w:p>
              </w:tc>
              <w:tc>
                <w:tcPr>
                  <w:tcW w:w="648" w:type="dxa"/>
                </w:tcPr>
                <w:p w14:paraId="74844F26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21" w:type="dxa"/>
                </w:tcPr>
                <w:p w14:paraId="12DD64B6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V</w:t>
                  </w:r>
                </w:p>
              </w:tc>
              <w:tc>
                <w:tcPr>
                  <w:tcW w:w="1184" w:type="dxa"/>
                </w:tcPr>
                <w:p w14:paraId="526D4FFD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V</w:t>
                  </w:r>
                </w:p>
              </w:tc>
            </w:tr>
            <w:tr w:rsidR="00E865E8" w:rsidRPr="00961023" w14:paraId="1A0C351E" w14:textId="77777777" w:rsidTr="000E507E">
              <w:tc>
                <w:tcPr>
                  <w:tcW w:w="2348" w:type="dxa"/>
                </w:tcPr>
                <w:p w14:paraId="6524EDB8" w14:textId="77777777" w:rsidR="00E865E8" w:rsidRPr="00961023" w:rsidRDefault="00E865E8" w:rsidP="000E507E">
                  <w:pPr>
                    <w:tabs>
                      <w:tab w:val="left" w:pos="0"/>
                    </w:tabs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Luutiheduse ja kehakoostise analüüs</w:t>
                  </w:r>
                </w:p>
              </w:tc>
              <w:tc>
                <w:tcPr>
                  <w:tcW w:w="516" w:type="dxa"/>
                </w:tcPr>
                <w:p w14:paraId="54C0860E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53" w:type="dxa"/>
                </w:tcPr>
                <w:p w14:paraId="78E3BB99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14" w:type="dxa"/>
                </w:tcPr>
                <w:p w14:paraId="53A0C7BB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634" w:type="dxa"/>
                </w:tcPr>
                <w:p w14:paraId="5A1B212E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648" w:type="dxa"/>
                </w:tcPr>
                <w:p w14:paraId="5DD4D027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</w:p>
              </w:tc>
              <w:tc>
                <w:tcPr>
                  <w:tcW w:w="521" w:type="dxa"/>
                </w:tcPr>
                <w:p w14:paraId="48425E54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  <w:tc>
                <w:tcPr>
                  <w:tcW w:w="1184" w:type="dxa"/>
                </w:tcPr>
                <w:p w14:paraId="3529A784" w14:textId="77777777" w:rsidR="00E865E8" w:rsidRPr="00961023" w:rsidRDefault="00E865E8" w:rsidP="000E507E">
                  <w:pPr>
                    <w:tabs>
                      <w:tab w:val="left" w:pos="0"/>
                    </w:tabs>
                    <w:jc w:val="center"/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</w:pPr>
                  <w:r w:rsidRPr="00961023">
                    <w:rPr>
                      <w:rFonts w:eastAsiaTheme="minorEastAsia"/>
                      <w:color w:val="1A1718"/>
                      <w:sz w:val="22"/>
                      <w:szCs w:val="15"/>
                      <w:lang w:val="et-EE" w:eastAsia="ja-JP"/>
                    </w:rPr>
                    <w:t>X*</w:t>
                  </w:r>
                </w:p>
              </w:tc>
            </w:tr>
          </w:tbl>
          <w:p w14:paraId="615E8248" w14:textId="77777777" w:rsidR="00E865E8" w:rsidRPr="00961023" w:rsidRDefault="00E865E8" w:rsidP="00E865E8">
            <w:pPr>
              <w:pStyle w:val="ListParagraph"/>
              <w:tabs>
                <w:tab w:val="left" w:pos="0"/>
              </w:tabs>
              <w:ind w:left="34"/>
              <w:rPr>
                <w:lang w:val="et-EE"/>
              </w:rPr>
            </w:pPr>
          </w:p>
          <w:p w14:paraId="01B901D1" w14:textId="77777777" w:rsidR="00E865E8" w:rsidRPr="00961023" w:rsidRDefault="00E865E8" w:rsidP="00E865E8">
            <w:pPr>
              <w:pStyle w:val="ListParagraph"/>
              <w:tabs>
                <w:tab w:val="left" w:pos="0"/>
              </w:tabs>
              <w:ind w:left="34"/>
              <w:rPr>
                <w:sz w:val="20"/>
                <w:lang w:val="et-EE"/>
              </w:rPr>
            </w:pPr>
            <w:r w:rsidRPr="00961023">
              <w:rPr>
                <w:sz w:val="20"/>
                <w:lang w:val="et-EE"/>
              </w:rPr>
              <w:t>X*- testid tuleks teha vaid RYGB, BPD või BPD/DS korral</w:t>
            </w:r>
          </w:p>
          <w:p w14:paraId="51180D46" w14:textId="77777777" w:rsidR="006E7D92" w:rsidRDefault="00E865E8" w:rsidP="00E865E8">
            <w:pPr>
              <w:pStyle w:val="ListParagraph"/>
              <w:tabs>
                <w:tab w:val="left" w:pos="0"/>
              </w:tabs>
              <w:spacing w:before="120" w:after="120"/>
              <w:rPr>
                <w:sz w:val="20"/>
                <w:lang w:val="et-EE"/>
              </w:rPr>
            </w:pPr>
            <w:r w:rsidRPr="00961023">
              <w:rPr>
                <w:sz w:val="20"/>
                <w:lang w:val="et-EE"/>
              </w:rPr>
              <w:t>V- valikuline</w:t>
            </w:r>
          </w:p>
          <w:p w14:paraId="3F5D34F0" w14:textId="77777777" w:rsidR="003D6736" w:rsidRDefault="003D6736" w:rsidP="00E865E8">
            <w:pPr>
              <w:pStyle w:val="ListParagraph"/>
              <w:tabs>
                <w:tab w:val="left" w:pos="0"/>
              </w:tabs>
              <w:spacing w:before="120" w:after="120"/>
              <w:rPr>
                <w:lang w:val="et-EE"/>
              </w:rPr>
            </w:pPr>
          </w:p>
          <w:p w14:paraId="31633BC4" w14:textId="3187537E" w:rsidR="003D6736" w:rsidRPr="00961023" w:rsidRDefault="003D6736" w:rsidP="00E865E8">
            <w:pPr>
              <w:pStyle w:val="ListParagraph"/>
              <w:tabs>
                <w:tab w:val="left" w:pos="0"/>
              </w:tabs>
              <w:spacing w:before="120" w:after="120"/>
              <w:rPr>
                <w:lang w:val="et-EE"/>
              </w:rPr>
            </w:pPr>
          </w:p>
        </w:tc>
        <w:tc>
          <w:tcPr>
            <w:tcW w:w="2268" w:type="dxa"/>
          </w:tcPr>
          <w:p w14:paraId="4339498D" w14:textId="09D98AE3" w:rsidR="006E7D92" w:rsidRPr="00961023" w:rsidRDefault="006E7D92" w:rsidP="009C0386">
            <w:pPr>
              <w:spacing w:before="120" w:after="120"/>
              <w:ind w:left="720" w:hanging="720"/>
              <w:rPr>
                <w:noProof/>
                <w:lang w:val="et-EE"/>
              </w:rPr>
            </w:pPr>
            <w:bookmarkStart w:id="0" w:name="_ENREF_1"/>
            <w:r w:rsidRPr="00961023">
              <w:rPr>
                <w:noProof/>
                <w:lang w:val="et-EE"/>
              </w:rPr>
              <w:t>1. Ravijuhend</w:t>
            </w:r>
          </w:p>
          <w:p w14:paraId="07C774D4" w14:textId="74B7BF8E" w:rsidR="006E7D92" w:rsidRPr="00961023" w:rsidRDefault="006E7D92" w:rsidP="00E865E8">
            <w:pPr>
              <w:spacing w:before="120" w:after="120"/>
              <w:ind w:left="34"/>
              <w:rPr>
                <w:noProof/>
                <w:lang w:val="et-EE"/>
              </w:rPr>
            </w:pPr>
            <w:r w:rsidRPr="00961023">
              <w:rPr>
                <w:noProof/>
                <w:lang w:val="et-EE"/>
              </w:rPr>
              <w:t>Heber, D.</w:t>
            </w:r>
            <w:r w:rsidRPr="00961023">
              <w:rPr>
                <w:i/>
                <w:noProof/>
                <w:lang w:val="et-EE"/>
              </w:rPr>
              <w:t>, et al.</w:t>
            </w:r>
            <w:r w:rsidRPr="00961023">
              <w:rPr>
                <w:noProof/>
                <w:lang w:val="et-EE"/>
              </w:rPr>
              <w:t xml:space="preserve"> Endocrine and nutritional management of the post-bariatric surgery patient: an Endocrine Society Clinical Practice Guideline. </w:t>
            </w:r>
            <w:r w:rsidRPr="00961023">
              <w:rPr>
                <w:i/>
                <w:noProof/>
                <w:lang w:val="et-EE"/>
              </w:rPr>
              <w:t>The Journal of clinical endocrinology and metabolism</w:t>
            </w:r>
            <w:r w:rsidRPr="00961023">
              <w:rPr>
                <w:noProof/>
                <w:lang w:val="et-EE"/>
              </w:rPr>
              <w:t xml:space="preserve"> </w:t>
            </w:r>
            <w:r w:rsidRPr="00961023">
              <w:rPr>
                <w:b/>
                <w:noProof/>
                <w:lang w:val="et-EE"/>
              </w:rPr>
              <w:t>95</w:t>
            </w:r>
            <w:r w:rsidRPr="00961023">
              <w:rPr>
                <w:noProof/>
                <w:lang w:val="et-EE"/>
              </w:rPr>
              <w:t>, 4823-4843 (2010).</w:t>
            </w:r>
            <w:bookmarkEnd w:id="0"/>
          </w:p>
          <w:p w14:paraId="46F89F33" w14:textId="5E3570E7" w:rsidR="006E7D92" w:rsidRPr="00961023" w:rsidRDefault="006E7D92" w:rsidP="009C0386">
            <w:pPr>
              <w:spacing w:before="120" w:after="120"/>
              <w:rPr>
                <w:b/>
                <w:lang w:val="et-EE"/>
              </w:rPr>
            </w:pPr>
          </w:p>
        </w:tc>
      </w:tr>
      <w:tr w:rsidR="00922D60" w:rsidRPr="00961023" w14:paraId="48AC4E6C" w14:textId="77777777" w:rsidTr="003D6736">
        <w:tc>
          <w:tcPr>
            <w:tcW w:w="7196" w:type="dxa"/>
          </w:tcPr>
          <w:p w14:paraId="504EC44D" w14:textId="21D821BF" w:rsidR="00922D60" w:rsidRPr="00961023" w:rsidRDefault="00C53590" w:rsidP="00E865E8">
            <w:p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lastRenderedPageBreak/>
              <w:t>Meta-analüüs (</w:t>
            </w:r>
            <w:r w:rsidRPr="00961023">
              <w:rPr>
                <w:color w:val="131413"/>
                <w:lang w:val="et-EE"/>
              </w:rPr>
              <w:t>tõenduspõhisuse tase</w:t>
            </w:r>
            <w:r w:rsidR="0043656C" w:rsidRPr="00961023">
              <w:rPr>
                <w:lang w:val="et-EE"/>
              </w:rPr>
              <w:t xml:space="preserve"> A), mis sisaldas 9 artiklit vastavalt seatud kriteeriumitele, tagades 1104 patsiendi andmed.</w:t>
            </w:r>
            <w:r w:rsidR="00527249" w:rsidRPr="00961023">
              <w:rPr>
                <w:lang w:val="et-EE"/>
              </w:rPr>
              <w:t xml:space="preserve"> Võrreldes SG patsientidega on RYGB patsientidel suurem tõenäosus postoperatiivse B</w:t>
            </w:r>
            <w:r w:rsidR="00527249" w:rsidRPr="00961023">
              <w:rPr>
                <w:vertAlign w:val="subscript"/>
                <w:lang w:val="et-EE"/>
              </w:rPr>
              <w:t>12</w:t>
            </w:r>
            <w:r w:rsidR="00527249" w:rsidRPr="00961023">
              <w:rPr>
                <w:lang w:val="et-EE"/>
              </w:rPr>
              <w:t>-vitamiini defitsiidi tekkeks (</w:t>
            </w:r>
            <w:r w:rsidR="00527249" w:rsidRPr="00961023">
              <w:rPr>
                <w:lang w:val="et-EE" w:eastAsia="et-EE"/>
              </w:rPr>
              <w:t xml:space="preserve">(OR = 3.55, 95% CI = 1.26-10.01; </w:t>
            </w:r>
            <w:r w:rsidR="00527249" w:rsidRPr="00961023">
              <w:rPr>
                <w:i/>
                <w:lang w:val="et-EE" w:eastAsia="et-EE"/>
              </w:rPr>
              <w:t>P</w:t>
            </w:r>
            <w:r w:rsidR="00527249" w:rsidRPr="00961023">
              <w:rPr>
                <w:lang w:val="et-EE" w:eastAsia="et-EE"/>
              </w:rPr>
              <w:t xml:space="preserve"> &lt; .001)</w:t>
            </w:r>
            <w:r w:rsidR="00AF56C2" w:rsidRPr="00961023">
              <w:rPr>
                <w:lang w:val="et-EE"/>
              </w:rPr>
              <w:t>. Aneemia ja rauapuuduse tekkeriski poolest on mõlemad meetodid sarnased.</w:t>
            </w:r>
          </w:p>
        </w:tc>
        <w:tc>
          <w:tcPr>
            <w:tcW w:w="2268" w:type="dxa"/>
          </w:tcPr>
          <w:p w14:paraId="2C5B6131" w14:textId="01D7E12C" w:rsidR="00922D60" w:rsidRPr="00961023" w:rsidRDefault="00837281" w:rsidP="009C0386">
            <w:p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2. Kwon, Y. et al Anemia, iron and vitamin B</w:t>
            </w:r>
            <w:r w:rsidRPr="00961023">
              <w:rPr>
                <w:vertAlign w:val="subscript"/>
                <w:lang w:val="et-EE"/>
              </w:rPr>
              <w:t>12</w:t>
            </w:r>
            <w:r w:rsidRPr="00961023">
              <w:rPr>
                <w:lang w:val="et-EE"/>
              </w:rPr>
              <w:t xml:space="preserve"> deficiencies after sleeve gastrectomy compared to Roux-en-Y gastric bypass: a meta-analysis. </w:t>
            </w:r>
            <w:r w:rsidRPr="00961023">
              <w:rPr>
                <w:i/>
                <w:lang w:val="et-EE"/>
              </w:rPr>
              <w:t>Surg Obes Relat Dis.</w:t>
            </w:r>
            <w:r w:rsidR="000176F9" w:rsidRPr="00961023">
              <w:rPr>
                <w:lang w:val="et-EE"/>
              </w:rPr>
              <w:t xml:space="preserve"> </w:t>
            </w:r>
            <w:r w:rsidR="000176F9" w:rsidRPr="00961023">
              <w:rPr>
                <w:b/>
                <w:lang w:val="et-EE"/>
              </w:rPr>
              <w:t>10</w:t>
            </w:r>
            <w:r w:rsidR="000176F9" w:rsidRPr="00961023">
              <w:rPr>
                <w:lang w:val="et-EE"/>
              </w:rPr>
              <w:t>, 589-597 (2014).</w:t>
            </w:r>
          </w:p>
        </w:tc>
      </w:tr>
      <w:tr w:rsidR="00922D60" w:rsidRPr="00961023" w14:paraId="25C49EC0" w14:textId="77777777" w:rsidTr="003D6736">
        <w:tc>
          <w:tcPr>
            <w:tcW w:w="7196" w:type="dxa"/>
          </w:tcPr>
          <w:p w14:paraId="63A91500" w14:textId="636DCAFE" w:rsidR="00BF70C4" w:rsidRPr="00961023" w:rsidRDefault="00D17473" w:rsidP="004166F7">
            <w:pPr>
              <w:rPr>
                <w:lang w:val="et-EE"/>
              </w:rPr>
            </w:pPr>
            <w:r w:rsidRPr="00961023">
              <w:rPr>
                <w:lang w:val="et-EE"/>
              </w:rPr>
              <w:t>Postoperatiivselt soovitatakse rutiinselt kontrollida elektrolüüte, valku, rasvlahustuvaid vitamiine, foolhapet, rauda ja B</w:t>
            </w:r>
            <w:r w:rsidRPr="00961023">
              <w:rPr>
                <w:vertAlign w:val="subscript"/>
                <w:lang w:val="et-EE"/>
              </w:rPr>
              <w:t>12</w:t>
            </w:r>
            <w:r w:rsidR="004166F7" w:rsidRPr="00961023">
              <w:rPr>
                <w:vertAlign w:val="subscript"/>
                <w:lang w:val="et-EE"/>
              </w:rPr>
              <w:t>,</w:t>
            </w:r>
            <w:r w:rsidR="004166F7" w:rsidRPr="00961023">
              <w:rPr>
                <w:lang w:val="et-EE"/>
              </w:rPr>
              <w:t>-</w:t>
            </w:r>
            <w:r w:rsidR="004166F7" w:rsidRPr="00961023">
              <w:rPr>
                <w:vertAlign w:val="subscript"/>
                <w:lang w:val="et-EE"/>
              </w:rPr>
              <w:t xml:space="preserve"> </w:t>
            </w:r>
            <w:r w:rsidR="004166F7" w:rsidRPr="00961023">
              <w:rPr>
                <w:lang w:val="et-EE"/>
              </w:rPr>
              <w:t>B</w:t>
            </w:r>
            <w:r w:rsidR="004166F7" w:rsidRPr="00961023">
              <w:rPr>
                <w:vertAlign w:val="subscript"/>
                <w:lang w:val="et-EE"/>
              </w:rPr>
              <w:t>1</w:t>
            </w:r>
            <w:r w:rsidRPr="00961023">
              <w:rPr>
                <w:lang w:val="et-EE"/>
              </w:rPr>
              <w:t>-</w:t>
            </w:r>
            <w:r w:rsidR="004166F7" w:rsidRPr="00961023">
              <w:rPr>
                <w:lang w:val="et-EE"/>
              </w:rPr>
              <w:t>, D-</w:t>
            </w:r>
            <w:r w:rsidRPr="00961023">
              <w:rPr>
                <w:lang w:val="et-EE"/>
              </w:rPr>
              <w:t xml:space="preserve">vitamiini </w:t>
            </w:r>
            <w:r w:rsidR="004166F7" w:rsidRPr="00961023">
              <w:rPr>
                <w:lang w:val="et-EE"/>
              </w:rPr>
              <w:t>ja PTH taset</w:t>
            </w:r>
            <w:r w:rsidRPr="00961023">
              <w:rPr>
                <w:lang w:val="et-EE"/>
              </w:rPr>
              <w:t xml:space="preserve">. Soovituslikult üks kontroll 6 kuud peale operatsiooni, seejärel </w:t>
            </w:r>
            <w:r w:rsidR="004166F7" w:rsidRPr="00961023">
              <w:rPr>
                <w:lang w:val="et-EE"/>
              </w:rPr>
              <w:t xml:space="preserve">kord </w:t>
            </w:r>
            <w:r w:rsidRPr="00961023">
              <w:rPr>
                <w:lang w:val="et-EE"/>
              </w:rPr>
              <w:t>aastas.</w:t>
            </w:r>
            <w:r w:rsidR="00C53590" w:rsidRPr="00961023">
              <w:rPr>
                <w:lang w:val="et-EE"/>
              </w:rPr>
              <w:t xml:space="preserve"> (</w:t>
            </w:r>
            <w:r w:rsidR="00C53590" w:rsidRPr="00961023">
              <w:rPr>
                <w:color w:val="131413"/>
                <w:lang w:val="et-EE"/>
              </w:rPr>
              <w:t xml:space="preserve">tõenduspõhisuse tase </w:t>
            </w:r>
            <w:r w:rsidR="008441BF" w:rsidRPr="00961023">
              <w:rPr>
                <w:lang w:val="et-EE"/>
              </w:rPr>
              <w:t>C)</w:t>
            </w:r>
          </w:p>
        </w:tc>
        <w:tc>
          <w:tcPr>
            <w:tcW w:w="2268" w:type="dxa"/>
          </w:tcPr>
          <w:p w14:paraId="16B7D720" w14:textId="7D17371D" w:rsidR="00922D60" w:rsidRPr="00961023" w:rsidRDefault="00502909" w:rsidP="009C0386">
            <w:pPr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3. Stroh, C. et al. Nutrient Deficiencies after Bariatric Surgery-Systematic Literature Review and Suggestions for Diagnostics and Treatment. Zentralbl Chir. 3 (2013).</w:t>
            </w:r>
          </w:p>
        </w:tc>
      </w:tr>
    </w:tbl>
    <w:p w14:paraId="3351FAAF" w14:textId="64CA0C2D" w:rsidR="006A3BAC" w:rsidRPr="00961023" w:rsidRDefault="006A3BAC" w:rsidP="004D3FBA">
      <w:pPr>
        <w:shd w:val="clear" w:color="auto" w:fill="FFFFFF"/>
        <w:spacing w:before="240" w:after="120"/>
        <w:outlineLvl w:val="0"/>
        <w:rPr>
          <w:b/>
          <w:bCs/>
          <w:color w:val="000000"/>
          <w:kern w:val="36"/>
          <w:lang w:val="et-EE"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268"/>
      </w:tblGrid>
      <w:tr w:rsidR="004D3FBA" w:rsidRPr="00961023" w14:paraId="5D02BE7E" w14:textId="77777777" w:rsidTr="003D6736">
        <w:tc>
          <w:tcPr>
            <w:tcW w:w="9464" w:type="dxa"/>
            <w:gridSpan w:val="2"/>
          </w:tcPr>
          <w:p w14:paraId="1E848583" w14:textId="29A1F57B" w:rsidR="004D3FBA" w:rsidRPr="00961023" w:rsidRDefault="004D3FBA" w:rsidP="004D3FBA">
            <w:pPr>
              <w:pStyle w:val="ListParagraph"/>
              <w:spacing w:before="120" w:after="120"/>
              <w:ind w:left="0"/>
              <w:rPr>
                <w:noProof/>
                <w:lang w:val="et-EE"/>
              </w:rPr>
            </w:pPr>
            <w:r w:rsidRPr="00961023">
              <w:rPr>
                <w:b/>
                <w:bCs/>
                <w:color w:val="000000"/>
                <w:kern w:val="36"/>
                <w:lang w:val="et-EE" w:eastAsia="et-EE"/>
              </w:rPr>
              <w:t xml:space="preserve">2. </w:t>
            </w:r>
            <w:r w:rsidRPr="00961023">
              <w:rPr>
                <w:b/>
                <w:lang w:val="et-EE"/>
              </w:rPr>
              <w:t>Kokkuvõtted ülevaateartiklitest ja empiirilistest uuringutest, mida ravijuhised ei kajastanud</w:t>
            </w:r>
          </w:p>
        </w:tc>
      </w:tr>
      <w:tr w:rsidR="00E0643A" w:rsidRPr="00961023" w14:paraId="77F1C6E3" w14:textId="77777777" w:rsidTr="00E0643A">
        <w:tc>
          <w:tcPr>
            <w:tcW w:w="7196" w:type="dxa"/>
          </w:tcPr>
          <w:p w14:paraId="55919D80" w14:textId="0941E0E4" w:rsidR="00F24156" w:rsidRPr="00961023" w:rsidRDefault="00F24156" w:rsidP="003D6736">
            <w:pPr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Ülevaateartikkel kuhu kaasati inglise, prantsuse ja saksa keelsed artiklid ajavahemikust 1980-2014</w:t>
            </w:r>
            <w:r w:rsidR="00C53590" w:rsidRPr="00961023">
              <w:rPr>
                <w:lang w:val="et-EE"/>
              </w:rPr>
              <w:t xml:space="preserve"> (</w:t>
            </w:r>
            <w:r w:rsidR="00C53590" w:rsidRPr="00961023">
              <w:rPr>
                <w:color w:val="131413"/>
                <w:lang w:val="et-EE"/>
              </w:rPr>
              <w:t xml:space="preserve">tõenduspõhisuse tase </w:t>
            </w:r>
            <w:r w:rsidR="00F96F91" w:rsidRPr="00961023">
              <w:rPr>
                <w:lang w:val="et-EE"/>
              </w:rPr>
              <w:t>B)</w:t>
            </w:r>
            <w:r w:rsidRPr="00961023">
              <w:rPr>
                <w:lang w:val="et-EE"/>
              </w:rPr>
              <w:t>.</w:t>
            </w:r>
            <w:r w:rsidR="003D6736">
              <w:rPr>
                <w:lang w:val="et-EE"/>
              </w:rPr>
              <w:t xml:space="preserve"> </w:t>
            </w:r>
            <w:r w:rsidRPr="00961023">
              <w:rPr>
                <w:lang w:val="et-EE"/>
              </w:rPr>
              <w:t>Bariaatrilise kirurgia patsiendid vajavad regulaarset toitainete taseme jälgimist, eriti esimesel aastal peale operatsiooni. Jälgmine on vajalik selleks, et veenduda patsiendi toidulisandite tarbimises ja et varakult tuvastada makro- ja mikrotoitainete puudust.</w:t>
            </w:r>
          </w:p>
          <w:p w14:paraId="4E540952" w14:textId="77777777" w:rsidR="00F24156" w:rsidRPr="00961023" w:rsidRDefault="00F24156" w:rsidP="00A5641E">
            <w:pPr>
              <w:rPr>
                <w:lang w:val="et-EE"/>
              </w:rPr>
            </w:pPr>
            <w:r w:rsidRPr="00961023">
              <w:rPr>
                <w:lang w:val="et-EE"/>
              </w:rPr>
              <w:t>B</w:t>
            </w:r>
            <w:r w:rsidRPr="003D6736">
              <w:rPr>
                <w:vertAlign w:val="subscript"/>
                <w:lang w:val="et-EE"/>
              </w:rPr>
              <w:t>12</w:t>
            </w:r>
            <w:r w:rsidRPr="00961023">
              <w:rPr>
                <w:lang w:val="et-EE"/>
              </w:rPr>
              <w:t>, D, Zn (6., 12., 24. kuul ja seejärel kord aastas).</w:t>
            </w:r>
          </w:p>
          <w:p w14:paraId="08F6761E" w14:textId="77777777" w:rsidR="00F24156" w:rsidRPr="00961023" w:rsidRDefault="00F24156" w:rsidP="00A5641E">
            <w:pPr>
              <w:rPr>
                <w:lang w:val="et-EE"/>
              </w:rPr>
            </w:pPr>
            <w:r w:rsidRPr="00961023">
              <w:rPr>
                <w:lang w:val="et-EE"/>
              </w:rPr>
              <w:t>Raud (3., 6., 12., 18. ja 24. kuul ja seejärel kord aastas).</w:t>
            </w:r>
          </w:p>
          <w:p w14:paraId="721E22E1" w14:textId="77777777" w:rsidR="00F24156" w:rsidRPr="00961023" w:rsidRDefault="00F24156" w:rsidP="00A5641E">
            <w:pPr>
              <w:rPr>
                <w:lang w:val="et-EE"/>
              </w:rPr>
            </w:pPr>
            <w:r w:rsidRPr="00961023">
              <w:rPr>
                <w:lang w:val="et-EE"/>
              </w:rPr>
              <w:t>Ca (6., 12., 18. Ja 24. Kuul)</w:t>
            </w:r>
          </w:p>
          <w:p w14:paraId="092D049B" w14:textId="77777777" w:rsidR="00F24156" w:rsidRPr="00961023" w:rsidRDefault="00F24156" w:rsidP="00A5641E">
            <w:pPr>
              <w:rPr>
                <w:lang w:val="et-EE"/>
              </w:rPr>
            </w:pPr>
            <w:r w:rsidRPr="00961023">
              <w:rPr>
                <w:lang w:val="et-EE"/>
              </w:rPr>
              <w:t>iPTH (12., 18. Ja 24. Kuul)</w:t>
            </w:r>
          </w:p>
          <w:p w14:paraId="1F167352" w14:textId="77777777" w:rsidR="00F24156" w:rsidRPr="00961023" w:rsidRDefault="00F24156" w:rsidP="00A5641E">
            <w:pPr>
              <w:rPr>
                <w:lang w:val="et-EE"/>
              </w:rPr>
            </w:pPr>
            <w:r w:rsidRPr="00961023">
              <w:rPr>
                <w:lang w:val="et-EE"/>
              </w:rPr>
              <w:t>Levinuimad puudujäägid on B</w:t>
            </w:r>
            <w:r w:rsidRPr="003D6736">
              <w:rPr>
                <w:vertAlign w:val="subscript"/>
                <w:lang w:val="et-EE"/>
              </w:rPr>
              <w:t>1</w:t>
            </w:r>
            <w:r w:rsidRPr="00961023">
              <w:rPr>
                <w:lang w:val="et-EE"/>
              </w:rPr>
              <w:t xml:space="preserve"> (≤49%), B</w:t>
            </w:r>
            <w:r w:rsidRPr="003D6736">
              <w:rPr>
                <w:vertAlign w:val="subscript"/>
                <w:lang w:val="et-EE"/>
              </w:rPr>
              <w:t>12</w:t>
            </w:r>
            <w:r w:rsidRPr="00961023">
              <w:rPr>
                <w:lang w:val="et-EE"/>
              </w:rPr>
              <w:t xml:space="preserve"> (19-35%), D (25-73%), raud (17-45%) ja tsink (12-91%).</w:t>
            </w:r>
          </w:p>
          <w:p w14:paraId="6B0AD3CE" w14:textId="195DF3C9" w:rsidR="00F24156" w:rsidRPr="00961023" w:rsidRDefault="00F24156" w:rsidP="002A40AC">
            <w:pPr>
              <w:autoSpaceDE w:val="0"/>
              <w:autoSpaceDN w:val="0"/>
              <w:adjustRightInd w:val="0"/>
              <w:rPr>
                <w:iCs/>
                <w:lang w:val="et-EE"/>
              </w:rPr>
            </w:pPr>
          </w:p>
        </w:tc>
        <w:tc>
          <w:tcPr>
            <w:tcW w:w="2268" w:type="dxa"/>
          </w:tcPr>
          <w:p w14:paraId="6E34BADE" w14:textId="6E7C3DF0" w:rsidR="00F24156" w:rsidRPr="00961023" w:rsidRDefault="00F24156" w:rsidP="0005465A">
            <w:pPr>
              <w:pStyle w:val="ListParagraph"/>
              <w:numPr>
                <w:ilvl w:val="0"/>
                <w:numId w:val="12"/>
              </w:numPr>
              <w:rPr>
                <w:iCs/>
                <w:lang w:val="et-EE"/>
              </w:rPr>
            </w:pPr>
            <w:r w:rsidRPr="00961023">
              <w:rPr>
                <w:noProof/>
                <w:lang w:val="et-EE"/>
              </w:rPr>
              <w:t xml:space="preserve">Stein, J., Stier, C., Raab, H. &amp; Weiner, R. Review article: The nutritional and pharmacological consequences of obesity surgery. </w:t>
            </w:r>
            <w:r w:rsidRPr="00961023">
              <w:rPr>
                <w:i/>
                <w:noProof/>
                <w:lang w:val="et-EE"/>
              </w:rPr>
              <w:t>Alimentary pharmacology &amp; therapeutics</w:t>
            </w:r>
            <w:r w:rsidRPr="00961023">
              <w:rPr>
                <w:noProof/>
                <w:lang w:val="et-EE"/>
              </w:rPr>
              <w:t xml:space="preserve"> </w:t>
            </w:r>
            <w:r w:rsidRPr="00961023">
              <w:rPr>
                <w:b/>
                <w:noProof/>
                <w:lang w:val="et-EE"/>
              </w:rPr>
              <w:t>40</w:t>
            </w:r>
            <w:r w:rsidRPr="00961023">
              <w:rPr>
                <w:noProof/>
                <w:lang w:val="et-EE"/>
              </w:rPr>
              <w:t>, 582-609 (2014).</w:t>
            </w:r>
          </w:p>
        </w:tc>
      </w:tr>
      <w:tr w:rsidR="00E0643A" w:rsidRPr="00961023" w14:paraId="37AC48B2" w14:textId="77777777" w:rsidTr="00E0643A">
        <w:tc>
          <w:tcPr>
            <w:tcW w:w="7196" w:type="dxa"/>
          </w:tcPr>
          <w:p w14:paraId="1E8BA029" w14:textId="1F895D77" w:rsidR="00F24156" w:rsidRPr="00961023" w:rsidRDefault="00F24156" w:rsidP="00F24156">
            <w:pPr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Analüüsiti 21 345 bariaatrilise patsiendi kindlustusandmeid ajavahemikust 2002-2008</w:t>
            </w:r>
            <w:r w:rsidR="00C53590" w:rsidRPr="00961023">
              <w:rPr>
                <w:lang w:val="et-EE"/>
              </w:rPr>
              <w:t xml:space="preserve"> (</w:t>
            </w:r>
            <w:r w:rsidR="00C53590" w:rsidRPr="00961023">
              <w:rPr>
                <w:color w:val="131413"/>
                <w:lang w:val="et-EE"/>
              </w:rPr>
              <w:t>tõenduspõhisuse tase</w:t>
            </w:r>
            <w:r w:rsidR="005A0F12" w:rsidRPr="00961023">
              <w:rPr>
                <w:lang w:val="et-EE"/>
              </w:rPr>
              <w:t xml:space="preserve"> C)</w:t>
            </w:r>
            <w:r w:rsidRPr="00961023">
              <w:rPr>
                <w:lang w:val="et-EE"/>
              </w:rPr>
              <w:t>.</w:t>
            </w:r>
          </w:p>
          <w:p w14:paraId="59AEEFAD" w14:textId="77777777" w:rsidR="00F24156" w:rsidRPr="00961023" w:rsidRDefault="00F24156" w:rsidP="00104DFF">
            <w:p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 xml:space="preserve">Vaadeldi vereanalüüside tegemise hulka 12 kuu, 13-24 kuu ja 25-36 kuu jooksul peale operatsiooni </w:t>
            </w:r>
          </w:p>
          <w:p w14:paraId="272DABBF" w14:textId="77777777" w:rsidR="00F24156" w:rsidRPr="00961023" w:rsidRDefault="00F24156" w:rsidP="00104DFF">
            <w:pPr>
              <w:rPr>
                <w:lang w:val="et-EE"/>
              </w:rPr>
            </w:pPr>
            <w:r w:rsidRPr="00961023">
              <w:rPr>
                <w:lang w:val="et-EE"/>
              </w:rPr>
              <w:t>12 kuu jooksul peale operatsiooni testiti D-vitamiini (34% patsiendil)</w:t>
            </w:r>
          </w:p>
          <w:p w14:paraId="1E228772" w14:textId="77777777" w:rsidR="00F24156" w:rsidRPr="00961023" w:rsidRDefault="00F24156" w:rsidP="00104DFF">
            <w:pPr>
              <w:rPr>
                <w:lang w:val="et-EE"/>
              </w:rPr>
            </w:pPr>
            <w:r w:rsidRPr="00961023">
              <w:rPr>
                <w:lang w:val="et-EE"/>
              </w:rPr>
              <w:t>B</w:t>
            </w:r>
            <w:r w:rsidRPr="003D6736">
              <w:rPr>
                <w:vertAlign w:val="subscript"/>
                <w:lang w:val="et-EE"/>
              </w:rPr>
              <w:t xml:space="preserve">12 </w:t>
            </w:r>
            <w:r w:rsidRPr="00961023">
              <w:rPr>
                <w:lang w:val="et-EE"/>
              </w:rPr>
              <w:t>(20%), folaadi (13%) ja raua (10%) puudusi.</w:t>
            </w:r>
          </w:p>
          <w:p w14:paraId="5C6AD524" w14:textId="492F1C7F" w:rsidR="00F24156" w:rsidRPr="00961023" w:rsidRDefault="00F24156" w:rsidP="00E865E8">
            <w:pPr>
              <w:autoSpaceDE w:val="0"/>
              <w:autoSpaceDN w:val="0"/>
              <w:adjustRightInd w:val="0"/>
              <w:rPr>
                <w:iCs/>
                <w:lang w:val="et-EE"/>
              </w:rPr>
            </w:pPr>
            <w:r w:rsidRPr="00961023">
              <w:rPr>
                <w:lang w:val="et-EE"/>
              </w:rPr>
              <w:t xml:space="preserve">Kuigi kõikidel patsientidel ei tehtud analüüse, siis testitavate puhul esines madalaid tasemeid tihti. Seetõttu uurimisgrupp soovitab siiski </w:t>
            </w:r>
            <w:r w:rsidRPr="00961023">
              <w:rPr>
                <w:lang w:val="et-EE"/>
              </w:rPr>
              <w:lastRenderedPageBreak/>
              <w:t>nimetatud analüüsid teha kõikidele patsientidele, eelkõige just neile, kes läbivad restrictive operatsiooni. RYGB patsientidele soovitatakse eelkõige folaadi määramist ja malabsorptiivse op</w:t>
            </w:r>
            <w:r w:rsidR="00A2548C" w:rsidRPr="00961023">
              <w:rPr>
                <w:lang w:val="et-EE"/>
              </w:rPr>
              <w:t>eratsiooni</w:t>
            </w:r>
            <w:r w:rsidRPr="00961023">
              <w:rPr>
                <w:lang w:val="et-EE"/>
              </w:rPr>
              <w:t xml:space="preserve"> läbinutele D-vitamiini määramist.</w:t>
            </w:r>
          </w:p>
        </w:tc>
        <w:tc>
          <w:tcPr>
            <w:tcW w:w="2268" w:type="dxa"/>
          </w:tcPr>
          <w:p w14:paraId="03824561" w14:textId="4436312A" w:rsidR="00F24156" w:rsidRPr="00961023" w:rsidRDefault="00F24156" w:rsidP="0005465A">
            <w:pPr>
              <w:pStyle w:val="ListParagraph"/>
              <w:numPr>
                <w:ilvl w:val="0"/>
                <w:numId w:val="12"/>
              </w:numPr>
              <w:rPr>
                <w:iCs/>
                <w:lang w:val="et-EE"/>
              </w:rPr>
            </w:pPr>
            <w:r w:rsidRPr="00961023">
              <w:rPr>
                <w:noProof/>
                <w:lang w:val="et-EE"/>
              </w:rPr>
              <w:lastRenderedPageBreak/>
              <w:t>Gudzune, K.A.</w:t>
            </w:r>
            <w:r w:rsidRPr="00961023">
              <w:rPr>
                <w:i/>
                <w:noProof/>
                <w:lang w:val="et-EE"/>
              </w:rPr>
              <w:t>, et al.</w:t>
            </w:r>
            <w:r w:rsidRPr="00961023">
              <w:rPr>
                <w:noProof/>
                <w:lang w:val="et-EE"/>
              </w:rPr>
              <w:t xml:space="preserve"> Screening and diagnosis of micronutrient deficiencies before and after bariatric surgery. </w:t>
            </w:r>
            <w:r w:rsidRPr="00961023">
              <w:rPr>
                <w:i/>
                <w:noProof/>
                <w:lang w:val="et-EE"/>
              </w:rPr>
              <w:t>Obes Surg</w:t>
            </w:r>
            <w:r w:rsidRPr="00961023">
              <w:rPr>
                <w:noProof/>
                <w:lang w:val="et-EE"/>
              </w:rPr>
              <w:t xml:space="preserve"> </w:t>
            </w:r>
            <w:r w:rsidRPr="00961023">
              <w:rPr>
                <w:b/>
                <w:noProof/>
                <w:lang w:val="et-EE"/>
              </w:rPr>
              <w:t>23</w:t>
            </w:r>
            <w:r w:rsidRPr="00961023">
              <w:rPr>
                <w:noProof/>
                <w:lang w:val="et-EE"/>
              </w:rPr>
              <w:t>, 1581-1589 (2013).</w:t>
            </w:r>
          </w:p>
        </w:tc>
      </w:tr>
      <w:tr w:rsidR="00E0643A" w:rsidRPr="00961023" w14:paraId="11E76485" w14:textId="77777777" w:rsidTr="00E0643A">
        <w:tc>
          <w:tcPr>
            <w:tcW w:w="7196" w:type="dxa"/>
          </w:tcPr>
          <w:p w14:paraId="69CCBD9B" w14:textId="2A028EC1" w:rsidR="0005465A" w:rsidRPr="00961023" w:rsidRDefault="00852E0C" w:rsidP="00F24156">
            <w:pPr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lastRenderedPageBreak/>
              <w:t>Uuringus osales 60</w:t>
            </w:r>
            <w:r w:rsidR="00545214" w:rsidRPr="00961023">
              <w:rPr>
                <w:lang w:val="et-EE"/>
              </w:rPr>
              <w:t xml:space="preserve"> SG</w:t>
            </w:r>
            <w:r w:rsidRPr="00961023">
              <w:rPr>
                <w:lang w:val="et-EE"/>
              </w:rPr>
              <w:t xml:space="preserve"> patsie</w:t>
            </w:r>
            <w:r w:rsidR="003D6736">
              <w:rPr>
                <w:lang w:val="et-EE"/>
              </w:rPr>
              <w:t>nti, kelle mikrotoitainete taset</w:t>
            </w:r>
            <w:r w:rsidRPr="00961023">
              <w:rPr>
                <w:lang w:val="et-EE"/>
              </w:rPr>
              <w:t xml:space="preserve"> testiti 6 ja 12 kuud peale operatsiooni. </w:t>
            </w:r>
            <w:r w:rsidR="0005465A" w:rsidRPr="00961023">
              <w:rPr>
                <w:lang w:val="et-EE"/>
              </w:rPr>
              <w:t>Veerandil patsientidest diagnoositi esimese postoperatiivse aasta jooksul aneemia, 40% patsientidel rauapuudus ja 40% patsientidel hüperparatüreoidism. Kuna postoperatiivselt võib esineda mikrotoitainete nii mad</w:t>
            </w:r>
            <w:r w:rsidR="003D6736">
              <w:rPr>
                <w:lang w:val="et-EE"/>
              </w:rPr>
              <w:t>alat kui ka liialt kõrget taset,</w:t>
            </w:r>
            <w:r w:rsidR="0005465A" w:rsidRPr="00961023">
              <w:rPr>
                <w:lang w:val="et-EE"/>
              </w:rPr>
              <w:t xml:space="preserve"> siis soovitatakse toidulisandeid ja nende annuseid määrata eelkõige regulaarsete vereanalüüside põhjal: eelkõige raud, B</w:t>
            </w:r>
            <w:r w:rsidR="0005465A" w:rsidRPr="00961023">
              <w:rPr>
                <w:vertAlign w:val="subscript"/>
                <w:lang w:val="et-EE"/>
              </w:rPr>
              <w:t>12</w:t>
            </w:r>
            <w:r w:rsidR="0005465A" w:rsidRPr="00961023">
              <w:rPr>
                <w:lang w:val="et-EE"/>
              </w:rPr>
              <w:t>-, D-vitamiin ja kaltsium</w:t>
            </w:r>
            <w:r w:rsidR="00C53590" w:rsidRPr="00961023">
              <w:rPr>
                <w:lang w:val="et-EE"/>
              </w:rPr>
              <w:t xml:space="preserve"> (</w:t>
            </w:r>
            <w:r w:rsidR="00C53590" w:rsidRPr="00961023">
              <w:rPr>
                <w:color w:val="131413"/>
                <w:lang w:val="et-EE"/>
              </w:rPr>
              <w:t xml:space="preserve">tõenduspõhisuse tase </w:t>
            </w:r>
            <w:r w:rsidR="00545214" w:rsidRPr="00961023">
              <w:rPr>
                <w:lang w:val="et-EE"/>
              </w:rPr>
              <w:t>C)</w:t>
            </w:r>
            <w:r w:rsidR="0005465A" w:rsidRPr="00961023">
              <w:rPr>
                <w:lang w:val="et-EE"/>
              </w:rPr>
              <w:t>.</w:t>
            </w:r>
          </w:p>
        </w:tc>
        <w:tc>
          <w:tcPr>
            <w:tcW w:w="2268" w:type="dxa"/>
          </w:tcPr>
          <w:p w14:paraId="6E92D44C" w14:textId="4223BE62" w:rsidR="0005465A" w:rsidRPr="00961023" w:rsidRDefault="0005465A" w:rsidP="0005465A">
            <w:pPr>
              <w:pStyle w:val="ListParagraph"/>
              <w:numPr>
                <w:ilvl w:val="0"/>
                <w:numId w:val="12"/>
              </w:numPr>
              <w:rPr>
                <w:noProof/>
                <w:lang w:val="et-EE"/>
              </w:rPr>
            </w:pPr>
            <w:r w:rsidRPr="00961023">
              <w:rPr>
                <w:noProof/>
                <w:lang w:val="et-EE"/>
              </w:rPr>
              <w:t xml:space="preserve">Aarts, E.O., Janssen, I.M.C, Berends, F.J. The Gastric Sleeve: Losing Weight as Fast as Micronutrients? </w:t>
            </w:r>
            <w:r w:rsidRPr="00961023">
              <w:rPr>
                <w:i/>
                <w:noProof/>
                <w:lang w:val="et-EE"/>
              </w:rPr>
              <w:t>Obes Surg</w:t>
            </w:r>
            <w:r w:rsidRPr="00961023">
              <w:rPr>
                <w:noProof/>
                <w:lang w:val="et-EE"/>
              </w:rPr>
              <w:t xml:space="preserve"> </w:t>
            </w:r>
            <w:r w:rsidRPr="00961023">
              <w:rPr>
                <w:b/>
                <w:noProof/>
                <w:lang w:val="et-EE"/>
              </w:rPr>
              <w:t>21</w:t>
            </w:r>
            <w:r w:rsidRPr="00961023">
              <w:rPr>
                <w:noProof/>
                <w:lang w:val="et-EE"/>
              </w:rPr>
              <w:t>, 207-211 (2011).</w:t>
            </w:r>
          </w:p>
        </w:tc>
      </w:tr>
      <w:tr w:rsidR="00E0643A" w:rsidRPr="00961023" w14:paraId="4793A890" w14:textId="77777777" w:rsidTr="00E0643A">
        <w:tc>
          <w:tcPr>
            <w:tcW w:w="7196" w:type="dxa"/>
          </w:tcPr>
          <w:p w14:paraId="64E1D157" w14:textId="39B552CF" w:rsidR="00F24156" w:rsidRPr="00961023" w:rsidRDefault="00F24156" w:rsidP="00A5641E">
            <w:p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Postoperatiivne toitainete puudus võib olla tingitud järgnevast</w:t>
            </w:r>
            <w:r w:rsidR="00C53590" w:rsidRPr="00961023">
              <w:rPr>
                <w:lang w:val="et-EE"/>
              </w:rPr>
              <w:t xml:space="preserve"> (</w:t>
            </w:r>
            <w:r w:rsidR="00C53590" w:rsidRPr="00961023">
              <w:rPr>
                <w:color w:val="131413"/>
                <w:lang w:val="et-EE"/>
              </w:rPr>
              <w:t>tõenduspõhisuse tase</w:t>
            </w:r>
            <w:r w:rsidR="005820CC" w:rsidRPr="00961023">
              <w:rPr>
                <w:lang w:val="et-EE"/>
              </w:rPr>
              <w:t xml:space="preserve"> D)</w:t>
            </w:r>
            <w:r w:rsidRPr="00961023">
              <w:rPr>
                <w:lang w:val="et-EE"/>
              </w:rPr>
              <w:t>:</w:t>
            </w:r>
          </w:p>
          <w:p w14:paraId="4628D457" w14:textId="77777777" w:rsidR="00F24156" w:rsidRPr="00961023" w:rsidRDefault="00F24156" w:rsidP="00A564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preoperatiivne alatoitumine (D-vit, raua jne puudus)</w:t>
            </w:r>
          </w:p>
          <w:p w14:paraId="2766F05D" w14:textId="77777777" w:rsidR="00F24156" w:rsidRPr="00961023" w:rsidRDefault="00F24156" w:rsidP="00A564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väikesed toidukogused (isutus, toidutalumatus, sage oksendamine jne)</w:t>
            </w:r>
          </w:p>
          <w:p w14:paraId="331FE2B2" w14:textId="77777777" w:rsidR="00F24156" w:rsidRPr="00961023" w:rsidRDefault="00F24156" w:rsidP="00A564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ebapiisav toidulisandite tarbimine</w:t>
            </w:r>
          </w:p>
          <w:p w14:paraId="6948A85E" w14:textId="77777777" w:rsidR="00F24156" w:rsidRPr="00961023" w:rsidRDefault="00F24156" w:rsidP="00A564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toitainete imendumisprobleemid</w:t>
            </w:r>
          </w:p>
          <w:p w14:paraId="237018F5" w14:textId="77777777" w:rsidR="00F24156" w:rsidRPr="00961023" w:rsidRDefault="00F24156" w:rsidP="00A5641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ebapiisav tugisüsteem (monitooring jne)</w:t>
            </w:r>
          </w:p>
          <w:p w14:paraId="1E7A3DAE" w14:textId="78436D0F" w:rsidR="00F24156" w:rsidRPr="00961023" w:rsidRDefault="00F24156" w:rsidP="00A5641E">
            <w:pPr>
              <w:autoSpaceDE w:val="0"/>
              <w:autoSpaceDN w:val="0"/>
              <w:adjustRightInd w:val="0"/>
              <w:spacing w:before="120" w:after="120"/>
              <w:rPr>
                <w:lang w:val="et-EE"/>
              </w:rPr>
            </w:pPr>
            <w:r w:rsidRPr="00961023">
              <w:rPr>
                <w:lang w:val="et-EE"/>
              </w:rPr>
              <w:t>Luutihetuse säilitamiseks on olulised piisav kaltsiumi ja D-vitamiini tase. Enamasti määratakse kaltsiumi kontsentratsiooni veres, kuigi see ei ole hea indikaator, kuna kontsentratsioon veres on tihedalt reguleeritud.</w:t>
            </w:r>
            <w:r w:rsidR="003D6736">
              <w:rPr>
                <w:lang w:val="et-EE"/>
              </w:rPr>
              <w:t xml:space="preserve"> Luudes asuvad kaltsiumi reservi</w:t>
            </w:r>
            <w:r w:rsidRPr="00961023">
              <w:rPr>
                <w:lang w:val="et-EE"/>
              </w:rPr>
              <w:t xml:space="preserve">d, seega parim meetod on luutiheduse määramine DEXA abil. </w:t>
            </w:r>
          </w:p>
          <w:p w14:paraId="7398F5E1" w14:textId="4DBBC9F7" w:rsidR="00F24156" w:rsidRPr="00961023" w:rsidRDefault="00F24156" w:rsidP="00E865E8">
            <w:pPr>
              <w:autoSpaceDE w:val="0"/>
              <w:autoSpaceDN w:val="0"/>
              <w:adjustRightInd w:val="0"/>
              <w:rPr>
                <w:iCs/>
                <w:lang w:val="et-EE"/>
              </w:rPr>
            </w:pPr>
            <w:r w:rsidRPr="00961023">
              <w:rPr>
                <w:lang w:val="et-EE"/>
              </w:rPr>
              <w:t>Sagedane on postoperatiivne aneemia esinemine. Aneemia korrektseks interpretatsiooniks soovitatakse määrata raua, B</w:t>
            </w:r>
            <w:r w:rsidRPr="003D6736">
              <w:rPr>
                <w:vertAlign w:val="subscript"/>
                <w:lang w:val="et-EE"/>
              </w:rPr>
              <w:t>6</w:t>
            </w:r>
            <w:r w:rsidRPr="00961023">
              <w:rPr>
                <w:lang w:val="et-EE"/>
              </w:rPr>
              <w:t>-, B</w:t>
            </w:r>
            <w:r w:rsidRPr="003D6736">
              <w:rPr>
                <w:vertAlign w:val="subscript"/>
                <w:lang w:val="et-EE"/>
              </w:rPr>
              <w:t>12</w:t>
            </w:r>
            <w:r w:rsidRPr="00961023">
              <w:rPr>
                <w:lang w:val="et-EE"/>
              </w:rPr>
              <w:t>-</w:t>
            </w:r>
            <w:r w:rsidR="003D6736">
              <w:rPr>
                <w:lang w:val="et-EE"/>
              </w:rPr>
              <w:t>vitamiini</w:t>
            </w:r>
            <w:r w:rsidRPr="00961023">
              <w:rPr>
                <w:lang w:val="et-EE"/>
              </w:rPr>
              <w:t xml:space="preserve">, folaadi, vase, seleeni ja tsingi tasemed, kuna aneemia võib olla tingitud kõigist nendest toitainetest. Mõned uuringud on näidanud, et raua taseme tõstmiseks on vajalik </w:t>
            </w:r>
            <w:r w:rsidRPr="00961023">
              <w:rPr>
                <w:i/>
                <w:lang w:val="et-EE"/>
              </w:rPr>
              <w:t>iv</w:t>
            </w:r>
            <w:r w:rsidRPr="00961023">
              <w:rPr>
                <w:lang w:val="et-EE"/>
              </w:rPr>
              <w:t xml:space="preserve"> raua annustamine. Raua taseme määramiseks kasutada seerumi/plasma  transferriini retseptorit ja TIBC. Seerumi raud on kehv indikaator, ferritin võib põletiku korral kõrgem olla. Põletik võib alandada tsingi taset. CRP määramine näitab põletiku olemasolu.</w:t>
            </w:r>
          </w:p>
        </w:tc>
        <w:tc>
          <w:tcPr>
            <w:tcW w:w="2268" w:type="dxa"/>
          </w:tcPr>
          <w:p w14:paraId="23136EC9" w14:textId="68752DA8" w:rsidR="00F24156" w:rsidRPr="00961023" w:rsidRDefault="00F24156" w:rsidP="000546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240" w:after="120"/>
              <w:outlineLvl w:val="0"/>
              <w:rPr>
                <w:noProof/>
                <w:lang w:val="et-EE"/>
              </w:rPr>
            </w:pPr>
            <w:r w:rsidRPr="00961023">
              <w:rPr>
                <w:noProof/>
                <w:lang w:val="et-EE"/>
              </w:rPr>
              <w:t xml:space="preserve">Gletsu-Miller, N., Wright, B. N. Mineral Malnutrition Following Bariatric Surgery. </w:t>
            </w:r>
            <w:r w:rsidRPr="00961023">
              <w:rPr>
                <w:i/>
                <w:noProof/>
                <w:lang w:val="et-EE"/>
              </w:rPr>
              <w:t>Adv Nutr.</w:t>
            </w:r>
            <w:r w:rsidRPr="00961023">
              <w:rPr>
                <w:noProof/>
                <w:lang w:val="et-EE"/>
              </w:rPr>
              <w:t xml:space="preserve"> </w:t>
            </w:r>
            <w:r w:rsidRPr="00961023">
              <w:rPr>
                <w:b/>
                <w:noProof/>
                <w:lang w:val="et-EE"/>
              </w:rPr>
              <w:t>4</w:t>
            </w:r>
            <w:r w:rsidRPr="00961023">
              <w:rPr>
                <w:noProof/>
                <w:lang w:val="et-EE"/>
              </w:rPr>
              <w:t>, 506-517 (2013).</w:t>
            </w:r>
          </w:p>
          <w:p w14:paraId="658C0473" w14:textId="100175DE" w:rsidR="0005465A" w:rsidRPr="00961023" w:rsidRDefault="0005465A" w:rsidP="0005465A">
            <w:pPr>
              <w:pStyle w:val="ListParagraph"/>
              <w:shd w:val="clear" w:color="auto" w:fill="FFFFFF"/>
              <w:spacing w:before="240" w:after="120"/>
              <w:ind w:left="360"/>
              <w:outlineLvl w:val="0"/>
              <w:rPr>
                <w:iCs/>
                <w:lang w:val="et-EE"/>
              </w:rPr>
            </w:pPr>
          </w:p>
        </w:tc>
      </w:tr>
      <w:tr w:rsidR="00E0643A" w:rsidRPr="00961023" w14:paraId="7061AE15" w14:textId="77777777" w:rsidTr="00E0643A">
        <w:tc>
          <w:tcPr>
            <w:tcW w:w="7196" w:type="dxa"/>
          </w:tcPr>
          <w:p w14:paraId="42B12900" w14:textId="60827950" w:rsidR="00003B69" w:rsidRPr="00961023" w:rsidRDefault="00003B69" w:rsidP="00A5641E">
            <w:pPr>
              <w:rPr>
                <w:lang w:val="et-EE"/>
              </w:rPr>
            </w:pPr>
            <w:r w:rsidRPr="00961023">
              <w:rPr>
                <w:lang w:val="et-EE"/>
              </w:rPr>
              <w:t>Vaadeldi raua, B</w:t>
            </w:r>
            <w:r w:rsidRPr="003D6736">
              <w:rPr>
                <w:vertAlign w:val="subscript"/>
                <w:lang w:val="et-EE"/>
              </w:rPr>
              <w:t>12</w:t>
            </w:r>
            <w:r w:rsidRPr="00961023">
              <w:rPr>
                <w:lang w:val="et-EE"/>
              </w:rPr>
              <w:t>, folaadi, kaltsiumi, rasvlahustuvate vitamiinide (A, D, E, K) ja teiste mikrotoitainete puudujääkide esinemise sagedust. Välja toodi, et puudujääke esineb sagedamini peale malabsorptiivseid protseduure (BPD), aga ka peale RYGB</w:t>
            </w:r>
            <w:r w:rsidR="00C53590" w:rsidRPr="00961023">
              <w:rPr>
                <w:lang w:val="et-EE"/>
              </w:rPr>
              <w:t xml:space="preserve"> (</w:t>
            </w:r>
            <w:r w:rsidR="00C53590" w:rsidRPr="00961023">
              <w:rPr>
                <w:color w:val="131413"/>
                <w:lang w:val="et-EE"/>
              </w:rPr>
              <w:t>tõenduspõhisuse tase</w:t>
            </w:r>
            <w:r w:rsidR="001E306B" w:rsidRPr="00961023">
              <w:rPr>
                <w:lang w:val="et-EE"/>
              </w:rPr>
              <w:t xml:space="preserve"> D)</w:t>
            </w:r>
            <w:r w:rsidRPr="00961023">
              <w:rPr>
                <w:lang w:val="et-EE"/>
              </w:rPr>
              <w:t>.</w:t>
            </w:r>
          </w:p>
          <w:p w14:paraId="217EBD7E" w14:textId="77777777" w:rsidR="00003B69" w:rsidRPr="00961023" w:rsidRDefault="00003B69" w:rsidP="00A5641E">
            <w:pPr>
              <w:rPr>
                <w:lang w:val="et-EE"/>
              </w:rPr>
            </w:pPr>
          </w:p>
          <w:p w14:paraId="1638521C" w14:textId="77777777" w:rsidR="00003B69" w:rsidRPr="00961023" w:rsidRDefault="00003B69" w:rsidP="00A5641E">
            <w:pPr>
              <w:rPr>
                <w:b/>
                <w:lang w:val="et-EE"/>
              </w:rPr>
            </w:pPr>
            <w:r w:rsidRPr="00961023">
              <w:rPr>
                <w:b/>
                <w:lang w:val="et-EE"/>
              </w:rPr>
              <w:t>B</w:t>
            </w:r>
            <w:r w:rsidRPr="003D6736">
              <w:rPr>
                <w:b/>
                <w:vertAlign w:val="subscript"/>
                <w:lang w:val="et-EE"/>
              </w:rPr>
              <w:t>12</w:t>
            </w:r>
            <w:r w:rsidRPr="00961023">
              <w:rPr>
                <w:b/>
                <w:lang w:val="et-EE"/>
              </w:rPr>
              <w:t xml:space="preserve"> ja folaat</w:t>
            </w:r>
          </w:p>
          <w:p w14:paraId="09B2ACA7" w14:textId="77777777" w:rsidR="00003B69" w:rsidRPr="00961023" w:rsidRDefault="00003B69" w:rsidP="00A5641E">
            <w:pPr>
              <w:rPr>
                <w:lang w:val="et-EE"/>
              </w:rPr>
            </w:pPr>
            <w:r w:rsidRPr="00961023">
              <w:rPr>
                <w:lang w:val="et-EE"/>
              </w:rPr>
              <w:t>Erinevad uuringud on näidanud erinevaid tulemusi. Aasta peale RYGB operatsiooni võib kuni 33% patsientidel B</w:t>
            </w:r>
            <w:r w:rsidRPr="003D6736">
              <w:rPr>
                <w:vertAlign w:val="subscript"/>
                <w:lang w:val="et-EE"/>
              </w:rPr>
              <w:t>12</w:t>
            </w:r>
            <w:r w:rsidRPr="00961023">
              <w:rPr>
                <w:lang w:val="et-EE"/>
              </w:rPr>
              <w:t>-vitamiini ja 63%-l folaadi puudust esineda, hoolimata sellest, kui neil soovitatakse tarbida multivitamiine.</w:t>
            </w:r>
          </w:p>
          <w:p w14:paraId="26964A27" w14:textId="77777777" w:rsidR="00003B69" w:rsidRPr="00961023" w:rsidRDefault="00003B69" w:rsidP="00A5641E">
            <w:pPr>
              <w:rPr>
                <w:b/>
                <w:lang w:val="et-EE"/>
              </w:rPr>
            </w:pPr>
            <w:r w:rsidRPr="00961023">
              <w:rPr>
                <w:b/>
                <w:lang w:val="et-EE"/>
              </w:rPr>
              <w:t>Ca, D3, PTH</w:t>
            </w:r>
          </w:p>
          <w:p w14:paraId="6EA77895" w14:textId="77777777" w:rsidR="00003B69" w:rsidRPr="00961023" w:rsidRDefault="00003B69" w:rsidP="00A5641E">
            <w:pPr>
              <w:rPr>
                <w:lang w:val="et-EE"/>
              </w:rPr>
            </w:pPr>
            <w:r w:rsidRPr="00961023">
              <w:rPr>
                <w:lang w:val="et-EE"/>
              </w:rPr>
              <w:t xml:space="preserve">On leitud, et kuni 25% patsiendil võib esineda hüperparatüreoidismi, mis seostub madala D-vitamiini tasemega. Postoperatiivselt esineb kaltsiumi ja D-vitamiini puudujääke (sagedamini malabsorptiivse </w:t>
            </w:r>
            <w:r w:rsidRPr="00961023">
              <w:rPr>
                <w:lang w:val="et-EE"/>
              </w:rPr>
              <w:lastRenderedPageBreak/>
              <w:t>lõikuse järgselt), sellega seoses ka metaboolseid luuhaigusi. RYGB patsientidel on Ca ja D-vit puudust leitud 10-51% juhtudel.</w:t>
            </w:r>
          </w:p>
          <w:p w14:paraId="29C9D1BC" w14:textId="77777777" w:rsidR="00003B69" w:rsidRPr="00961023" w:rsidRDefault="00003B69" w:rsidP="00A5641E">
            <w:pPr>
              <w:rPr>
                <w:b/>
                <w:lang w:val="et-EE"/>
              </w:rPr>
            </w:pPr>
            <w:r w:rsidRPr="00961023">
              <w:rPr>
                <w:b/>
                <w:lang w:val="et-EE"/>
              </w:rPr>
              <w:t>Raud</w:t>
            </w:r>
          </w:p>
          <w:p w14:paraId="3E7FD876" w14:textId="77777777" w:rsidR="00003B69" w:rsidRPr="00961023" w:rsidRDefault="00003B69" w:rsidP="00A5641E">
            <w:pPr>
              <w:rPr>
                <w:lang w:val="et-EE"/>
              </w:rPr>
            </w:pPr>
            <w:r w:rsidRPr="00961023">
              <w:rPr>
                <w:lang w:val="et-EE"/>
              </w:rPr>
              <w:t>Aasta peale operatsiooni esineb rauapuudust 6-33% juhtudel, just peale RYGB.</w:t>
            </w:r>
          </w:p>
          <w:p w14:paraId="49A0056D" w14:textId="77777777" w:rsidR="00003B69" w:rsidRPr="00961023" w:rsidRDefault="00003B69" w:rsidP="00A5641E">
            <w:pPr>
              <w:rPr>
                <w:b/>
                <w:lang w:val="et-EE"/>
              </w:rPr>
            </w:pPr>
            <w:r w:rsidRPr="00961023">
              <w:rPr>
                <w:b/>
                <w:lang w:val="et-EE"/>
              </w:rPr>
              <w:t>Tsink</w:t>
            </w:r>
          </w:p>
          <w:p w14:paraId="1FC014C6" w14:textId="1AFD0948" w:rsidR="00003B69" w:rsidRPr="00961023" w:rsidRDefault="00003B69" w:rsidP="00E865E8">
            <w:pPr>
              <w:rPr>
                <w:iCs/>
                <w:lang w:val="et-EE"/>
              </w:rPr>
            </w:pPr>
            <w:r w:rsidRPr="00961023">
              <w:rPr>
                <w:lang w:val="et-EE"/>
              </w:rPr>
              <w:t>Tsingi puudust võib esineda 10-50% BPD patsientidel.</w:t>
            </w:r>
          </w:p>
        </w:tc>
        <w:tc>
          <w:tcPr>
            <w:tcW w:w="2268" w:type="dxa"/>
          </w:tcPr>
          <w:p w14:paraId="26E9BF6E" w14:textId="2B0F3468" w:rsidR="00003B69" w:rsidRPr="00961023" w:rsidRDefault="00003B69" w:rsidP="0005465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iCs/>
                <w:lang w:val="et-EE"/>
              </w:rPr>
            </w:pPr>
            <w:r w:rsidRPr="00961023">
              <w:rPr>
                <w:noProof/>
                <w:lang w:val="et-EE"/>
              </w:rPr>
              <w:lastRenderedPageBreak/>
              <w:t xml:space="preserve">Bloomberg, R.D., Fleishman, A., Nalle, J.E., Herron, D.M. &amp; Kini, S. Nutritional deficiencies following bariatric surgery: what have we learned? </w:t>
            </w:r>
            <w:r w:rsidRPr="00961023">
              <w:rPr>
                <w:i/>
                <w:noProof/>
                <w:lang w:val="et-EE"/>
              </w:rPr>
              <w:t>Obes Surg</w:t>
            </w:r>
            <w:r w:rsidRPr="00961023">
              <w:rPr>
                <w:noProof/>
                <w:lang w:val="et-EE"/>
              </w:rPr>
              <w:t xml:space="preserve"> </w:t>
            </w:r>
            <w:r w:rsidRPr="00961023">
              <w:rPr>
                <w:b/>
                <w:noProof/>
                <w:lang w:val="et-EE"/>
              </w:rPr>
              <w:t>15</w:t>
            </w:r>
            <w:r w:rsidRPr="00961023">
              <w:rPr>
                <w:noProof/>
                <w:lang w:val="et-EE"/>
              </w:rPr>
              <w:t>, 145-154 (2005).</w:t>
            </w:r>
          </w:p>
        </w:tc>
      </w:tr>
    </w:tbl>
    <w:p w14:paraId="009BD88C" w14:textId="77777777" w:rsidR="006A3BAC" w:rsidRDefault="006A3BAC" w:rsidP="004D3FBA">
      <w:pPr>
        <w:autoSpaceDE w:val="0"/>
        <w:autoSpaceDN w:val="0"/>
        <w:adjustRightInd w:val="0"/>
        <w:rPr>
          <w:iCs/>
          <w:lang w:val="et-EE"/>
        </w:rPr>
      </w:pPr>
    </w:p>
    <w:p w14:paraId="383FE9C3" w14:textId="77777777" w:rsidR="003D6736" w:rsidRDefault="003D6736" w:rsidP="004D3FBA">
      <w:pPr>
        <w:autoSpaceDE w:val="0"/>
        <w:autoSpaceDN w:val="0"/>
        <w:adjustRightInd w:val="0"/>
        <w:rPr>
          <w:iCs/>
          <w:lang w:val="et-EE"/>
        </w:rPr>
      </w:pPr>
    </w:p>
    <w:p w14:paraId="06F7C04D" w14:textId="77777777" w:rsidR="003D6736" w:rsidRPr="00961023" w:rsidRDefault="003D6736" w:rsidP="004D3FBA">
      <w:pPr>
        <w:autoSpaceDE w:val="0"/>
        <w:autoSpaceDN w:val="0"/>
        <w:adjustRightInd w:val="0"/>
        <w:rPr>
          <w:iCs/>
          <w:lang w:val="et-EE"/>
        </w:rPr>
      </w:pPr>
    </w:p>
    <w:p w14:paraId="75CF128D" w14:textId="77777777" w:rsidR="00BE6846" w:rsidRPr="00961023" w:rsidRDefault="00BE6846" w:rsidP="0005465A">
      <w:pPr>
        <w:pStyle w:val="ListParagraph"/>
        <w:numPr>
          <w:ilvl w:val="0"/>
          <w:numId w:val="10"/>
        </w:numPr>
        <w:rPr>
          <w:b/>
          <w:lang w:val="et-EE"/>
        </w:rPr>
      </w:pPr>
      <w:r w:rsidRPr="00961023">
        <w:rPr>
          <w:b/>
          <w:lang w:val="et-EE"/>
        </w:rPr>
        <w:t>Ravijuhendid</w:t>
      </w:r>
    </w:p>
    <w:p w14:paraId="189DA6D4" w14:textId="77777777" w:rsidR="00A5641E" w:rsidRPr="00961023" w:rsidRDefault="00A5641E" w:rsidP="00A5641E">
      <w:pPr>
        <w:rPr>
          <w:b/>
          <w:lang w:val="et-EE"/>
        </w:rPr>
      </w:pPr>
    </w:p>
    <w:p w14:paraId="4E600CD5" w14:textId="6D761A0D" w:rsidR="00BE2AF2" w:rsidRPr="003D6736" w:rsidRDefault="00BE2AF2" w:rsidP="00A5641E">
      <w:pPr>
        <w:rPr>
          <w:lang w:val="et-EE"/>
        </w:rPr>
      </w:pPr>
      <w:r w:rsidRPr="003D6736">
        <w:rPr>
          <w:lang w:val="et-EE"/>
        </w:rPr>
        <w:t>Vere</w:t>
      </w:r>
      <w:r w:rsidR="00121AD7" w:rsidRPr="003D6736">
        <w:rPr>
          <w:lang w:val="et-EE"/>
        </w:rPr>
        <w:t>analüüside jälgimise ja mikrotoitainete taseme määramise olulisus on välja toodud kõigis ravijuhendites, kõige põhjalikumalt USA omas</w:t>
      </w:r>
      <w:r w:rsidR="00C53590" w:rsidRPr="003D6736">
        <w:rPr>
          <w:lang w:val="et-EE"/>
        </w:rPr>
        <w:t xml:space="preserve"> (</w:t>
      </w:r>
      <w:r w:rsidR="00C53590" w:rsidRPr="003D6736">
        <w:rPr>
          <w:color w:val="131413"/>
          <w:lang w:val="et-EE"/>
        </w:rPr>
        <w:t>tõenduspõhisuse tase</w:t>
      </w:r>
      <w:r w:rsidR="001267F0" w:rsidRPr="003D6736">
        <w:rPr>
          <w:lang w:val="et-EE"/>
        </w:rPr>
        <w:t xml:space="preserve"> A)</w:t>
      </w:r>
      <w:r w:rsidR="007501CB" w:rsidRPr="003D6736">
        <w:rPr>
          <w:lang w:val="et-EE"/>
        </w:rPr>
        <w:t>:</w:t>
      </w:r>
    </w:p>
    <w:p w14:paraId="6998F102" w14:textId="12790531" w:rsidR="003D6736" w:rsidRPr="003D6736" w:rsidRDefault="003D6736" w:rsidP="003D6736">
      <w:pPr>
        <w:pStyle w:val="ListParagraph"/>
        <w:numPr>
          <w:ilvl w:val="0"/>
          <w:numId w:val="14"/>
        </w:numPr>
        <w:rPr>
          <w:rFonts w:eastAsiaTheme="minorEastAsia"/>
          <w:color w:val="1A1818"/>
          <w:lang w:val="et-EE" w:eastAsia="ja-JP"/>
        </w:rPr>
      </w:pPr>
      <w:r w:rsidRPr="003D6736">
        <w:rPr>
          <w:rFonts w:eastAsiaTheme="minorEastAsia"/>
          <w:color w:val="1A1818"/>
          <w:lang w:val="et-EE" w:eastAsia="ja-JP"/>
        </w:rPr>
        <w:t>D</w:t>
      </w:r>
      <w:r w:rsidR="008F43ED" w:rsidRPr="003D6736">
        <w:rPr>
          <w:rFonts w:eastAsiaTheme="minorEastAsia"/>
          <w:color w:val="1A1818"/>
          <w:lang w:val="et-EE" w:eastAsia="ja-JP"/>
        </w:rPr>
        <w:t>iabeedi ja hüpoglokeemiliste sümptomite puhul vereglükoosi jälgida</w:t>
      </w:r>
      <w:r w:rsidR="00C53590" w:rsidRPr="003D6736">
        <w:rPr>
          <w:rFonts w:eastAsiaTheme="minorEastAsia"/>
          <w:color w:val="1A1818"/>
          <w:lang w:val="et-EE" w:eastAsia="ja-JP"/>
        </w:rPr>
        <w:t xml:space="preserve"> (</w:t>
      </w:r>
      <w:r w:rsidR="00C53590" w:rsidRPr="003D6736">
        <w:rPr>
          <w:color w:val="131413"/>
          <w:lang w:val="et-EE"/>
        </w:rPr>
        <w:t>tõenduspõhisuse tase</w:t>
      </w:r>
      <w:r w:rsidR="00CB44C2" w:rsidRPr="003D6736">
        <w:rPr>
          <w:rFonts w:eastAsiaTheme="minorEastAsia"/>
          <w:color w:val="1A1818"/>
          <w:lang w:val="et-EE" w:eastAsia="ja-JP"/>
        </w:rPr>
        <w:t xml:space="preserve"> A)</w:t>
      </w:r>
      <w:r w:rsidR="008F43ED" w:rsidRPr="003D6736">
        <w:rPr>
          <w:rFonts w:eastAsiaTheme="minorEastAsia"/>
          <w:color w:val="1A1818"/>
          <w:lang w:val="et-EE" w:eastAsia="ja-JP"/>
        </w:rPr>
        <w:t>.</w:t>
      </w:r>
      <w:r w:rsidR="00344637" w:rsidRPr="003D6736">
        <w:rPr>
          <w:rFonts w:eastAsiaTheme="minorEastAsia"/>
          <w:color w:val="1A1818"/>
          <w:lang w:val="et-EE" w:eastAsia="ja-JP"/>
        </w:rPr>
        <w:t xml:space="preserve"> </w:t>
      </w:r>
    </w:p>
    <w:p w14:paraId="48DD4051" w14:textId="77777777" w:rsidR="003D6736" w:rsidRPr="003D6736" w:rsidRDefault="00344637" w:rsidP="003D6736">
      <w:pPr>
        <w:pStyle w:val="ListParagraph"/>
        <w:numPr>
          <w:ilvl w:val="0"/>
          <w:numId w:val="14"/>
        </w:numPr>
        <w:rPr>
          <w:rFonts w:eastAsiaTheme="minorEastAsia"/>
          <w:color w:val="1A1818"/>
          <w:lang w:val="et-EE" w:eastAsia="ja-JP"/>
        </w:rPr>
      </w:pPr>
      <w:r w:rsidRPr="003D6736">
        <w:rPr>
          <w:rFonts w:eastAsiaTheme="minorEastAsia"/>
          <w:color w:val="1A1818"/>
          <w:lang w:val="et-EE" w:eastAsia="ja-JP"/>
        </w:rPr>
        <w:t>Raua taset tuleks uurida kõigil patsientidel</w:t>
      </w:r>
      <w:r w:rsidR="00C53590" w:rsidRPr="003D6736">
        <w:rPr>
          <w:rFonts w:eastAsiaTheme="minorEastAsia"/>
          <w:color w:val="1A1818"/>
          <w:lang w:val="et-EE" w:eastAsia="ja-JP"/>
        </w:rPr>
        <w:t xml:space="preserve"> (</w:t>
      </w:r>
      <w:r w:rsidR="00C53590" w:rsidRPr="003D6736">
        <w:rPr>
          <w:color w:val="131413"/>
          <w:lang w:val="et-EE"/>
        </w:rPr>
        <w:t>tõenduspõhisuse tase</w:t>
      </w:r>
      <w:r w:rsidR="00A87890" w:rsidRPr="003D6736">
        <w:rPr>
          <w:rFonts w:eastAsiaTheme="minorEastAsia"/>
          <w:color w:val="1A1818"/>
          <w:lang w:val="et-EE" w:eastAsia="ja-JP"/>
        </w:rPr>
        <w:t xml:space="preserve"> D)</w:t>
      </w:r>
      <w:r w:rsidRPr="003D6736">
        <w:rPr>
          <w:rFonts w:eastAsiaTheme="minorEastAsia"/>
          <w:color w:val="1A1818"/>
          <w:lang w:val="et-EE" w:eastAsia="ja-JP"/>
        </w:rPr>
        <w:t xml:space="preserve">. </w:t>
      </w:r>
    </w:p>
    <w:p w14:paraId="4180212C" w14:textId="77777777" w:rsidR="003D6736" w:rsidRPr="003D6736" w:rsidRDefault="00344637" w:rsidP="003D6736">
      <w:pPr>
        <w:pStyle w:val="ListParagraph"/>
        <w:numPr>
          <w:ilvl w:val="0"/>
          <w:numId w:val="14"/>
        </w:numPr>
        <w:rPr>
          <w:rFonts w:eastAsiaTheme="minorEastAsia"/>
          <w:color w:val="1A1818"/>
          <w:lang w:val="et-EE" w:eastAsia="ja-JP"/>
        </w:rPr>
      </w:pPr>
      <w:r w:rsidRPr="003D6736">
        <w:rPr>
          <w:rFonts w:eastAsiaTheme="minorEastAsia"/>
          <w:color w:val="1A1818"/>
          <w:lang w:val="et-EE" w:eastAsia="ja-JP"/>
        </w:rPr>
        <w:t>V</w:t>
      </w:r>
      <w:r w:rsidR="008F43ED" w:rsidRPr="003D6736">
        <w:rPr>
          <w:rFonts w:eastAsiaTheme="minorEastAsia"/>
          <w:color w:val="1A1818"/>
          <w:lang w:val="et-EE" w:eastAsia="ja-JP"/>
        </w:rPr>
        <w:t>erelipiidide a</w:t>
      </w:r>
      <w:r w:rsidRPr="003D6736">
        <w:rPr>
          <w:rFonts w:eastAsiaTheme="minorEastAsia"/>
          <w:color w:val="1A1818"/>
          <w:lang w:val="et-EE" w:eastAsia="ja-JP"/>
        </w:rPr>
        <w:t>nalüüs iga 6-12 kuu tagant</w:t>
      </w:r>
    </w:p>
    <w:p w14:paraId="7B4F4B6C" w14:textId="77777777" w:rsidR="003D6736" w:rsidRPr="003D6736" w:rsidRDefault="008F43ED" w:rsidP="003D6736">
      <w:pPr>
        <w:pStyle w:val="ListParagraph"/>
        <w:numPr>
          <w:ilvl w:val="0"/>
          <w:numId w:val="14"/>
        </w:numPr>
        <w:rPr>
          <w:rFonts w:eastAsiaTheme="minorEastAsia"/>
          <w:color w:val="1A1818"/>
          <w:lang w:val="et-EE" w:eastAsia="ja-JP"/>
        </w:rPr>
      </w:pPr>
      <w:r w:rsidRPr="003D6736">
        <w:rPr>
          <w:rFonts w:eastAsiaTheme="minorEastAsia"/>
          <w:color w:val="1A1818"/>
          <w:lang w:val="et-EE" w:eastAsia="ja-JP"/>
        </w:rPr>
        <w:t xml:space="preserve">6 kuu pärast 24-tunni uriini kaltsium, seejärel iga aasta. </w:t>
      </w:r>
    </w:p>
    <w:p w14:paraId="184D27B7" w14:textId="77777777" w:rsidR="003D6736" w:rsidRPr="003D6736" w:rsidRDefault="008F43ED" w:rsidP="003D6736">
      <w:pPr>
        <w:pStyle w:val="ListParagraph"/>
        <w:numPr>
          <w:ilvl w:val="0"/>
          <w:numId w:val="14"/>
        </w:numPr>
        <w:rPr>
          <w:rFonts w:eastAsiaTheme="minorEastAsia"/>
          <w:color w:val="1A1818"/>
          <w:lang w:val="et-EE" w:eastAsia="ja-JP"/>
        </w:rPr>
      </w:pPr>
      <w:r w:rsidRPr="003D6736">
        <w:rPr>
          <w:rFonts w:eastAsiaTheme="minorEastAsia"/>
          <w:color w:val="1A1818"/>
          <w:lang w:val="et-EE" w:eastAsia="ja-JP"/>
        </w:rPr>
        <w:t>B12-vitamiin</w:t>
      </w:r>
      <w:r w:rsidR="00344637" w:rsidRPr="003D6736">
        <w:rPr>
          <w:rFonts w:eastAsiaTheme="minorEastAsia"/>
          <w:color w:val="1A1818"/>
          <w:lang w:val="et-EE" w:eastAsia="ja-JP"/>
        </w:rPr>
        <w:t xml:space="preserve"> alg- ja postoperatiivse taseme määramine soovitatud kõikide patsientide puhul. Määrata kõikidel LSG ja RYGB patsientidel kord</w:t>
      </w:r>
      <w:r w:rsidRPr="003D6736">
        <w:rPr>
          <w:rFonts w:eastAsiaTheme="minorEastAsia"/>
          <w:color w:val="1A1818"/>
          <w:lang w:val="et-EE" w:eastAsia="ja-JP"/>
        </w:rPr>
        <w:t xml:space="preserve"> aasta</w:t>
      </w:r>
      <w:r w:rsidR="00C53590" w:rsidRPr="003D6736">
        <w:rPr>
          <w:rFonts w:eastAsiaTheme="minorEastAsia"/>
          <w:color w:val="1A1818"/>
          <w:lang w:val="et-EE" w:eastAsia="ja-JP"/>
        </w:rPr>
        <w:t>s (</w:t>
      </w:r>
      <w:r w:rsidR="00C53590" w:rsidRPr="003D6736">
        <w:rPr>
          <w:color w:val="131413"/>
          <w:lang w:val="et-EE"/>
        </w:rPr>
        <w:t>tõenduspõhisuse tase</w:t>
      </w:r>
      <w:r w:rsidR="001267F0" w:rsidRPr="003D6736">
        <w:rPr>
          <w:rFonts w:eastAsiaTheme="minorEastAsia"/>
          <w:color w:val="1A1818"/>
          <w:lang w:val="et-EE" w:eastAsia="ja-JP"/>
        </w:rPr>
        <w:t xml:space="preserve"> B</w:t>
      </w:r>
      <w:r w:rsidR="00344637" w:rsidRPr="003D6736">
        <w:rPr>
          <w:rFonts w:eastAsiaTheme="minorEastAsia"/>
          <w:color w:val="1A1818"/>
          <w:lang w:val="et-EE" w:eastAsia="ja-JP"/>
        </w:rPr>
        <w:t>)</w:t>
      </w:r>
      <w:r w:rsidRPr="003D6736">
        <w:rPr>
          <w:rFonts w:eastAsiaTheme="minorEastAsia"/>
          <w:color w:val="1A1818"/>
          <w:lang w:val="et-EE" w:eastAsia="ja-JP"/>
        </w:rPr>
        <w:t>,</w:t>
      </w:r>
      <w:r w:rsidR="000D36CF" w:rsidRPr="003D6736">
        <w:rPr>
          <w:rFonts w:eastAsiaTheme="minorEastAsia"/>
          <w:color w:val="1A1818"/>
          <w:lang w:val="et-EE" w:eastAsia="ja-JP"/>
        </w:rPr>
        <w:t xml:space="preserve"> hiljem</w:t>
      </w:r>
      <w:r w:rsidRPr="003D6736">
        <w:rPr>
          <w:rFonts w:eastAsiaTheme="minorEastAsia"/>
          <w:color w:val="1A1818"/>
          <w:lang w:val="et-EE" w:eastAsia="ja-JP"/>
        </w:rPr>
        <w:t xml:space="preserve"> 3-6 k</w:t>
      </w:r>
      <w:r w:rsidR="00344637" w:rsidRPr="003D6736">
        <w:rPr>
          <w:rFonts w:eastAsiaTheme="minorEastAsia"/>
          <w:color w:val="1A1818"/>
          <w:lang w:val="et-EE" w:eastAsia="ja-JP"/>
        </w:rPr>
        <w:t xml:space="preserve">uu tagant kui lisandeid kasutada. </w:t>
      </w:r>
    </w:p>
    <w:p w14:paraId="13A5E92F" w14:textId="77777777" w:rsidR="003D6736" w:rsidRPr="003D6736" w:rsidRDefault="000D36CF" w:rsidP="003D6736">
      <w:pPr>
        <w:pStyle w:val="ListParagraph"/>
        <w:numPr>
          <w:ilvl w:val="0"/>
          <w:numId w:val="14"/>
        </w:numPr>
        <w:rPr>
          <w:rFonts w:eastAsiaTheme="minorEastAsia"/>
          <w:color w:val="1A1818"/>
          <w:lang w:val="et-EE" w:eastAsia="ja-JP"/>
        </w:rPr>
      </w:pPr>
      <w:r w:rsidRPr="003D6736">
        <w:rPr>
          <w:rFonts w:eastAsiaTheme="minorEastAsia"/>
          <w:color w:val="1A1818"/>
          <w:lang w:val="et-EE" w:eastAsia="ja-JP"/>
        </w:rPr>
        <w:t>Määrata foolhape, 25(OH)D</w:t>
      </w:r>
      <w:r w:rsidR="00D063D1" w:rsidRPr="003D6736">
        <w:rPr>
          <w:rFonts w:eastAsiaTheme="minorEastAsia"/>
          <w:color w:val="1A1818"/>
          <w:vertAlign w:val="subscript"/>
          <w:lang w:val="et-EE" w:eastAsia="ja-JP"/>
        </w:rPr>
        <w:t>3</w:t>
      </w:r>
      <w:r w:rsidRPr="003D6736">
        <w:rPr>
          <w:rFonts w:eastAsiaTheme="minorEastAsia"/>
          <w:color w:val="1A1818"/>
          <w:lang w:val="et-EE" w:eastAsia="ja-JP"/>
        </w:rPr>
        <w:t xml:space="preserve">-vitamiin, iPTH. </w:t>
      </w:r>
    </w:p>
    <w:p w14:paraId="1A30768E" w14:textId="5EEF69EB" w:rsidR="00CB44C2" w:rsidRDefault="00344637" w:rsidP="003D6736">
      <w:pPr>
        <w:pStyle w:val="ListParagraph"/>
        <w:numPr>
          <w:ilvl w:val="0"/>
          <w:numId w:val="14"/>
        </w:numPr>
        <w:rPr>
          <w:rFonts w:eastAsiaTheme="minorEastAsia"/>
          <w:color w:val="1A1818"/>
          <w:lang w:val="et-EE" w:eastAsia="ja-JP"/>
        </w:rPr>
      </w:pPr>
      <w:r w:rsidRPr="003D6736">
        <w:rPr>
          <w:rFonts w:eastAsiaTheme="minorEastAsia"/>
          <w:color w:val="1A1818"/>
          <w:lang w:val="et-EE" w:eastAsia="ja-JP"/>
        </w:rPr>
        <w:t>Rutiinne tsingi analüüs peale malabsorptiivset protseduuri</w:t>
      </w:r>
      <w:r w:rsidR="00C53590" w:rsidRPr="003D6736">
        <w:rPr>
          <w:rFonts w:eastAsiaTheme="minorEastAsia"/>
          <w:color w:val="1A1818"/>
          <w:lang w:val="et-EE" w:eastAsia="ja-JP"/>
        </w:rPr>
        <w:t xml:space="preserve"> (</w:t>
      </w:r>
      <w:r w:rsidR="00C53590" w:rsidRPr="003D6736">
        <w:rPr>
          <w:color w:val="131413"/>
          <w:lang w:val="et-EE"/>
        </w:rPr>
        <w:t>tõenduspõhisuse tase</w:t>
      </w:r>
      <w:r w:rsidR="001267F0" w:rsidRPr="003D6736">
        <w:rPr>
          <w:rFonts w:eastAsiaTheme="minorEastAsia"/>
          <w:color w:val="1A1818"/>
          <w:lang w:val="et-EE" w:eastAsia="ja-JP"/>
        </w:rPr>
        <w:t xml:space="preserve"> C</w:t>
      </w:r>
      <w:r w:rsidRPr="003D6736">
        <w:rPr>
          <w:rFonts w:eastAsiaTheme="minorEastAsia"/>
          <w:color w:val="1A1818"/>
          <w:lang w:val="et-EE" w:eastAsia="ja-JP"/>
        </w:rPr>
        <w:t>)</w:t>
      </w:r>
      <w:r w:rsidR="008F43ED" w:rsidRPr="003D6736">
        <w:rPr>
          <w:rFonts w:eastAsiaTheme="minorEastAsia"/>
          <w:color w:val="1A1818"/>
          <w:lang w:val="et-EE" w:eastAsia="ja-JP"/>
        </w:rPr>
        <w:t xml:space="preserve"> </w:t>
      </w:r>
      <w:r w:rsidRPr="003D6736">
        <w:rPr>
          <w:rFonts w:eastAsiaTheme="minorEastAsia"/>
          <w:color w:val="1A1818"/>
          <w:lang w:val="et-EE" w:eastAsia="ja-JP"/>
        </w:rPr>
        <w:t xml:space="preserve">või </w:t>
      </w:r>
      <w:r w:rsidR="008F43ED" w:rsidRPr="003D6736">
        <w:rPr>
          <w:rFonts w:eastAsiaTheme="minorEastAsia"/>
          <w:color w:val="1A1818"/>
          <w:lang w:val="et-EE" w:eastAsia="ja-JP"/>
        </w:rPr>
        <w:t xml:space="preserve">spetsiifiliste sümptomite korral. </w:t>
      </w:r>
    </w:p>
    <w:p w14:paraId="21BF3EE7" w14:textId="77777777" w:rsidR="003D6736" w:rsidRPr="003D6736" w:rsidRDefault="003D6736" w:rsidP="003D6736">
      <w:pPr>
        <w:pStyle w:val="ListParagraph"/>
        <w:numPr>
          <w:ilvl w:val="0"/>
          <w:numId w:val="14"/>
        </w:numPr>
        <w:rPr>
          <w:rFonts w:eastAsiaTheme="minorEastAsia"/>
          <w:color w:val="1A1818"/>
          <w:lang w:val="et-EE" w:eastAsia="ja-JP"/>
        </w:rPr>
      </w:pPr>
    </w:p>
    <w:p w14:paraId="6EAF68EA" w14:textId="5177BFC3" w:rsidR="008F43ED" w:rsidRDefault="008F43ED" w:rsidP="008F43ED">
      <w:pPr>
        <w:rPr>
          <w:rFonts w:eastAsiaTheme="minorEastAsia"/>
          <w:color w:val="1A1818"/>
          <w:lang w:val="et-EE" w:eastAsia="ja-JP"/>
        </w:rPr>
      </w:pPr>
      <w:r w:rsidRPr="003D6736">
        <w:rPr>
          <w:rFonts w:eastAsiaTheme="minorEastAsia"/>
          <w:color w:val="1A1818"/>
          <w:lang w:val="et-EE" w:eastAsia="ja-JP"/>
        </w:rPr>
        <w:t>Naised, kes jäävad peale operatsiooni rasedaks, peaksid puuduste vältimiseks läbima toitumis- ja laborianalüüsid iga trimester. Analüüsid peaksid sisaldama raua, folaadi, B</w:t>
      </w:r>
      <w:r w:rsidRPr="003D6736">
        <w:rPr>
          <w:rFonts w:eastAsiaTheme="minorEastAsia"/>
          <w:color w:val="1A1818"/>
          <w:vertAlign w:val="subscript"/>
          <w:lang w:val="et-EE" w:eastAsia="ja-JP"/>
        </w:rPr>
        <w:t>12</w:t>
      </w:r>
      <w:r w:rsidRPr="003D6736">
        <w:rPr>
          <w:rFonts w:eastAsiaTheme="minorEastAsia"/>
          <w:color w:val="1A1818"/>
          <w:lang w:val="et-EE" w:eastAsia="ja-JP"/>
        </w:rPr>
        <w:t>-vitamiini, kaltsiumi ja rasvlahustuvate vitamiinide näite</w:t>
      </w:r>
      <w:r w:rsidR="00C53590" w:rsidRPr="003D6736">
        <w:rPr>
          <w:rFonts w:eastAsiaTheme="minorEastAsia"/>
          <w:color w:val="1A1818"/>
          <w:lang w:val="et-EE" w:eastAsia="ja-JP"/>
        </w:rPr>
        <w:t xml:space="preserve"> (</w:t>
      </w:r>
      <w:r w:rsidR="00C53590" w:rsidRPr="003D6736">
        <w:rPr>
          <w:color w:val="131413"/>
          <w:lang w:val="et-EE"/>
        </w:rPr>
        <w:t xml:space="preserve">tõenduspõhisuse tase </w:t>
      </w:r>
      <w:r w:rsidR="00CB44C2" w:rsidRPr="003D6736">
        <w:rPr>
          <w:rFonts w:eastAsiaTheme="minorEastAsia"/>
          <w:color w:val="1A1818"/>
          <w:lang w:val="et-EE" w:eastAsia="ja-JP"/>
        </w:rPr>
        <w:t>D)</w:t>
      </w:r>
      <w:r w:rsidRPr="003D6736">
        <w:rPr>
          <w:rFonts w:eastAsiaTheme="minorEastAsia"/>
          <w:color w:val="1A1818"/>
          <w:lang w:val="et-EE" w:eastAsia="ja-JP"/>
        </w:rPr>
        <w:t xml:space="preserve">. </w:t>
      </w:r>
    </w:p>
    <w:p w14:paraId="40DCF84A" w14:textId="77777777" w:rsidR="003D6736" w:rsidRPr="003D6736" w:rsidRDefault="003D6736" w:rsidP="008F43ED">
      <w:pPr>
        <w:rPr>
          <w:rFonts w:eastAsiaTheme="minorEastAsia"/>
          <w:color w:val="1A1818"/>
          <w:lang w:val="et-EE" w:eastAsia="ja-JP"/>
        </w:rPr>
      </w:pPr>
    </w:p>
    <w:p w14:paraId="566DBB82" w14:textId="33C899E7" w:rsidR="00A5641E" w:rsidRPr="003D6736" w:rsidRDefault="00BE2AF2" w:rsidP="00A5641E">
      <w:pPr>
        <w:rPr>
          <w:lang w:val="et-EE"/>
        </w:rPr>
      </w:pPr>
      <w:r w:rsidRPr="003D6736">
        <w:rPr>
          <w:lang w:val="et-EE"/>
        </w:rPr>
        <w:t xml:space="preserve">SIGN soovitab postoperatiivselt teha </w:t>
      </w:r>
      <w:r w:rsidRPr="003D6736">
        <w:rPr>
          <w:rFonts w:eastAsiaTheme="minorEastAsia"/>
          <w:color w:val="1A1818"/>
          <w:lang w:val="et-EE" w:eastAsia="ja-JP"/>
        </w:rPr>
        <w:t>täisvere-, kaltsium</w:t>
      </w:r>
      <w:r w:rsidR="00A60C29" w:rsidRPr="003D6736">
        <w:rPr>
          <w:rFonts w:eastAsiaTheme="minorEastAsia"/>
          <w:color w:val="1A1818"/>
          <w:lang w:val="et-EE" w:eastAsia="ja-JP"/>
        </w:rPr>
        <w:t>i</w:t>
      </w:r>
      <w:r w:rsidRPr="003D6736">
        <w:rPr>
          <w:rFonts w:eastAsiaTheme="minorEastAsia"/>
          <w:color w:val="1A1818"/>
          <w:lang w:val="et-EE" w:eastAsia="ja-JP"/>
        </w:rPr>
        <w:t>, magneesiumi, fosfaadi ja albumiini analü</w:t>
      </w:r>
      <w:r w:rsidR="00A60C29" w:rsidRPr="003D6736">
        <w:rPr>
          <w:rFonts w:eastAsiaTheme="minorEastAsia"/>
          <w:color w:val="1A1818"/>
          <w:lang w:val="et-EE" w:eastAsia="ja-JP"/>
        </w:rPr>
        <w:t>ü</w:t>
      </w:r>
      <w:r w:rsidRPr="003D6736">
        <w:rPr>
          <w:rFonts w:eastAsiaTheme="minorEastAsia"/>
          <w:color w:val="1A1818"/>
          <w:lang w:val="et-EE" w:eastAsia="ja-JP"/>
        </w:rPr>
        <w:t>si</w:t>
      </w:r>
      <w:r w:rsidRPr="003D6736">
        <w:rPr>
          <w:lang w:val="et-EE"/>
        </w:rPr>
        <w:t>. Saksa</w:t>
      </w:r>
      <w:r w:rsidR="00296147" w:rsidRPr="003D6736">
        <w:rPr>
          <w:lang w:val="et-EE"/>
        </w:rPr>
        <w:t xml:space="preserve"> (tugev soovitus)</w:t>
      </w:r>
      <w:r w:rsidRPr="003D6736">
        <w:rPr>
          <w:lang w:val="et-EE"/>
        </w:rPr>
        <w:t>, NICE ja AUS ravijuhendites on lihtsalt mainitud, et mikrotoitainete taset tuleb jälgida.</w:t>
      </w:r>
    </w:p>
    <w:p w14:paraId="2407A50F" w14:textId="77777777" w:rsidR="001C4A13" w:rsidRDefault="001C4A13" w:rsidP="001C4A13">
      <w:pPr>
        <w:rPr>
          <w:b/>
        </w:rPr>
      </w:pPr>
    </w:p>
    <w:p w14:paraId="7CB4C7A4" w14:textId="77777777" w:rsidR="001A2B98" w:rsidRPr="001A2B98" w:rsidRDefault="001A2B98" w:rsidP="001A2B98">
      <w:pPr>
        <w:autoSpaceDE w:val="0"/>
        <w:autoSpaceDN w:val="0"/>
        <w:adjustRightInd w:val="0"/>
        <w:rPr>
          <w:b/>
          <w:sz w:val="28"/>
          <w:lang w:val="et-EE"/>
        </w:rPr>
      </w:pPr>
      <w:r w:rsidRPr="001A2B98">
        <w:rPr>
          <w:b/>
          <w:sz w:val="28"/>
          <w:lang w:val="et-EE"/>
        </w:rPr>
        <w:t>Soovitus:</w:t>
      </w:r>
    </w:p>
    <w:p w14:paraId="3E5BCBE6" w14:textId="77777777" w:rsidR="001A2B98" w:rsidRPr="001A2B98" w:rsidRDefault="001A2B98" w:rsidP="001A2B98">
      <w:pPr>
        <w:autoSpaceDE w:val="0"/>
        <w:autoSpaceDN w:val="0"/>
        <w:adjustRightInd w:val="0"/>
        <w:ind w:left="708"/>
        <w:rPr>
          <w:lang w:val="et-EE"/>
        </w:rPr>
      </w:pPr>
      <w:r w:rsidRPr="001A2B98">
        <w:rPr>
          <w:lang w:val="et-EE"/>
        </w:rPr>
        <w:t>Bariaatrilise operatsiooni järgselt tuleks patsiendil teostada järgmised uuringud/analüüsid 6 kuud ja 12 kuud peale operatsiooni, seejärel korra aastas:</w:t>
      </w:r>
    </w:p>
    <w:p w14:paraId="62AA10FE" w14:textId="77777777" w:rsidR="001A2B98" w:rsidRPr="001A2B98" w:rsidRDefault="001A2B98" w:rsidP="001A2B9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et-EE"/>
        </w:rPr>
      </w:pPr>
      <w:r w:rsidRPr="001A2B98">
        <w:rPr>
          <w:lang w:val="et-EE"/>
        </w:rPr>
        <w:t>Kolesterool ja verelipiidid</w:t>
      </w:r>
    </w:p>
    <w:p w14:paraId="315AC354" w14:textId="77777777" w:rsidR="001A2B98" w:rsidRPr="001A2B98" w:rsidRDefault="001A2B98" w:rsidP="001A2B9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et-EE"/>
        </w:rPr>
      </w:pPr>
      <w:r w:rsidRPr="001A2B98">
        <w:rPr>
          <w:lang w:val="et-EE"/>
        </w:rPr>
        <w:t>B12- kord aastas, lisandi</w:t>
      </w:r>
      <w:bookmarkStart w:id="1" w:name="_GoBack"/>
      <w:bookmarkEnd w:id="1"/>
      <w:r w:rsidRPr="001A2B98">
        <w:rPr>
          <w:lang w:val="et-EE"/>
        </w:rPr>
        <w:t>te tarvitamisel 3-6 kuu tagant</w:t>
      </w:r>
    </w:p>
    <w:p w14:paraId="02044C4E" w14:textId="77777777" w:rsidR="001A2B98" w:rsidRPr="001A2B98" w:rsidRDefault="001A2B98" w:rsidP="001A2B9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et-EE"/>
        </w:rPr>
      </w:pPr>
      <w:r w:rsidRPr="001A2B98">
        <w:rPr>
          <w:lang w:val="et-EE"/>
        </w:rPr>
        <w:t>Foolhape</w:t>
      </w:r>
    </w:p>
    <w:p w14:paraId="79EFF731" w14:textId="77777777" w:rsidR="001A2B98" w:rsidRPr="001A2B98" w:rsidRDefault="001A2B98" w:rsidP="001A2B9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et-EE"/>
        </w:rPr>
      </w:pPr>
      <w:r w:rsidRPr="001A2B98">
        <w:rPr>
          <w:lang w:val="et-EE"/>
        </w:rPr>
        <w:t>Raud, feritiin</w:t>
      </w:r>
    </w:p>
    <w:p w14:paraId="05EB0F1D" w14:textId="77777777" w:rsidR="001A2B98" w:rsidRPr="001A2B98" w:rsidRDefault="001A2B98" w:rsidP="001A2B9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et-EE"/>
        </w:rPr>
      </w:pPr>
      <w:r w:rsidRPr="001A2B98">
        <w:rPr>
          <w:lang w:val="et-EE"/>
        </w:rPr>
        <w:t xml:space="preserve">Tsink- </w:t>
      </w:r>
      <w:r w:rsidRPr="001A2B98">
        <w:rPr>
          <w:rFonts w:eastAsiaTheme="minorEastAsia"/>
          <w:color w:val="1A1818"/>
          <w:lang w:val="et-EE" w:eastAsia="ja-JP"/>
        </w:rPr>
        <w:t>peale malabsorptiivset protseduuri või spetsiifiliste sümptomite korral</w:t>
      </w:r>
    </w:p>
    <w:p w14:paraId="25AF7CC4" w14:textId="77777777" w:rsidR="001A2B98" w:rsidRPr="001A2B98" w:rsidRDefault="001A2B98" w:rsidP="001A2B9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et-EE"/>
        </w:rPr>
      </w:pPr>
      <w:r w:rsidRPr="001A2B98">
        <w:rPr>
          <w:lang w:val="et-EE"/>
        </w:rPr>
        <w:t>PTH</w:t>
      </w:r>
    </w:p>
    <w:p w14:paraId="58522BA4" w14:textId="77777777" w:rsidR="001A2B98" w:rsidRPr="001A2B98" w:rsidRDefault="001A2B98" w:rsidP="001A2B9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et-EE"/>
        </w:rPr>
      </w:pPr>
      <w:r w:rsidRPr="001A2B98">
        <w:rPr>
          <w:lang w:val="et-EE"/>
        </w:rPr>
        <w:t>(uriini) Kaltsium</w:t>
      </w:r>
    </w:p>
    <w:p w14:paraId="63611482" w14:textId="77777777" w:rsidR="001A2B98" w:rsidRPr="001A2B98" w:rsidRDefault="001A2B98" w:rsidP="001A2B9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et-EE"/>
        </w:rPr>
      </w:pPr>
      <w:r w:rsidRPr="001A2B98">
        <w:rPr>
          <w:lang w:val="et-EE"/>
        </w:rPr>
        <w:t>25(OH) D3 vitamiin</w:t>
      </w:r>
    </w:p>
    <w:p w14:paraId="1E5CA894" w14:textId="77777777" w:rsidR="001A2B98" w:rsidRPr="001A2B98" w:rsidRDefault="001A2B98" w:rsidP="001A2B9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lang w:val="et-EE"/>
        </w:rPr>
      </w:pPr>
      <w:r w:rsidRPr="001A2B98">
        <w:rPr>
          <w:lang w:val="et-EE"/>
        </w:rPr>
        <w:t xml:space="preserve">Glükohemoglobiin-jälgida </w:t>
      </w:r>
      <w:r w:rsidRPr="001A2B98">
        <w:rPr>
          <w:rFonts w:eastAsiaTheme="minorEastAsia"/>
          <w:color w:val="1A1818"/>
          <w:lang w:val="et-EE" w:eastAsia="ja-JP"/>
        </w:rPr>
        <w:t>diabeedi ja hüpoglokeemiliste sümptomite puhul</w:t>
      </w:r>
    </w:p>
    <w:p w14:paraId="7277E5B8" w14:textId="77777777" w:rsidR="001A2B98" w:rsidRDefault="001A2B98" w:rsidP="001C4A13">
      <w:pPr>
        <w:rPr>
          <w:b/>
        </w:rPr>
      </w:pPr>
    </w:p>
    <w:p w14:paraId="2FA452A2" w14:textId="77777777" w:rsidR="006A3BAC" w:rsidRPr="00BE6846" w:rsidRDefault="006A3BAC" w:rsidP="003276D8">
      <w:pPr>
        <w:autoSpaceDE w:val="0"/>
        <w:autoSpaceDN w:val="0"/>
        <w:adjustRightInd w:val="0"/>
        <w:rPr>
          <w:iCs/>
          <w:lang w:val="et-EE"/>
        </w:rPr>
      </w:pPr>
    </w:p>
    <w:sectPr w:rsidR="006A3BAC" w:rsidRPr="00BE6846" w:rsidSect="003D6736">
      <w:headerReference w:type="default" r:id="rId8"/>
      <w:footerReference w:type="default" r:id="rId9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FDEA6" w14:textId="77777777" w:rsidR="001C53B0" w:rsidRDefault="001C53B0" w:rsidP="00BE6846">
      <w:r>
        <w:separator/>
      </w:r>
    </w:p>
  </w:endnote>
  <w:endnote w:type="continuationSeparator" w:id="0">
    <w:p w14:paraId="44A5EE5F" w14:textId="77777777" w:rsidR="001C53B0" w:rsidRDefault="001C53B0" w:rsidP="00BE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8EEAC" w14:textId="77777777" w:rsidR="001C53B0" w:rsidRDefault="001C53B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A2B98" w:rsidRPr="001A2B98">
      <w:rPr>
        <w:noProof/>
        <w:lang w:val="et-EE"/>
      </w:rPr>
      <w:t>5</w:t>
    </w:r>
    <w:r>
      <w:fldChar w:fldCharType="end"/>
    </w:r>
  </w:p>
  <w:p w14:paraId="5128ED56" w14:textId="77777777" w:rsidR="001C53B0" w:rsidRDefault="001C53B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2E06D" w14:textId="77777777" w:rsidR="001C53B0" w:rsidRDefault="001C53B0" w:rsidP="00BE6846">
      <w:r>
        <w:separator/>
      </w:r>
    </w:p>
  </w:footnote>
  <w:footnote w:type="continuationSeparator" w:id="0">
    <w:p w14:paraId="48C3D3D3" w14:textId="77777777" w:rsidR="001C53B0" w:rsidRDefault="001C53B0" w:rsidP="00BE68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7BB6F" w14:textId="2FB77722" w:rsidR="001C53B0" w:rsidRDefault="001C53B0">
    <w:pPr>
      <w:pStyle w:val="Header"/>
    </w:pPr>
    <w:r>
      <w:t>Bariaatria_K11_EvSu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62F"/>
    <w:multiLevelType w:val="hybridMultilevel"/>
    <w:tmpl w:val="807A27E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03B01"/>
    <w:multiLevelType w:val="hybridMultilevel"/>
    <w:tmpl w:val="57A0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93039"/>
    <w:multiLevelType w:val="hybridMultilevel"/>
    <w:tmpl w:val="1D8009DC"/>
    <w:lvl w:ilvl="0" w:tplc="8758B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31335"/>
    <w:multiLevelType w:val="hybridMultilevel"/>
    <w:tmpl w:val="90A24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32811"/>
    <w:multiLevelType w:val="hybridMultilevel"/>
    <w:tmpl w:val="AAB2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2089F"/>
    <w:multiLevelType w:val="hybridMultilevel"/>
    <w:tmpl w:val="D11A6CF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4268E6"/>
    <w:multiLevelType w:val="hybridMultilevel"/>
    <w:tmpl w:val="4048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73C73"/>
    <w:multiLevelType w:val="hybridMultilevel"/>
    <w:tmpl w:val="1B3E5E56"/>
    <w:lvl w:ilvl="0" w:tplc="59C8C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54ED3"/>
    <w:multiLevelType w:val="hybridMultilevel"/>
    <w:tmpl w:val="3822CBD0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5AA4885"/>
    <w:multiLevelType w:val="hybridMultilevel"/>
    <w:tmpl w:val="1A3CF50E"/>
    <w:lvl w:ilvl="0" w:tplc="270C4A4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7C87EF8"/>
    <w:multiLevelType w:val="hybridMultilevel"/>
    <w:tmpl w:val="6B64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F49C0"/>
    <w:multiLevelType w:val="hybridMultilevel"/>
    <w:tmpl w:val="7188F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43763"/>
    <w:multiLevelType w:val="hybridMultilevel"/>
    <w:tmpl w:val="2B547B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20E2B"/>
    <w:multiLevelType w:val="hybridMultilevel"/>
    <w:tmpl w:val="02B4F916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D8"/>
    <w:rsid w:val="00003B69"/>
    <w:rsid w:val="0000591B"/>
    <w:rsid w:val="000176F9"/>
    <w:rsid w:val="0005465A"/>
    <w:rsid w:val="000949CB"/>
    <w:rsid w:val="000D36CF"/>
    <w:rsid w:val="000E507E"/>
    <w:rsid w:val="00104DFF"/>
    <w:rsid w:val="00121AD7"/>
    <w:rsid w:val="001267F0"/>
    <w:rsid w:val="0016627F"/>
    <w:rsid w:val="001A0743"/>
    <w:rsid w:val="001A2981"/>
    <w:rsid w:val="001A2B98"/>
    <w:rsid w:val="001C4A13"/>
    <w:rsid w:val="001C53B0"/>
    <w:rsid w:val="001D6CD8"/>
    <w:rsid w:val="001E306B"/>
    <w:rsid w:val="001F403C"/>
    <w:rsid w:val="00222DD4"/>
    <w:rsid w:val="00244695"/>
    <w:rsid w:val="00281304"/>
    <w:rsid w:val="00291DDA"/>
    <w:rsid w:val="00296147"/>
    <w:rsid w:val="002A40AC"/>
    <w:rsid w:val="002B4B52"/>
    <w:rsid w:val="002F23F0"/>
    <w:rsid w:val="003276D8"/>
    <w:rsid w:val="00344637"/>
    <w:rsid w:val="0039517A"/>
    <w:rsid w:val="003B516E"/>
    <w:rsid w:val="003D6736"/>
    <w:rsid w:val="004166F7"/>
    <w:rsid w:val="0043656C"/>
    <w:rsid w:val="00484209"/>
    <w:rsid w:val="004922D2"/>
    <w:rsid w:val="004D3FBA"/>
    <w:rsid w:val="00502909"/>
    <w:rsid w:val="00516472"/>
    <w:rsid w:val="00527249"/>
    <w:rsid w:val="00545214"/>
    <w:rsid w:val="005501B3"/>
    <w:rsid w:val="00567D77"/>
    <w:rsid w:val="005820CC"/>
    <w:rsid w:val="005A0F12"/>
    <w:rsid w:val="005A7DD3"/>
    <w:rsid w:val="005D792F"/>
    <w:rsid w:val="005E1ECF"/>
    <w:rsid w:val="005E3860"/>
    <w:rsid w:val="006438F8"/>
    <w:rsid w:val="006A3BAC"/>
    <w:rsid w:val="006E7D92"/>
    <w:rsid w:val="007501CB"/>
    <w:rsid w:val="007B5BE4"/>
    <w:rsid w:val="007B6E90"/>
    <w:rsid w:val="007E285F"/>
    <w:rsid w:val="00837281"/>
    <w:rsid w:val="008441BF"/>
    <w:rsid w:val="00852E0C"/>
    <w:rsid w:val="008965B0"/>
    <w:rsid w:val="008E7669"/>
    <w:rsid w:val="008F43ED"/>
    <w:rsid w:val="00900A38"/>
    <w:rsid w:val="00922D60"/>
    <w:rsid w:val="009272BF"/>
    <w:rsid w:val="00961023"/>
    <w:rsid w:val="00961B9C"/>
    <w:rsid w:val="009774FE"/>
    <w:rsid w:val="009A564A"/>
    <w:rsid w:val="009C0386"/>
    <w:rsid w:val="00A066BF"/>
    <w:rsid w:val="00A11AE4"/>
    <w:rsid w:val="00A2548C"/>
    <w:rsid w:val="00A3453D"/>
    <w:rsid w:val="00A370B1"/>
    <w:rsid w:val="00A41DDE"/>
    <w:rsid w:val="00A5641E"/>
    <w:rsid w:val="00A60C29"/>
    <w:rsid w:val="00A87890"/>
    <w:rsid w:val="00AD5553"/>
    <w:rsid w:val="00AF56C2"/>
    <w:rsid w:val="00B804D7"/>
    <w:rsid w:val="00BA3F99"/>
    <w:rsid w:val="00BB7799"/>
    <w:rsid w:val="00BE2AF2"/>
    <w:rsid w:val="00BE6846"/>
    <w:rsid w:val="00BF70C4"/>
    <w:rsid w:val="00C11C1A"/>
    <w:rsid w:val="00C53590"/>
    <w:rsid w:val="00C562B4"/>
    <w:rsid w:val="00CB44C2"/>
    <w:rsid w:val="00D063D1"/>
    <w:rsid w:val="00D14D43"/>
    <w:rsid w:val="00D17473"/>
    <w:rsid w:val="00D23C41"/>
    <w:rsid w:val="00D90977"/>
    <w:rsid w:val="00E0643A"/>
    <w:rsid w:val="00E27F73"/>
    <w:rsid w:val="00E40DA1"/>
    <w:rsid w:val="00E67315"/>
    <w:rsid w:val="00E865E8"/>
    <w:rsid w:val="00F24156"/>
    <w:rsid w:val="00F87669"/>
    <w:rsid w:val="00F91D9F"/>
    <w:rsid w:val="00F9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0EB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D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D8"/>
    <w:pPr>
      <w:ind w:left="720"/>
      <w:contextualSpacing/>
    </w:pPr>
  </w:style>
  <w:style w:type="table" w:styleId="TableGrid">
    <w:name w:val="Table Grid"/>
    <w:basedOn w:val="TableNormal"/>
    <w:uiPriority w:val="59"/>
    <w:rsid w:val="00327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68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E684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84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E684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D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D8"/>
    <w:pPr>
      <w:ind w:left="720"/>
      <w:contextualSpacing/>
    </w:pPr>
  </w:style>
  <w:style w:type="table" w:styleId="TableGrid">
    <w:name w:val="Table Grid"/>
    <w:basedOn w:val="TableNormal"/>
    <w:uiPriority w:val="59"/>
    <w:rsid w:val="00327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68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E684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84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E68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1847</Words>
  <Characters>10531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Kliiniline küsimus nr</vt:lpstr>
    </vt:vector>
  </TitlesOfParts>
  <Company>DELLNBX</Company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Kliiniline küsimus nr</dc:title>
  <dc:creator>Kirsti</dc:creator>
  <cp:lastModifiedBy>Siret Saarsalu</cp:lastModifiedBy>
  <cp:revision>3</cp:revision>
  <dcterms:created xsi:type="dcterms:W3CDTF">2014-12-01T15:04:00Z</dcterms:created>
  <dcterms:modified xsi:type="dcterms:W3CDTF">2014-12-01T15:41:00Z</dcterms:modified>
</cp:coreProperties>
</file>