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256CA" w14:textId="77777777"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</w:p>
    <w:p w14:paraId="1A7841A7" w14:textId="77777777" w:rsidR="004F6C78" w:rsidRPr="00296728" w:rsidRDefault="0031077D" w:rsidP="004F6C78">
      <w:pPr>
        <w:rPr>
          <w:b/>
          <w:color w:val="000080"/>
          <w:sz w:val="18"/>
          <w:szCs w:val="18"/>
        </w:rPr>
      </w:pPr>
      <w:r w:rsidRPr="00A97024">
        <w:rPr>
          <w:rFonts w:ascii="Verdana" w:hAnsi="Verdana"/>
          <w:b/>
          <w:color w:val="000080"/>
          <w:sz w:val="18"/>
          <w:szCs w:val="18"/>
        </w:rPr>
        <w:t xml:space="preserve">Kliiniline küsimus nr </w:t>
      </w:r>
      <w:r w:rsidR="00296728">
        <w:rPr>
          <w:rFonts w:ascii="Verdana" w:hAnsi="Verdana"/>
          <w:b/>
          <w:color w:val="000080"/>
          <w:sz w:val="18"/>
          <w:szCs w:val="18"/>
        </w:rPr>
        <w:t>11.2</w:t>
      </w:r>
    </w:p>
    <w:p w14:paraId="127B54FA" w14:textId="77777777" w:rsidR="004F6C78" w:rsidRPr="00A97024" w:rsidRDefault="004F6C78" w:rsidP="004F6C78">
      <w:pPr>
        <w:rPr>
          <w:rFonts w:ascii="Verdana" w:hAnsi="Verdana"/>
          <w:b/>
          <w:color w:val="000080"/>
          <w:sz w:val="18"/>
          <w:szCs w:val="18"/>
        </w:rPr>
      </w:pPr>
    </w:p>
    <w:p w14:paraId="2077A75E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Times-Roman" w:hAnsi="Times-Roman" w:cs="Times-Roman"/>
        </w:rPr>
        <w:t>Kas bariaatrilise operatsiooni järgselt tuleks patsiendil teostada järgmised uuringud/analüüsid (võrreldes uuringute/analüüsid</w:t>
      </w:r>
      <w:r>
        <w:t>e</w:t>
      </w:r>
      <w:r w:rsidRPr="00961023">
        <w:rPr>
          <w:rFonts w:ascii="Times-Roman" w:hAnsi="Times-Roman" w:cs="Times-Roman"/>
        </w:rPr>
        <w:t xml:space="preserve"> mitte tegemisega)</w:t>
      </w:r>
    </w:p>
    <w:p w14:paraId="295C873F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  <w:b/>
        </w:rPr>
      </w:pPr>
    </w:p>
    <w:p w14:paraId="5DBD3FA8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Kolesterool ja verelipiidid</w:t>
      </w:r>
    </w:p>
    <w:p w14:paraId="40400854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B12, foolhape</w:t>
      </w:r>
    </w:p>
    <w:p w14:paraId="738C5D13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raud, feritiin</w:t>
      </w:r>
    </w:p>
    <w:p w14:paraId="6ADB8495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Tsink</w:t>
      </w:r>
    </w:p>
    <w:p w14:paraId="027A2A84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TSH</w:t>
      </w:r>
    </w:p>
    <w:p w14:paraId="23BDAA19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PTH</w:t>
      </w:r>
    </w:p>
    <w:p w14:paraId="3E335800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Kaltsium</w:t>
      </w:r>
    </w:p>
    <w:p w14:paraId="52C3DD74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>25(OH) D3 vitamiin</w:t>
      </w:r>
    </w:p>
    <w:p w14:paraId="3F1382BB" w14:textId="77777777" w:rsidR="00296728" w:rsidRPr="00961023" w:rsidRDefault="00296728" w:rsidP="00296728">
      <w:pPr>
        <w:autoSpaceDE w:val="0"/>
        <w:autoSpaceDN w:val="0"/>
        <w:adjustRightInd w:val="0"/>
        <w:rPr>
          <w:rFonts w:ascii="Times-Roman" w:hAnsi="Times-Roman" w:cs="Times-Roman"/>
        </w:rPr>
      </w:pPr>
      <w:r w:rsidRPr="00961023">
        <w:rPr>
          <w:rFonts w:ascii="Courier" w:hAnsi="Courier" w:cs="Courier"/>
        </w:rPr>
        <w:t xml:space="preserve">- </w:t>
      </w:r>
      <w:r w:rsidRPr="00961023">
        <w:rPr>
          <w:rFonts w:ascii="Times-Roman" w:hAnsi="Times-Roman" w:cs="Times-Roman"/>
        </w:rPr>
        <w:t xml:space="preserve">Glükohemoglobiin </w:t>
      </w:r>
    </w:p>
    <w:p w14:paraId="6A8B26BC" w14:textId="77777777" w:rsidR="00296728" w:rsidRPr="00961023" w:rsidRDefault="00296728" w:rsidP="00296728">
      <w:pPr>
        <w:autoSpaceDE w:val="0"/>
        <w:autoSpaceDN w:val="0"/>
        <w:adjustRightInd w:val="0"/>
        <w:rPr>
          <w:b/>
          <w:bCs/>
        </w:rPr>
      </w:pPr>
    </w:p>
    <w:p w14:paraId="7759DC3A" w14:textId="77777777" w:rsidR="00296728" w:rsidRPr="00961023" w:rsidRDefault="00296728" w:rsidP="00296728">
      <w:pPr>
        <w:autoSpaceDE w:val="0"/>
        <w:autoSpaceDN w:val="0"/>
        <w:adjustRightInd w:val="0"/>
        <w:rPr>
          <w:i/>
          <w:iCs/>
        </w:rPr>
      </w:pPr>
      <w:r w:rsidRPr="00961023">
        <w:rPr>
          <w:b/>
          <w:bCs/>
        </w:rPr>
        <w:t xml:space="preserve">Tulemusnäitajad: </w:t>
      </w:r>
      <w:r w:rsidRPr="00961023">
        <w:rPr>
          <w:rFonts w:ascii="Times-Italic" w:hAnsi="Times-Italic" w:cs="Times-Italic"/>
          <w:i/>
          <w:iCs/>
        </w:rPr>
        <w:t>Uuringumeetodi tundlikkus ja spetsiifilisus, positiivne ja negatiivne ennustatav väärtus, kulutõhusus</w:t>
      </w:r>
    </w:p>
    <w:p w14:paraId="4D62866B" w14:textId="77777777" w:rsidR="00077A2A" w:rsidRPr="00A97024" w:rsidRDefault="00077A2A">
      <w:pPr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432CD4" w:rsidRPr="00A97024" w14:paraId="1078065D" w14:textId="77777777" w:rsidTr="00A97024">
        <w:tc>
          <w:tcPr>
            <w:tcW w:w="9288" w:type="dxa"/>
            <w:gridSpan w:val="4"/>
            <w:shd w:val="clear" w:color="auto" w:fill="auto"/>
          </w:tcPr>
          <w:p w14:paraId="57CB9FB2" w14:textId="77777777"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14:paraId="39BA4DED" w14:textId="77777777" w:rsidR="004F6C78" w:rsidRPr="00A97024" w:rsidRDefault="0031077D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Töörühma soovitus: </w:t>
            </w:r>
          </w:p>
          <w:p w14:paraId="3B4C43E8" w14:textId="77777777" w:rsidR="00A97024" w:rsidRPr="00A97024" w:rsidRDefault="00A97024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14:paraId="77D5E7B4" w14:textId="77777777" w:rsidR="004F6C78" w:rsidRPr="00A97024" w:rsidRDefault="0031077D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i/>
                <w:color w:val="000080"/>
                <w:sz w:val="18"/>
                <w:szCs w:val="18"/>
              </w:rPr>
              <w:t>Soovituse tekst</w:t>
            </w:r>
          </w:p>
          <w:p w14:paraId="6426EF15" w14:textId="77777777" w:rsidR="00296728" w:rsidRPr="001A2B98" w:rsidRDefault="00296728" w:rsidP="00296728">
            <w:pPr>
              <w:autoSpaceDE w:val="0"/>
              <w:autoSpaceDN w:val="0"/>
              <w:adjustRightInd w:val="0"/>
              <w:ind w:left="708"/>
            </w:pPr>
            <w:r w:rsidRPr="001A2B98">
              <w:t>Bariaatrilise operatsiooni järgselt tuleks patsiendil teostada järgmised uuringud/analüüsid 6 kuud ja 12 kuud peale operatsiooni, seejärel korra aastas:</w:t>
            </w:r>
          </w:p>
          <w:p w14:paraId="44AEDADC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Kolesterool ja verelipiidid</w:t>
            </w:r>
          </w:p>
          <w:p w14:paraId="030F08C9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B12- kord aastas, lisandite tarvitamisel 3-6 kuu tagant</w:t>
            </w:r>
          </w:p>
          <w:p w14:paraId="72D0B8D8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Foolhape</w:t>
            </w:r>
          </w:p>
          <w:p w14:paraId="4C502EA8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Raud, feritiin</w:t>
            </w:r>
          </w:p>
          <w:p w14:paraId="3B1ABB13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 xml:space="preserve">Tsink- </w:t>
            </w:r>
            <w:r w:rsidRPr="001A2B98">
              <w:rPr>
                <w:rFonts w:eastAsiaTheme="minorEastAsia"/>
                <w:color w:val="1A1818"/>
                <w:lang w:val="et-EE" w:eastAsia="ja-JP"/>
              </w:rPr>
              <w:t>peale malabsorptiivset protseduuri või spetsiifiliste sümptomite korral</w:t>
            </w:r>
          </w:p>
          <w:p w14:paraId="0B878BCA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PTH</w:t>
            </w:r>
          </w:p>
          <w:p w14:paraId="6A0A8D96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(uriini) Kaltsium</w:t>
            </w:r>
          </w:p>
          <w:p w14:paraId="31E69F17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>25(OH) D3 vitamiin</w:t>
            </w:r>
          </w:p>
          <w:p w14:paraId="777208E6" w14:textId="77777777" w:rsidR="00296728" w:rsidRPr="001A2B98" w:rsidRDefault="00296728" w:rsidP="0029672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lang w:val="et-EE"/>
              </w:rPr>
            </w:pPr>
            <w:r w:rsidRPr="001A2B98">
              <w:rPr>
                <w:lang w:val="et-EE"/>
              </w:rPr>
              <w:t xml:space="preserve">Glükohemoglobiin-jälgida </w:t>
            </w:r>
            <w:r w:rsidRPr="001A2B98">
              <w:rPr>
                <w:rFonts w:eastAsiaTheme="minorEastAsia"/>
                <w:color w:val="1A1818"/>
                <w:lang w:val="et-EE" w:eastAsia="ja-JP"/>
              </w:rPr>
              <w:t>diabeedi ja hüpoglokeemiliste sümptomite puhul</w:t>
            </w:r>
          </w:p>
          <w:p w14:paraId="6CCC4DB2" w14:textId="77777777" w:rsidR="004C3FD1" w:rsidRPr="00A97024" w:rsidRDefault="004C3FD1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4CDA677" w14:textId="77777777" w:rsidR="00891C08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14:paraId="6D90CA6D" w14:textId="77777777" w:rsidTr="00A97024">
        <w:tc>
          <w:tcPr>
            <w:tcW w:w="3468" w:type="dxa"/>
            <w:shd w:val="clear" w:color="auto" w:fill="auto"/>
          </w:tcPr>
          <w:p w14:paraId="6798DD3F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6E6CB451" w14:textId="77777777" w:rsidR="0002590A" w:rsidRPr="00362001" w:rsidRDefault="007E0961" w:rsidP="0031077D">
            <w:r w:rsidRPr="00362001">
              <w:t>B</w:t>
            </w:r>
            <w:r w:rsidR="00296728" w:rsidRPr="00362001">
              <w:t>ariaatrilise lõikuse läbinud</w:t>
            </w:r>
            <w:r w:rsidR="00391DF4" w:rsidRPr="00362001">
              <w:t xml:space="preserve"> patsiendid</w:t>
            </w:r>
          </w:p>
          <w:p w14:paraId="5B4E7FFC" w14:textId="77777777" w:rsidR="0031077D" w:rsidRPr="00391DF4" w:rsidRDefault="0031077D" w:rsidP="0031077D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32CD4" w:rsidRPr="00A97024" w14:paraId="1FE37800" w14:textId="77777777" w:rsidTr="00A97024">
        <w:tc>
          <w:tcPr>
            <w:tcW w:w="3468" w:type="dxa"/>
            <w:shd w:val="clear" w:color="auto" w:fill="auto"/>
          </w:tcPr>
          <w:p w14:paraId="66B2964E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6C3D1EF3" w14:textId="77777777" w:rsidR="0031077D" w:rsidRPr="00362001" w:rsidRDefault="00362001" w:rsidP="0031077D">
            <w:r w:rsidRPr="00362001">
              <w:t>Bariaatrilise lõikuse läbinud patsientidel järgmiste uuringute/analüüside teostamine:</w:t>
            </w:r>
          </w:p>
          <w:p w14:paraId="7FD950B3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Kolesterool ja verelipiidid</w:t>
            </w:r>
          </w:p>
          <w:p w14:paraId="4EF9F01E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B12, foolhape</w:t>
            </w:r>
          </w:p>
          <w:p w14:paraId="657D89EF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raud, feritiin</w:t>
            </w:r>
          </w:p>
          <w:p w14:paraId="1C218A44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Tsink</w:t>
            </w:r>
          </w:p>
          <w:p w14:paraId="4DC21085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TSH</w:t>
            </w:r>
          </w:p>
          <w:p w14:paraId="2900928A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PTH</w:t>
            </w:r>
          </w:p>
          <w:p w14:paraId="160271E8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Kaltsium</w:t>
            </w:r>
          </w:p>
          <w:p w14:paraId="76D8867A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>- 25(OH) D3 vitamiin</w:t>
            </w:r>
          </w:p>
          <w:p w14:paraId="6BABF52C" w14:textId="77777777" w:rsidR="00362001" w:rsidRPr="00362001" w:rsidRDefault="00362001" w:rsidP="00362001">
            <w:pPr>
              <w:autoSpaceDE w:val="0"/>
              <w:autoSpaceDN w:val="0"/>
              <w:adjustRightInd w:val="0"/>
            </w:pPr>
            <w:r w:rsidRPr="00362001">
              <w:t xml:space="preserve">- </w:t>
            </w:r>
            <w:r>
              <w:t xml:space="preserve">Glükohemoglobiin </w:t>
            </w:r>
          </w:p>
          <w:p w14:paraId="3EE986C1" w14:textId="77777777" w:rsidR="00362001" w:rsidRPr="00362001" w:rsidRDefault="00362001" w:rsidP="0031077D">
            <w:pPr>
              <w:rPr>
                <w:sz w:val="18"/>
                <w:szCs w:val="18"/>
              </w:rPr>
            </w:pPr>
          </w:p>
        </w:tc>
      </w:tr>
      <w:tr w:rsidR="007D6E2D" w:rsidRPr="00A97024" w14:paraId="3EB073B1" w14:textId="77777777" w:rsidTr="00A97024">
        <w:tc>
          <w:tcPr>
            <w:tcW w:w="3468" w:type="dxa"/>
            <w:shd w:val="clear" w:color="auto" w:fill="auto"/>
          </w:tcPr>
          <w:p w14:paraId="747F6253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14:paraId="55EC118C" w14:textId="77777777"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5C6A0A63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1560" w:type="dxa"/>
            <w:shd w:val="clear" w:color="auto" w:fill="auto"/>
          </w:tcPr>
          <w:p w14:paraId="6B1D72B2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3180" w:type="dxa"/>
            <w:shd w:val="clear" w:color="auto" w:fill="auto"/>
          </w:tcPr>
          <w:p w14:paraId="63C604BB" w14:textId="77777777"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14:paraId="591D8BE9" w14:textId="77777777" w:rsidTr="00A97024">
        <w:tc>
          <w:tcPr>
            <w:tcW w:w="3468" w:type="dxa"/>
            <w:shd w:val="clear" w:color="auto" w:fill="auto"/>
          </w:tcPr>
          <w:p w14:paraId="12532D8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Väga hea või keskmise </w:t>
            </w: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lastRenderedPageBreak/>
              <w:t>kvaliteediga tõendusmaterjal</w:t>
            </w:r>
          </w:p>
          <w:p w14:paraId="1C05B6C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14:paraId="224104D9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3363C08A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14:paraId="14DE417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14:paraId="2D81D862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956E7E3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60AE9D3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BB90EE2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757CB5A9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C521220" w14:textId="77777777" w:rsidR="00432CD4" w:rsidRPr="00A97024" w:rsidRDefault="00432CD4" w:rsidP="003A058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038E27AD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7F94C759" w14:textId="77777777" w:rsidR="00FF2307" w:rsidRPr="001E3155" w:rsidRDefault="00FF2307" w:rsidP="00641D22">
            <w:pPr>
              <w:shd w:val="clear" w:color="auto" w:fill="FFFFFF"/>
              <w:spacing w:after="120"/>
              <w:ind w:right="240"/>
              <w:rPr>
                <w:rFonts w:ascii="Verdana" w:hAnsi="Verdana"/>
                <w:sz w:val="18"/>
                <w:szCs w:val="18"/>
              </w:rPr>
            </w:pPr>
            <w:r w:rsidRPr="001E3155">
              <w:rPr>
                <w:rFonts w:ascii="Verdana" w:hAnsi="Verdana"/>
                <w:sz w:val="18"/>
                <w:szCs w:val="18"/>
              </w:rPr>
              <w:t xml:space="preserve">Tõendusmaterjalina oli lisaks </w:t>
            </w:r>
            <w:r w:rsidRPr="001E3155">
              <w:rPr>
                <w:rFonts w:ascii="Verdana" w:hAnsi="Verdana"/>
                <w:sz w:val="18"/>
                <w:szCs w:val="18"/>
              </w:rPr>
              <w:lastRenderedPageBreak/>
              <w:t xml:space="preserve">ravijuhenditele kasutada üks meta-analüüs (2014, tõenduspõhisuse tase A) ja üks madala tõenduspõhisusega süstemaatiline ülevaateartikkel 2013 aastast. </w:t>
            </w:r>
          </w:p>
          <w:p w14:paraId="09B0A7AF" w14:textId="77777777" w:rsidR="007E0961" w:rsidRPr="00391DF4" w:rsidRDefault="00FF2307" w:rsidP="001E3155">
            <w:pPr>
              <w:shd w:val="clear" w:color="auto" w:fill="FFFFFF"/>
              <w:spacing w:after="120"/>
              <w:ind w:right="240"/>
              <w:rPr>
                <w:rFonts w:ascii="Verdana" w:hAnsi="Verdana" w:cs="Arial"/>
                <w:sz w:val="18"/>
                <w:szCs w:val="18"/>
              </w:rPr>
            </w:pPr>
            <w:r w:rsidRPr="001E3155">
              <w:rPr>
                <w:rFonts w:ascii="Verdana" w:hAnsi="Verdana"/>
                <w:sz w:val="18"/>
                <w:szCs w:val="18"/>
              </w:rPr>
              <w:t>L</w:t>
            </w:r>
            <w:r w:rsidR="001E3155" w:rsidRPr="001E3155">
              <w:rPr>
                <w:rFonts w:ascii="Verdana" w:hAnsi="Verdana"/>
                <w:sz w:val="18"/>
                <w:szCs w:val="18"/>
              </w:rPr>
              <w:t>isaks leidus üks mõõduka (2014), kaks</w:t>
            </w:r>
            <w:r w:rsidRPr="001E3155">
              <w:rPr>
                <w:rFonts w:ascii="Verdana" w:hAnsi="Verdana"/>
                <w:sz w:val="18"/>
                <w:szCs w:val="18"/>
              </w:rPr>
              <w:t xml:space="preserve"> madala (2013</w:t>
            </w:r>
            <w:r w:rsidR="001E3155" w:rsidRPr="001E3155">
              <w:rPr>
                <w:rFonts w:ascii="Verdana" w:hAnsi="Verdana"/>
                <w:sz w:val="18"/>
                <w:szCs w:val="18"/>
              </w:rPr>
              <w:t>, 2011</w:t>
            </w:r>
            <w:r w:rsidRPr="001E3155">
              <w:rPr>
                <w:rFonts w:ascii="Verdana" w:hAnsi="Verdana"/>
                <w:sz w:val="18"/>
                <w:szCs w:val="18"/>
              </w:rPr>
              <w:t>)</w:t>
            </w:r>
            <w:r w:rsidR="001E3155" w:rsidRPr="001E3155">
              <w:rPr>
                <w:rFonts w:ascii="Verdana" w:hAnsi="Verdana"/>
                <w:sz w:val="18"/>
                <w:szCs w:val="18"/>
              </w:rPr>
              <w:t xml:space="preserve"> ja kaks ülimaldala (2013, 2005)</w:t>
            </w:r>
            <w:r w:rsidRPr="001E3155">
              <w:rPr>
                <w:rFonts w:ascii="Verdana" w:hAnsi="Verdana"/>
                <w:sz w:val="18"/>
                <w:szCs w:val="18"/>
              </w:rPr>
              <w:t xml:space="preserve"> tõendus</w:t>
            </w:r>
            <w:r w:rsidR="001E3155" w:rsidRPr="001E3155">
              <w:rPr>
                <w:rFonts w:ascii="Verdana" w:hAnsi="Verdana"/>
                <w:sz w:val="18"/>
                <w:szCs w:val="18"/>
              </w:rPr>
              <w:t>põhisusega ülevaateartiklit</w:t>
            </w:r>
            <w:r w:rsidRPr="001E3155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14:paraId="5D8D5158" w14:textId="77777777" w:rsidR="00CE4799" w:rsidRPr="00A97024" w:rsidRDefault="00CE4799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7D6E2D" w:rsidRPr="00A97024" w14:paraId="480187FA" w14:textId="77777777" w:rsidTr="00A97024">
        <w:tc>
          <w:tcPr>
            <w:tcW w:w="3468" w:type="dxa"/>
            <w:shd w:val="clear" w:color="auto" w:fill="auto"/>
          </w:tcPr>
          <w:p w14:paraId="117685CC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14:paraId="0AF79B0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14:paraId="5802628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14:paraId="6E8AEE3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62E0D87E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14:paraId="66DE3C01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14:paraId="76B0D13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14:paraId="78574FE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14:paraId="48A0FC7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14:paraId="6301B62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14:paraId="53B598A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14:paraId="78AD6DF8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14:paraId="3060AB3F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79655F3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D6BF863" w14:textId="77777777" w:rsidR="00391DF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2224AEC8" w14:textId="77777777" w:rsidR="00391DF4" w:rsidRDefault="00391DF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451E6B3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050C5C23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110355DC" w14:textId="2892A0B3" w:rsidR="00CF3D38" w:rsidRPr="007C2BDA" w:rsidRDefault="007C2BDA" w:rsidP="00391DF4">
            <w:pPr>
              <w:rPr>
                <w:rFonts w:ascii="Verdana" w:hAnsi="Verdana"/>
                <w:sz w:val="18"/>
                <w:szCs w:val="18"/>
              </w:rPr>
            </w:pPr>
            <w:r w:rsidRPr="007C2BDA">
              <w:rPr>
                <w:rFonts w:ascii="Verdana" w:hAnsi="Verdana"/>
                <w:sz w:val="18"/>
                <w:szCs w:val="18"/>
              </w:rPr>
              <w:t>Olemas</w:t>
            </w:r>
            <w:r>
              <w:rPr>
                <w:rFonts w:ascii="Verdana" w:hAnsi="Verdana"/>
                <w:sz w:val="18"/>
                <w:szCs w:val="18"/>
              </w:rPr>
              <w:t xml:space="preserve">oleva materjali põhjal võib </w:t>
            </w:r>
            <w:r w:rsidRPr="007C2BDA">
              <w:rPr>
                <w:rFonts w:ascii="Verdana" w:hAnsi="Verdana"/>
                <w:sz w:val="18"/>
                <w:szCs w:val="18"/>
              </w:rPr>
              <w:t>väita, et toitumuslikud probleemid ja sellest tulenevad toitainete puudujäägid on väga sagedased</w:t>
            </w:r>
            <w:r w:rsidRPr="007C2BDA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Pr="007C2BDA">
              <w:rPr>
                <w:rFonts w:ascii="Verdana" w:hAnsi="Verdana"/>
                <w:sz w:val="18"/>
                <w:szCs w:val="18"/>
              </w:rPr>
              <w:t>Levinuimad on B</w:t>
            </w:r>
            <w:r w:rsidRPr="007C2BDA">
              <w:rPr>
                <w:rFonts w:ascii="Verdana" w:hAnsi="Verdana"/>
                <w:sz w:val="18"/>
                <w:szCs w:val="18"/>
                <w:vertAlign w:val="subscript"/>
              </w:rPr>
              <w:t>1</w:t>
            </w:r>
            <w:r w:rsidRPr="007C2BDA">
              <w:rPr>
                <w:rFonts w:ascii="Verdana" w:hAnsi="Verdana"/>
                <w:sz w:val="18"/>
                <w:szCs w:val="18"/>
              </w:rPr>
              <w:t>-, B</w:t>
            </w:r>
            <w:r w:rsidRPr="007C2BDA">
              <w:rPr>
                <w:rFonts w:ascii="Verdana" w:hAnsi="Verdana"/>
                <w:sz w:val="18"/>
                <w:szCs w:val="18"/>
                <w:vertAlign w:val="subscript"/>
              </w:rPr>
              <w:t>12</w:t>
            </w:r>
            <w:r w:rsidRPr="007C2BDA">
              <w:rPr>
                <w:rFonts w:ascii="Verdana" w:hAnsi="Verdana"/>
                <w:sz w:val="18"/>
                <w:szCs w:val="18"/>
              </w:rPr>
              <w:t>-, D-vitamiini, folaadi, kaltsiumi, raua ja tsingi defitsiit. Bariaatrilise kirurgia patsiendid vajavad regulaarset toitainete taseme jälgimist, eri</w:t>
            </w:r>
            <w:bookmarkStart w:id="0" w:name="_GoBack"/>
            <w:bookmarkEnd w:id="0"/>
            <w:r w:rsidRPr="007C2BDA">
              <w:rPr>
                <w:rFonts w:ascii="Verdana" w:hAnsi="Verdana"/>
                <w:sz w:val="18"/>
                <w:szCs w:val="18"/>
              </w:rPr>
              <w:t>ti esimesel aastal peale operatsiooni. Jälgimine on vajalik selleks, et veenduda patsiendi toidulisandite tarbimises ja et varakult tuvastada makro- ja mikrotoitainete puudust või liiga.</w:t>
            </w:r>
          </w:p>
        </w:tc>
      </w:tr>
    </w:tbl>
    <w:p w14:paraId="7DCA5E5A" w14:textId="77777777"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7D6E2D" w:rsidRPr="00A97024" w14:paraId="3B4899C8" w14:textId="77777777" w:rsidTr="00A97024">
        <w:tc>
          <w:tcPr>
            <w:tcW w:w="3468" w:type="dxa"/>
            <w:shd w:val="clear" w:color="auto" w:fill="auto"/>
          </w:tcPr>
          <w:p w14:paraId="5792AF69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14:paraId="31602DC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51C914F1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14:paraId="2A353FB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14:paraId="57DAF57F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14:paraId="0609000D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253B05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F9FD2BD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31648928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8EE9DF7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752F1625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2A718EBE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17DC7E4" w14:textId="77777777"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14:paraId="316A70DD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B788B80" w14:textId="77777777"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14:paraId="3A8C96B3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</w:t>
            </w:r>
          </w:p>
          <w:p w14:paraId="3E7E2BC4" w14:textId="77777777"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961D6C6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97911DF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4AF4460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2DEB85E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553CF68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14:paraId="64ECF0AD" w14:textId="77777777" w:rsidTr="00A97024">
        <w:tc>
          <w:tcPr>
            <w:tcW w:w="3468" w:type="dxa"/>
            <w:shd w:val="clear" w:color="auto" w:fill="auto"/>
          </w:tcPr>
          <w:p w14:paraId="6B404EB1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Ressursi tähendus (kas tarbitud ressursid olid väärt </w:t>
            </w:r>
          </w:p>
          <w:p w14:paraId="1D17CF9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14:paraId="3584A8DB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3D4EA5D6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0D3CD923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7262D7BF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54FBB7E4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57CA894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1000843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lastRenderedPageBreak/>
              <w:t>nõrk soovitus.</w:t>
            </w:r>
          </w:p>
          <w:p w14:paraId="7EDDFB23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24F86BE5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9500588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3DF12E57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88B83B7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Jah</w:t>
            </w:r>
          </w:p>
          <w:p w14:paraId="4B48E197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6033D17" w14:textId="77777777"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054B7007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3180" w:type="dxa"/>
            <w:shd w:val="clear" w:color="auto" w:fill="auto"/>
          </w:tcPr>
          <w:p w14:paraId="3A1579C3" w14:textId="77777777" w:rsidR="00432CD4" w:rsidRPr="00F27FBB" w:rsidRDefault="00391DF4" w:rsidP="00CE4799">
            <w:pPr>
              <w:rPr>
                <w:rFonts w:ascii="Verdana" w:hAnsi="Verdana"/>
                <w:sz w:val="18"/>
                <w:szCs w:val="18"/>
              </w:rPr>
            </w:pPr>
            <w:r w:rsidRPr="00F27FBB">
              <w:rPr>
                <w:rFonts w:ascii="Verdana" w:hAnsi="Verdana"/>
                <w:sz w:val="18"/>
                <w:szCs w:val="18"/>
              </w:rPr>
              <w:t>Puuduvad kulutõhususe uuringud</w:t>
            </w:r>
          </w:p>
        </w:tc>
      </w:tr>
      <w:tr w:rsidR="00B22EE4" w:rsidRPr="00A97024" w14:paraId="22A9E357" w14:textId="77777777" w:rsidTr="00A97024">
        <w:tc>
          <w:tcPr>
            <w:tcW w:w="3468" w:type="dxa"/>
            <w:shd w:val="clear" w:color="auto" w:fill="auto"/>
          </w:tcPr>
          <w:p w14:paraId="70D9F795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lastRenderedPageBreak/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74FC0E0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04B423E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0DD20F4A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4EA1507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1D98C31E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0882203B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031B321B" w14:textId="77777777"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455DF1E7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015F852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more good than</w:t>
            </w:r>
          </w:p>
          <w:p w14:paraId="25E4449F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harm.</w:t>
            </w:r>
          </w:p>
          <w:p w14:paraId="412951A4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692DDE29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there are important trade-offs between the benefits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and harms.</w:t>
            </w:r>
          </w:p>
          <w:p w14:paraId="1FB0C614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5BABB86B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Uncertain trade-offs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it is not clear whether the intervention</w:t>
            </w:r>
            <w:r w:rsidR="008B2141"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 xml:space="preserve">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does more good than harm.</w:t>
            </w:r>
          </w:p>
          <w:p w14:paraId="65CEC1D4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47EEBD81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BoldA"/>
                <w:b/>
                <w:bCs/>
                <w:color w:val="000080"/>
                <w:sz w:val="18"/>
                <w:szCs w:val="18"/>
              </w:rPr>
              <w:t xml:space="preserve">No net benefits </w:t>
            </w: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= the intervention clearly does not do more</w:t>
            </w:r>
          </w:p>
          <w:p w14:paraId="2CE8CF63" w14:textId="77777777" w:rsidR="004F6C78" w:rsidRPr="00A97024" w:rsidRDefault="004F6C78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New-Baskerville-RomanA"/>
                <w:color w:val="000080"/>
                <w:sz w:val="18"/>
                <w:szCs w:val="18"/>
              </w:rPr>
              <w:t>good than harm.</w:t>
            </w:r>
          </w:p>
          <w:bookmarkEnd w:id="1"/>
          <w:bookmarkEnd w:id="2"/>
          <w:p w14:paraId="7A68D46A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14:paraId="6A834BC2" w14:textId="77777777"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32EE1" w14:textId="77777777" w:rsidR="00FF2307" w:rsidRDefault="00FF2307" w:rsidP="003D7DEF">
      <w:r>
        <w:separator/>
      </w:r>
    </w:p>
  </w:endnote>
  <w:endnote w:type="continuationSeparator" w:id="0">
    <w:p w14:paraId="229F61E8" w14:textId="77777777" w:rsidR="00FF2307" w:rsidRDefault="00FF2307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-Roman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-Italic">
    <w:altName w:val="Time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C7D103" w14:textId="77777777" w:rsidR="00FF2307" w:rsidRPr="0002590A" w:rsidRDefault="00FF2307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7C2BDA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7C2BDA">
      <w:rPr>
        <w:rStyle w:val="PageNumber"/>
        <w:rFonts w:ascii="Verdana" w:hAnsi="Verdana"/>
        <w:i/>
        <w:noProof/>
        <w:color w:val="000080"/>
        <w:sz w:val="18"/>
        <w:szCs w:val="18"/>
      </w:rPr>
      <w:t>3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E326F" w14:textId="77777777" w:rsidR="00FF2307" w:rsidRDefault="00FF2307" w:rsidP="003D7DEF">
      <w:r>
        <w:separator/>
      </w:r>
    </w:p>
  </w:footnote>
  <w:footnote w:type="continuationSeparator" w:id="0">
    <w:p w14:paraId="66EFA815" w14:textId="77777777" w:rsidR="00FF2307" w:rsidRDefault="00FF2307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90B0D" w14:textId="77777777" w:rsidR="00FF2307" w:rsidRPr="0002590A" w:rsidRDefault="00FF2307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0726C" w14:textId="77777777" w:rsidR="00FF2307" w:rsidRDefault="00FF2307">
    <w:pPr>
      <w:pStyle w:val="Header"/>
    </w:pPr>
    <w:r>
      <w:t>Soovituste koostamiseks kokkuvõte – SoKo 11.2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2089F"/>
    <w:multiLevelType w:val="hybridMultilevel"/>
    <w:tmpl w:val="D11A6CF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CB4"/>
    <w:rsid w:val="000B2D59"/>
    <w:rsid w:val="000B3A63"/>
    <w:rsid w:val="000B3F52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6D0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155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EC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6E4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6728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2001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1DF4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588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22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2BDA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0961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BF6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3D38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5A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43B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27FBB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7D8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7AD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307"/>
    <w:rsid w:val="00FF24FD"/>
    <w:rsid w:val="00FF3A48"/>
    <w:rsid w:val="00FF4944"/>
    <w:rsid w:val="00FF5947"/>
    <w:rsid w:val="00FF604A"/>
    <w:rsid w:val="00FF62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8A2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E0961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E0961"/>
    <w:rPr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7E0961"/>
    <w:rPr>
      <w:sz w:val="21"/>
      <w:szCs w:val="21"/>
      <w:lang w:val="en-US" w:eastAsia="en-US"/>
    </w:rPr>
  </w:style>
  <w:style w:type="character" w:customStyle="1" w:styleId="Heading1Char">
    <w:name w:val="Heading 1 Char"/>
    <w:link w:val="Heading1"/>
    <w:uiPriority w:val="9"/>
    <w:rsid w:val="007E0961"/>
    <w:rPr>
      <w:b/>
      <w:bCs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296728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7E0961"/>
    <w:pPr>
      <w:spacing w:before="100" w:beforeAutospacing="1" w:after="100" w:afterAutospacing="1" w:line="264" w:lineRule="atLeast"/>
      <w:outlineLvl w:val="0"/>
    </w:pPr>
    <w:rPr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E0961"/>
    <w:rPr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7E0961"/>
    <w:rPr>
      <w:sz w:val="21"/>
      <w:szCs w:val="21"/>
      <w:lang w:val="en-US" w:eastAsia="en-US"/>
    </w:rPr>
  </w:style>
  <w:style w:type="character" w:customStyle="1" w:styleId="Heading1Char">
    <w:name w:val="Heading 1 Char"/>
    <w:link w:val="Heading1"/>
    <w:uiPriority w:val="9"/>
    <w:rsid w:val="007E0961"/>
    <w:rPr>
      <w:b/>
      <w:bCs/>
      <w:kern w:val="36"/>
      <w:sz w:val="36"/>
      <w:szCs w:val="36"/>
    </w:rPr>
  </w:style>
  <w:style w:type="paragraph" w:styleId="ListParagraph">
    <w:name w:val="List Paragraph"/>
    <w:basedOn w:val="Normal"/>
    <w:uiPriority w:val="34"/>
    <w:qFormat/>
    <w:rsid w:val="00296728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605</Words>
  <Characters>3449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patients with confirmed hypertension should / should not be offered dietary advice concerning salt restriction</vt:lpstr>
    </vt:vector>
  </TitlesOfParts>
  <Company>Ravimiamet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Siret Saarsalu</cp:lastModifiedBy>
  <cp:revision>4</cp:revision>
  <cp:lastPrinted>2011-04-03T11:46:00Z</cp:lastPrinted>
  <dcterms:created xsi:type="dcterms:W3CDTF">2014-12-02T13:13:00Z</dcterms:created>
  <dcterms:modified xsi:type="dcterms:W3CDTF">2014-12-02T13:47:00Z</dcterms:modified>
</cp:coreProperties>
</file>