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BB" w:rsidRDefault="00EA54BB">
      <w:pPr>
        <w:rPr>
          <w:rFonts w:ascii="Verdana" w:hAnsi="Verdana" w:cs="Verdana"/>
          <w:bCs/>
          <w:color w:val="000080"/>
          <w:sz w:val="18"/>
          <w:szCs w:val="18"/>
          <w:lang w:val="en-US"/>
        </w:rPr>
      </w:pPr>
    </w:p>
    <w:p w:rsidR="00EA54BB" w:rsidRDefault="00EA54BB">
      <w:pPr>
        <w:rPr>
          <w:rFonts w:ascii="Verdana" w:hAnsi="Verdana" w:cs="Verdana"/>
          <w:bCs/>
          <w:color w:val="000080"/>
          <w:sz w:val="18"/>
          <w:szCs w:val="18"/>
          <w:lang w:val="en-US"/>
        </w:rPr>
      </w:pPr>
    </w:p>
    <w:p w:rsidR="00EA54BB" w:rsidRDefault="00EA54BB">
      <w:pPr>
        <w:rPr>
          <w:rFonts w:ascii="Verdana" w:hAnsi="Verdana" w:cs="Verdana"/>
          <w:i/>
          <w:color w:val="000080"/>
          <w:sz w:val="18"/>
          <w:szCs w:val="18"/>
        </w:rPr>
      </w:pPr>
      <w:r>
        <w:rPr>
          <w:rFonts w:ascii="Verdana" w:hAnsi="Verdana" w:cs="Verdana"/>
          <w:b/>
          <w:bCs/>
          <w:color w:val="000080"/>
          <w:sz w:val="18"/>
          <w:szCs w:val="18"/>
          <w:lang w:val="fi-FI"/>
        </w:rPr>
        <w:t>Kliinilineküsimusnr</w:t>
      </w:r>
      <w:r w:rsidR="005A08FA">
        <w:t>11.3</w:t>
      </w:r>
      <w:r>
        <w:t xml:space="preserve">. </w:t>
      </w:r>
    </w:p>
    <w:p w:rsidR="00EA54BB" w:rsidRDefault="00EA54BB">
      <w:pPr>
        <w:spacing w:line="276" w:lineRule="auto"/>
      </w:pPr>
      <w:r>
        <w:rPr>
          <w:rFonts w:ascii="Verdana" w:hAnsi="Verdana" w:cs="Verdana"/>
          <w:i/>
          <w:color w:val="000080"/>
          <w:sz w:val="18"/>
          <w:szCs w:val="18"/>
        </w:rPr>
        <w:t>Kliiniline küsimus tekst</w:t>
      </w:r>
    </w:p>
    <w:p w:rsidR="005A08FA" w:rsidRPr="005A08FA" w:rsidRDefault="005A08FA" w:rsidP="005A08FA">
      <w:pPr>
        <w:autoSpaceDE w:val="0"/>
        <w:autoSpaceDN w:val="0"/>
        <w:adjustRightInd w:val="0"/>
      </w:pPr>
      <w:r w:rsidRPr="00961023">
        <w:rPr>
          <w:rFonts w:ascii="Times-Roman" w:hAnsi="Times-Roman" w:cs="Times-Roman"/>
        </w:rPr>
        <w:t>Kas bariaatrilise operatsiooni järgselt tuleks patsiendil teostada järgmised uuringud/analüüsid (võrreldes uuringute/analüüsid</w:t>
      </w:r>
      <w:r>
        <w:t>e</w:t>
      </w:r>
      <w:r w:rsidRPr="00961023">
        <w:rPr>
          <w:rFonts w:ascii="Times-Roman" w:hAnsi="Times-Roman" w:cs="Times-Roman"/>
        </w:rPr>
        <w:t xml:space="preserve"> mitte tegemisega)</w:t>
      </w:r>
      <w:r>
        <w:t>:</w:t>
      </w:r>
    </w:p>
    <w:p w:rsidR="005A08FA" w:rsidRPr="008377C5" w:rsidRDefault="005A08FA" w:rsidP="008377C5">
      <w:pPr>
        <w:autoSpaceDE w:val="0"/>
        <w:autoSpaceDN w:val="0"/>
        <w:adjustRightInd w:val="0"/>
      </w:pPr>
      <w:r w:rsidRPr="00961023">
        <w:rPr>
          <w:rFonts w:ascii="Courier" w:hAnsi="Courier" w:cs="Courier"/>
        </w:rPr>
        <w:t xml:space="preserve">- </w:t>
      </w:r>
      <w:r w:rsidR="008377C5">
        <w:t>Albumiin</w:t>
      </w:r>
    </w:p>
    <w:p w:rsidR="00EA54BB" w:rsidRDefault="00EA54BB">
      <w:pPr>
        <w:jc w:val="both"/>
        <w:rPr>
          <w:rFonts w:ascii="Verdana" w:hAnsi="Verdana" w:cs="Verdana"/>
          <w:color w:val="000080"/>
          <w:sz w:val="18"/>
          <w:szCs w:val="18"/>
          <w:u w:val="single"/>
        </w:rPr>
      </w:pPr>
    </w:p>
    <w:p w:rsidR="005A08FA" w:rsidRPr="00961023" w:rsidRDefault="00EA54BB" w:rsidP="005A08FA">
      <w:pPr>
        <w:autoSpaceDE w:val="0"/>
        <w:autoSpaceDN w:val="0"/>
        <w:adjustRightInd w:val="0"/>
        <w:rPr>
          <w:i/>
          <w:iCs/>
        </w:rPr>
      </w:pPr>
      <w:r>
        <w:rPr>
          <w:rFonts w:ascii="Verdana" w:hAnsi="Verdana" w:cs="Verdana"/>
          <w:color w:val="000080"/>
          <w:sz w:val="18"/>
          <w:szCs w:val="18"/>
          <w:u w:val="single"/>
        </w:rPr>
        <w:t>Kriitilised tulemusnäitajad:</w:t>
      </w:r>
      <w:r w:rsidR="005A08FA" w:rsidRPr="005A08FA">
        <w:rPr>
          <w:rFonts w:ascii="Times-Italic" w:hAnsi="Times-Italic" w:cs="Times-Italic"/>
          <w:iCs/>
        </w:rPr>
        <w:t>Uuringumeetodi tundlikkus ja spetsiifilisus, positiivne ja negatiivne ennustatav väärtus, kulutõhusus</w:t>
      </w:r>
    </w:p>
    <w:p w:rsidR="00EA54BB" w:rsidRDefault="00EA54BB" w:rsidP="005A08FA">
      <w:pPr>
        <w:rPr>
          <w:rFonts w:ascii="Verdana" w:hAnsi="Verdana" w:cs="Verdana"/>
          <w:color w:val="000080"/>
          <w:sz w:val="18"/>
          <w:szCs w:val="18"/>
          <w:u w:val="single"/>
        </w:rPr>
      </w:pPr>
    </w:p>
    <w:p w:rsidR="00EA54BB" w:rsidRDefault="00EA54BB">
      <w:pPr>
        <w:jc w:val="both"/>
        <w:rPr>
          <w:b/>
          <w:color w:val="000080"/>
          <w:sz w:val="18"/>
          <w:szCs w:val="18"/>
          <w:lang w:val="fi-FI"/>
        </w:rPr>
      </w:pPr>
      <w:r>
        <w:rPr>
          <w:rFonts w:ascii="Verdana" w:hAnsi="Verdana" w:cs="Verdana"/>
          <w:color w:val="000080"/>
          <w:sz w:val="18"/>
          <w:szCs w:val="18"/>
          <w:u w:val="single"/>
        </w:rPr>
        <w:br/>
      </w:r>
      <w:r>
        <w:rPr>
          <w:rFonts w:ascii="Verdana" w:hAnsi="Verdana" w:cs="Arial"/>
          <w:b/>
          <w:color w:val="000080"/>
          <w:sz w:val="18"/>
          <w:szCs w:val="18"/>
          <w:lang w:val="fi-FI"/>
        </w:rPr>
        <w:t>Süstemaatilisedülevaated</w:t>
      </w:r>
    </w:p>
    <w:p w:rsidR="00F1449F" w:rsidRDefault="00F1449F">
      <w:pPr>
        <w:jc w:val="both"/>
        <w:rPr>
          <w:b/>
          <w:color w:val="000080"/>
          <w:sz w:val="18"/>
          <w:szCs w:val="18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F1449F" w:rsidRPr="00F1449F" w:rsidTr="00F1449F">
        <w:tc>
          <w:tcPr>
            <w:tcW w:w="9288" w:type="dxa"/>
            <w:shd w:val="clear" w:color="auto" w:fill="auto"/>
          </w:tcPr>
          <w:p w:rsidR="00F1449F" w:rsidRPr="00F1449F" w:rsidRDefault="00F1449F" w:rsidP="00F1449F">
            <w:pPr>
              <w:jc w:val="both"/>
              <w:rPr>
                <w:rFonts w:ascii="Verdana" w:hAnsi="Verdana"/>
                <w:i/>
                <w:color w:val="000080"/>
                <w:sz w:val="18"/>
                <w:szCs w:val="18"/>
                <w:lang w:eastAsia="en-US"/>
              </w:rPr>
            </w:pPr>
            <w:r w:rsidRPr="00F1449F">
              <w:rPr>
                <w:rFonts w:ascii="Verdana" w:hAnsi="Verdana"/>
                <w:i/>
                <w:color w:val="000080"/>
                <w:sz w:val="18"/>
                <w:szCs w:val="18"/>
                <w:lang w:eastAsia="en-US"/>
              </w:rPr>
              <w:t>Kokkuvõte süstemaatilistest ülevaadetest</w:t>
            </w:r>
          </w:p>
        </w:tc>
      </w:tr>
      <w:tr w:rsidR="00F1449F" w:rsidRPr="00F1449F" w:rsidTr="00F1449F">
        <w:tc>
          <w:tcPr>
            <w:tcW w:w="9288" w:type="dxa"/>
            <w:shd w:val="clear" w:color="auto" w:fill="auto"/>
          </w:tcPr>
          <w:p w:rsidR="00F1449F" w:rsidRPr="00F1449F" w:rsidRDefault="00EE1047" w:rsidP="00EE1047">
            <w:pPr>
              <w:rPr>
                <w:i/>
                <w:color w:val="000080"/>
                <w:sz w:val="18"/>
                <w:szCs w:val="18"/>
                <w:lang w:val="fi-FI" w:eastAsia="en-US"/>
              </w:rPr>
            </w:pPr>
            <w:r>
              <w:t>Puudub</w:t>
            </w:r>
          </w:p>
        </w:tc>
      </w:tr>
    </w:tbl>
    <w:p w:rsidR="00F1449F" w:rsidRDefault="00F1449F">
      <w:pPr>
        <w:jc w:val="both"/>
        <w:rPr>
          <w:b/>
          <w:color w:val="000080"/>
          <w:sz w:val="18"/>
          <w:szCs w:val="18"/>
          <w:lang w:val="fi-FI"/>
        </w:rPr>
      </w:pPr>
    </w:p>
    <w:p w:rsidR="00EA54BB" w:rsidRDefault="00EA54BB">
      <w:pPr>
        <w:autoSpaceDE w:val="0"/>
        <w:jc w:val="both"/>
        <w:rPr>
          <w:rFonts w:ascii="Verdana" w:hAnsi="Verdana" w:cs="ArialMT"/>
          <w:b/>
          <w:color w:val="000080"/>
          <w:sz w:val="18"/>
          <w:szCs w:val="18"/>
          <w:lang w:val="fi-FI" w:eastAsia="en-US"/>
        </w:rPr>
      </w:pPr>
    </w:p>
    <w:p w:rsidR="00EA54BB" w:rsidRDefault="00EA54BB">
      <w:pPr>
        <w:autoSpaceDE w:val="0"/>
        <w:jc w:val="both"/>
        <w:rPr>
          <w:rFonts w:ascii="Verdana" w:hAnsi="Verdana" w:cs="ArialMT"/>
          <w:color w:val="000080"/>
          <w:sz w:val="18"/>
          <w:szCs w:val="18"/>
          <w:lang w:val="fi-FI" w:eastAsia="en-US"/>
        </w:rPr>
      </w:pPr>
      <w:r>
        <w:rPr>
          <w:rFonts w:ascii="Verdana" w:hAnsi="Verdana" w:cs="ArialMT"/>
          <w:b/>
          <w:color w:val="000080"/>
          <w:sz w:val="18"/>
          <w:szCs w:val="18"/>
          <w:lang w:val="fi-FI" w:eastAsia="en-US"/>
        </w:rPr>
        <w:t>Viited</w:t>
      </w:r>
    </w:p>
    <w:p w:rsidR="00EA54BB" w:rsidRDefault="00EA54BB">
      <w:pPr>
        <w:autoSpaceDE w:val="0"/>
        <w:jc w:val="both"/>
        <w:rPr>
          <w:rFonts w:ascii="Verdana" w:hAnsi="Verdana" w:cs="ArialMT"/>
          <w:color w:val="000080"/>
          <w:sz w:val="18"/>
          <w:szCs w:val="18"/>
          <w:lang w:val="fi-FI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306474" w:rsidRPr="00306474" w:rsidTr="00306474">
        <w:tc>
          <w:tcPr>
            <w:tcW w:w="9288" w:type="dxa"/>
            <w:shd w:val="clear" w:color="auto" w:fill="auto"/>
          </w:tcPr>
          <w:p w:rsidR="00306474" w:rsidRPr="00306474" w:rsidRDefault="00306474" w:rsidP="00306474">
            <w:pPr>
              <w:pStyle w:val="NormalWeb"/>
              <w:shd w:val="clear" w:color="auto" w:fill="FFFFFF"/>
              <w:spacing w:before="0" w:after="0"/>
              <w:rPr>
                <w:i/>
                <w:color w:val="00008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06474" w:rsidRPr="00306474" w:rsidTr="00306474">
        <w:tc>
          <w:tcPr>
            <w:tcW w:w="9288" w:type="dxa"/>
            <w:shd w:val="clear" w:color="auto" w:fill="auto"/>
          </w:tcPr>
          <w:p w:rsidR="00306474" w:rsidRPr="00651C92" w:rsidRDefault="00306474" w:rsidP="00306474">
            <w:pPr>
              <w:jc w:val="both"/>
              <w:rPr>
                <w:i/>
                <w:color w:val="000080"/>
                <w:sz w:val="18"/>
                <w:szCs w:val="18"/>
                <w:lang w:eastAsia="en-US"/>
              </w:rPr>
            </w:pPr>
          </w:p>
          <w:p w:rsidR="00306474" w:rsidRDefault="003C625C" w:rsidP="00306474">
            <w:pPr>
              <w:jc w:val="both"/>
            </w:pPr>
            <w:r>
              <w:t xml:space="preserve">Ühes ülevaateartiklis on välja toodud, et </w:t>
            </w:r>
            <w:r w:rsidR="005822A0">
              <w:t xml:space="preserve">vajadusel </w:t>
            </w:r>
            <w:r>
              <w:t>tuleks valgupuuduse</w:t>
            </w:r>
            <w:r w:rsidR="00301056">
              <w:t xml:space="preserve"> monitoorimiseks</w:t>
            </w:r>
            <w:r w:rsidR="007D0660">
              <w:t xml:space="preserve"> teha koguvalgu, albumiini ja prealbumiini analüüsid ning jälgida patsiendi kliinilist seisundit (haavade paranemine, ödeem jne)</w:t>
            </w:r>
            <w:r w:rsidR="00831FE1">
              <w:t>.</w:t>
            </w:r>
            <w:r>
              <w:t xml:space="preserve"> (1)</w:t>
            </w:r>
          </w:p>
          <w:p w:rsidR="00342ABC" w:rsidRDefault="00342ABC" w:rsidP="00306474">
            <w:pPr>
              <w:jc w:val="both"/>
            </w:pPr>
          </w:p>
          <w:p w:rsidR="00342ABC" w:rsidRDefault="005822A0" w:rsidP="00306474">
            <w:pPr>
              <w:jc w:val="both"/>
            </w:pPr>
            <w:r>
              <w:t xml:space="preserve">Ühes retrospektiivses uuringus </w:t>
            </w:r>
            <w:r w:rsidR="00D03EBC">
              <w:t>diagnoositi 68-kuulise perioodi jooksul</w:t>
            </w:r>
            <w:r>
              <w:t xml:space="preserve"> 236 maovähenduse</w:t>
            </w:r>
            <w:r w:rsidR="002D6144">
              <w:t xml:space="preserve"> operatsiooni läbinud patsiendi hulgas ü</w:t>
            </w:r>
            <w:r>
              <w:t xml:space="preserve">heteistkümnel alatoitumine. Nendest üheksaloli </w:t>
            </w:r>
            <w:r w:rsidR="00342ABC">
              <w:t>albumiini tase liiga madal</w:t>
            </w:r>
            <w:r w:rsidR="00831FE1">
              <w:t>. (2)</w:t>
            </w:r>
          </w:p>
          <w:p w:rsidR="002D6144" w:rsidRDefault="002D6144" w:rsidP="00306474">
            <w:pPr>
              <w:jc w:val="both"/>
            </w:pPr>
          </w:p>
          <w:p w:rsidR="007D0660" w:rsidRDefault="00831FE1" w:rsidP="00306474">
            <w:pPr>
              <w:jc w:val="both"/>
            </w:pPr>
            <w:r>
              <w:t xml:space="preserve">Ühe haigla </w:t>
            </w:r>
            <w:r w:rsidR="00DA4F7D">
              <w:t xml:space="preserve">mittesekkuvas </w:t>
            </w:r>
            <w:r>
              <w:t xml:space="preserve">uuringus osales 102 patsienti, kellest 52 oli mehed ja 40 naised. Nendest 29 patsienti olid alatoitunud. </w:t>
            </w:r>
            <w:r w:rsidR="002D6144">
              <w:t>76% alatoitunud patsientide puhul leiti hüpoalbumineemiat, hea toitumusega patsientide hulgas leiti hüpoalbumineemiat 74.5% patsientidel. Seerumi albumiini konsentratsioon ei võimaldanud eristada alatoitunud ja hea toitumusega patsiente.</w:t>
            </w:r>
            <w:r>
              <w:t xml:space="preserve"> Hüpoalbumineemiat soovitati võtta kui haiguse mitte kui alatoitumuse markerit. (3)</w:t>
            </w:r>
          </w:p>
          <w:p w:rsidR="001C1329" w:rsidRDefault="001C1329" w:rsidP="00306474">
            <w:pPr>
              <w:jc w:val="both"/>
            </w:pPr>
          </w:p>
          <w:p w:rsidR="001C1329" w:rsidRDefault="001C1329" w:rsidP="00306474">
            <w:pPr>
              <w:jc w:val="both"/>
            </w:pPr>
            <w:r>
              <w:t>Ühe lühiülevaate põhjal tuleks albumiini määrata 6 kuud peale operatsiooni ja seejärel iga aasta</w:t>
            </w:r>
            <w:r w:rsidR="00E80F9E">
              <w:t xml:space="preserve"> (Grade C)</w:t>
            </w:r>
            <w:r>
              <w:t>. (4)</w:t>
            </w:r>
          </w:p>
          <w:p w:rsidR="00D95518" w:rsidRDefault="00D95518" w:rsidP="00306474">
            <w:pPr>
              <w:jc w:val="both"/>
            </w:pPr>
          </w:p>
          <w:p w:rsidR="00D95518" w:rsidRPr="001E1718" w:rsidRDefault="00D95518" w:rsidP="00D95518">
            <w:pPr>
              <w:tabs>
                <w:tab w:val="left" w:pos="0"/>
              </w:tabs>
              <w:rPr>
                <w:rFonts w:eastAsia="MS Mincho"/>
                <w:color w:val="1A1718"/>
                <w:szCs w:val="15"/>
                <w:lang w:eastAsia="ja-JP"/>
              </w:rPr>
            </w:pPr>
            <w:r w:rsidRPr="00306474">
              <w:rPr>
                <w:rFonts w:eastAsia="MS Mincho"/>
                <w:color w:val="1A1718"/>
                <w:szCs w:val="15"/>
                <w:lang w:eastAsia="ja-JP"/>
              </w:rPr>
              <w:t xml:space="preserve">Ameerika Endokrinoloogia Selts </w:t>
            </w:r>
            <w:r>
              <w:rPr>
                <w:rFonts w:eastAsia="MS Mincho"/>
                <w:color w:val="1A1718"/>
                <w:szCs w:val="15"/>
                <w:lang w:eastAsia="ja-JP"/>
              </w:rPr>
              <w:t xml:space="preserve">soovitab </w:t>
            </w:r>
            <w:r w:rsidRPr="002A5664">
              <w:rPr>
                <w:rFonts w:eastAsia="MS Mincho"/>
                <w:color w:val="1A1718"/>
                <w:szCs w:val="15"/>
                <w:lang w:eastAsia="ja-JP"/>
              </w:rPr>
              <w:t>perioodiliselt läbi viia kliinilised ja biokeemilised analüüsid, et tuvastada mikro- ja makrotoitainete puudujäägid (tugev soovitus, tõendusmaterjal keskmise kvaliteediga). Soovitatakse ka sellisel juhul, kui patsient talub oma dieeti hästi ning oksendamist ja kõhulahtisust ei esine. Võimaldab tuvastada subkliinilisi puudujääke.Postoperatiivselt soovitatakse</w:t>
            </w:r>
            <w:r>
              <w:rPr>
                <w:rFonts w:eastAsia="MS Mincho"/>
                <w:color w:val="1A1718"/>
                <w:szCs w:val="15"/>
                <w:lang w:eastAsia="ja-JP"/>
              </w:rPr>
              <w:t xml:space="preserve"> muuhulgas</w:t>
            </w:r>
            <w:r w:rsidR="00401E58">
              <w:rPr>
                <w:rFonts w:eastAsia="MS Mincho"/>
                <w:color w:val="1A1718"/>
                <w:szCs w:val="15"/>
                <w:lang w:eastAsia="ja-JP"/>
              </w:rPr>
              <w:t xml:space="preserve"> </w:t>
            </w:r>
            <w:r>
              <w:rPr>
                <w:rFonts w:eastAsia="MS Mincho"/>
                <w:color w:val="1A1718"/>
                <w:szCs w:val="15"/>
                <w:lang w:eastAsia="ja-JP"/>
              </w:rPr>
              <w:t>määrata ka albumiini ja prealbumiini tase, 6,12, 18 ja 24 kuud peale operatsiooni, seejärel iga aasta. (</w:t>
            </w:r>
            <w:r>
              <w:t>5)</w:t>
            </w:r>
          </w:p>
          <w:p w:rsidR="00D95518" w:rsidRDefault="00D95518" w:rsidP="00306474">
            <w:pPr>
              <w:jc w:val="both"/>
            </w:pPr>
          </w:p>
          <w:p w:rsidR="00831FE1" w:rsidRPr="00831FE1" w:rsidRDefault="00831FE1" w:rsidP="00306474">
            <w:pPr>
              <w:jc w:val="both"/>
            </w:pPr>
          </w:p>
          <w:p w:rsidR="00306474" w:rsidRPr="00306474" w:rsidRDefault="00306474" w:rsidP="00F1449F">
            <w:pPr>
              <w:rPr>
                <w:rFonts w:eastAsia="Verdana"/>
                <w:b/>
                <w:bCs/>
                <w:color w:val="000080"/>
                <w:sz w:val="18"/>
                <w:szCs w:val="18"/>
                <w:lang w:val="en-US"/>
              </w:rPr>
            </w:pPr>
            <w:r w:rsidRPr="00306474">
              <w:rPr>
                <w:b/>
                <w:bCs/>
                <w:color w:val="000080"/>
                <w:sz w:val="18"/>
                <w:szCs w:val="18"/>
                <w:lang w:val="en-US"/>
              </w:rPr>
              <w:t>Viidekirjandusallikatele</w:t>
            </w:r>
          </w:p>
          <w:p w:rsidR="00306474" w:rsidRPr="00306474" w:rsidRDefault="00306474" w:rsidP="00306474">
            <w:pPr>
              <w:jc w:val="both"/>
              <w:rPr>
                <w:i/>
                <w:color w:val="000080"/>
                <w:sz w:val="18"/>
                <w:szCs w:val="18"/>
                <w:lang w:val="fi-FI" w:eastAsia="en-US"/>
              </w:rPr>
            </w:pPr>
          </w:p>
          <w:p w:rsidR="00306474" w:rsidRPr="00342ABC" w:rsidRDefault="007D0660" w:rsidP="00342ABC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before="120" w:after="120"/>
              <w:rPr>
                <w:sz w:val="22"/>
                <w:szCs w:val="22"/>
              </w:rPr>
            </w:pPr>
            <w:r w:rsidRPr="00342ABC">
              <w:rPr>
                <w:b/>
                <w:sz w:val="22"/>
                <w:szCs w:val="22"/>
              </w:rPr>
              <w:t>Sawaya, R</w:t>
            </w:r>
            <w:r w:rsidR="002A5664" w:rsidRPr="00342ABC">
              <w:rPr>
                <w:b/>
                <w:sz w:val="22"/>
                <w:szCs w:val="22"/>
              </w:rPr>
              <w:t>.</w:t>
            </w:r>
            <w:r w:rsidRPr="00342ABC">
              <w:rPr>
                <w:b/>
                <w:sz w:val="22"/>
                <w:szCs w:val="22"/>
              </w:rPr>
              <w:t xml:space="preserve"> A.</w:t>
            </w:r>
            <w:r w:rsidR="002A5664" w:rsidRPr="00342ABC">
              <w:rPr>
                <w:b/>
                <w:sz w:val="22"/>
                <w:szCs w:val="22"/>
              </w:rPr>
              <w:t xml:space="preserve"> et al</w:t>
            </w:r>
            <w:r w:rsidRPr="00342ABC">
              <w:rPr>
                <w:sz w:val="22"/>
                <w:szCs w:val="22"/>
              </w:rPr>
              <w:t xml:space="preserve">Vitamin, Mineral, and Drug Absorption Following Bariatric Surgery. </w:t>
            </w:r>
            <w:r w:rsidRPr="00342ABC">
              <w:rPr>
                <w:i/>
                <w:sz w:val="22"/>
                <w:szCs w:val="22"/>
              </w:rPr>
              <w:t>Curr Drug Metab</w:t>
            </w:r>
            <w:r w:rsidR="002A5664" w:rsidRPr="00342ABC">
              <w:rPr>
                <w:i/>
                <w:sz w:val="22"/>
                <w:szCs w:val="22"/>
              </w:rPr>
              <w:t>.</w:t>
            </w:r>
            <w:r w:rsidR="002A5664" w:rsidRPr="00342ABC">
              <w:rPr>
                <w:b/>
                <w:sz w:val="22"/>
                <w:szCs w:val="22"/>
              </w:rPr>
              <w:t>1</w:t>
            </w:r>
            <w:r w:rsidRPr="00342ABC">
              <w:rPr>
                <w:b/>
                <w:sz w:val="22"/>
                <w:szCs w:val="22"/>
              </w:rPr>
              <w:t>3</w:t>
            </w:r>
            <w:r w:rsidRPr="00342ABC">
              <w:rPr>
                <w:sz w:val="22"/>
                <w:szCs w:val="22"/>
              </w:rPr>
              <w:t>, 1345-1355 (2012</w:t>
            </w:r>
            <w:r w:rsidR="002A5664" w:rsidRPr="00342ABC">
              <w:rPr>
                <w:sz w:val="22"/>
                <w:szCs w:val="22"/>
              </w:rPr>
              <w:t>).</w:t>
            </w:r>
          </w:p>
          <w:p w:rsidR="00342ABC" w:rsidRPr="00831FE1" w:rsidRDefault="00342ABC" w:rsidP="00342ABC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before="120" w:after="120"/>
              <w:rPr>
                <w:rFonts w:eastAsia="MS Mincho"/>
                <w:color w:val="1A1718"/>
                <w:sz w:val="22"/>
                <w:szCs w:val="22"/>
                <w:lang w:eastAsia="ja-JP"/>
              </w:rPr>
            </w:pPr>
            <w:r>
              <w:rPr>
                <w:b/>
                <w:sz w:val="22"/>
                <w:szCs w:val="22"/>
              </w:rPr>
              <w:t xml:space="preserve">Faintuch, J. et al </w:t>
            </w:r>
            <w:r>
              <w:rPr>
                <w:sz w:val="22"/>
                <w:szCs w:val="22"/>
              </w:rPr>
              <w:t xml:space="preserve">Severe Protein-Calorie Malnutrition after Bariatric Procedures. </w:t>
            </w:r>
            <w:r>
              <w:rPr>
                <w:i/>
                <w:sz w:val="22"/>
                <w:szCs w:val="22"/>
              </w:rPr>
              <w:t>Obesity Surgery.</w:t>
            </w:r>
            <w:r>
              <w:rPr>
                <w:b/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, 175-181 (2004).</w:t>
            </w:r>
          </w:p>
          <w:p w:rsidR="00831FE1" w:rsidRPr="001C1329" w:rsidRDefault="00831FE1" w:rsidP="00342ABC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before="120" w:after="120"/>
              <w:rPr>
                <w:rFonts w:eastAsia="MS Mincho"/>
                <w:color w:val="1A1718"/>
                <w:sz w:val="22"/>
                <w:szCs w:val="22"/>
                <w:lang w:eastAsia="ja-JP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Gehring, N. et al </w:t>
            </w:r>
            <w:r>
              <w:rPr>
                <w:sz w:val="22"/>
                <w:szCs w:val="22"/>
              </w:rPr>
              <w:t xml:space="preserve">Serumalbumin- a qualified parameter to determine the nutritional status? </w:t>
            </w:r>
            <w:r>
              <w:rPr>
                <w:i/>
                <w:sz w:val="22"/>
                <w:szCs w:val="22"/>
              </w:rPr>
              <w:t>Swiss Med wkly.</w:t>
            </w:r>
            <w:r>
              <w:rPr>
                <w:sz w:val="22"/>
                <w:szCs w:val="22"/>
              </w:rPr>
              <w:t xml:space="preserve"> 136, 664-669 (2006).</w:t>
            </w:r>
          </w:p>
          <w:p w:rsidR="001C1329" w:rsidRPr="00D95518" w:rsidRDefault="001C1329" w:rsidP="00342ABC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before="120" w:after="120"/>
              <w:rPr>
                <w:rFonts w:eastAsia="MS Mincho"/>
                <w:color w:val="1A1718"/>
                <w:sz w:val="22"/>
                <w:szCs w:val="22"/>
                <w:lang w:eastAsia="ja-JP"/>
              </w:rPr>
            </w:pPr>
            <w:r>
              <w:rPr>
                <w:b/>
                <w:sz w:val="22"/>
                <w:szCs w:val="22"/>
              </w:rPr>
              <w:t xml:space="preserve">Stroh, C. et al </w:t>
            </w:r>
            <w:r>
              <w:rPr>
                <w:sz w:val="22"/>
                <w:szCs w:val="22"/>
              </w:rPr>
              <w:t xml:space="preserve">Nutrient Deficiencies after Bariatric Surgery- Systematic Literature Review and Suggestions for Diagnostics and Treatment. </w:t>
            </w:r>
            <w:r>
              <w:rPr>
                <w:i/>
                <w:sz w:val="22"/>
                <w:szCs w:val="22"/>
              </w:rPr>
              <w:t xml:space="preserve">ZentralblChir. </w:t>
            </w:r>
            <w:r>
              <w:rPr>
                <w:sz w:val="22"/>
                <w:szCs w:val="22"/>
              </w:rPr>
              <w:t>(2013).</w:t>
            </w:r>
          </w:p>
          <w:p w:rsidR="00D95518" w:rsidRPr="00342ABC" w:rsidRDefault="00D95518" w:rsidP="00342ABC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before="120" w:after="120"/>
              <w:rPr>
                <w:rFonts w:eastAsia="MS Mincho"/>
                <w:color w:val="1A1718"/>
                <w:sz w:val="22"/>
                <w:szCs w:val="22"/>
                <w:lang w:eastAsia="ja-JP"/>
              </w:rPr>
            </w:pPr>
            <w:r w:rsidRPr="00306474">
              <w:rPr>
                <w:b/>
                <w:noProof/>
                <w:sz w:val="22"/>
              </w:rPr>
              <w:t>Heber, D.</w:t>
            </w:r>
            <w:r w:rsidRPr="00306474">
              <w:rPr>
                <w:b/>
                <w:i/>
                <w:noProof/>
                <w:sz w:val="22"/>
              </w:rPr>
              <w:t>, et al.</w:t>
            </w:r>
            <w:r w:rsidRPr="00306474">
              <w:rPr>
                <w:noProof/>
                <w:sz w:val="22"/>
              </w:rPr>
              <w:t xml:space="preserve"> Endocrine and nutritional management of the post-bariatric surgery patient: an Endocrine Society Clinical Practice Guideline. </w:t>
            </w:r>
            <w:r w:rsidRPr="00306474">
              <w:rPr>
                <w:i/>
                <w:noProof/>
                <w:sz w:val="22"/>
              </w:rPr>
              <w:t>The Journal of clinical endocrinology and metabolism</w:t>
            </w:r>
            <w:r w:rsidRPr="00306474">
              <w:rPr>
                <w:b/>
                <w:noProof/>
                <w:sz w:val="22"/>
              </w:rPr>
              <w:t>95</w:t>
            </w:r>
            <w:r w:rsidRPr="00306474">
              <w:rPr>
                <w:noProof/>
                <w:sz w:val="22"/>
              </w:rPr>
              <w:t>, 4823-4843 (2010).</w:t>
            </w:r>
          </w:p>
          <w:p w:rsidR="00306474" w:rsidRPr="00306474" w:rsidRDefault="00306474" w:rsidP="00306474">
            <w:pPr>
              <w:tabs>
                <w:tab w:val="left" w:pos="0"/>
              </w:tabs>
              <w:spacing w:before="120" w:after="120"/>
              <w:rPr>
                <w:rFonts w:eastAsia="MS Mincho"/>
                <w:color w:val="1A1718"/>
                <w:szCs w:val="15"/>
                <w:lang w:eastAsia="ja-JP"/>
              </w:rPr>
            </w:pPr>
          </w:p>
        </w:tc>
      </w:tr>
    </w:tbl>
    <w:p w:rsidR="00EA54BB" w:rsidRDefault="00EA54BB">
      <w:pPr>
        <w:rPr>
          <w:lang w:val="en-US"/>
        </w:rPr>
      </w:pPr>
    </w:p>
    <w:p w:rsidR="00EA54BB" w:rsidRDefault="00EA54BB">
      <w:pPr>
        <w:rPr>
          <w:lang w:val="en-US"/>
        </w:rPr>
      </w:pPr>
    </w:p>
    <w:p w:rsidR="00EA54BB" w:rsidRDefault="00EA54BB">
      <w:pPr>
        <w:rPr>
          <w:lang w:val="en-US"/>
        </w:rPr>
      </w:pPr>
      <w:r>
        <w:rPr>
          <w:rFonts w:ascii="Verdana" w:hAnsi="Verdana" w:cs="Verdana"/>
          <w:b/>
          <w:color w:val="000080"/>
          <w:sz w:val="18"/>
          <w:szCs w:val="18"/>
        </w:rPr>
        <w:t>Ravijuhendid</w:t>
      </w:r>
    </w:p>
    <w:tbl>
      <w:tblPr>
        <w:tblW w:w="9576" w:type="dxa"/>
        <w:tblInd w:w="-5" w:type="dxa"/>
        <w:tblLayout w:type="fixed"/>
        <w:tblLook w:val="0000"/>
      </w:tblPr>
      <w:tblGrid>
        <w:gridCol w:w="2062"/>
        <w:gridCol w:w="2871"/>
        <w:gridCol w:w="3150"/>
        <w:gridCol w:w="1493"/>
      </w:tblGrid>
      <w:tr w:rsidR="000F6C65" w:rsidTr="00F1449F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C65" w:rsidRDefault="000F6C65" w:rsidP="00F1449F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Ravijuhend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C65" w:rsidRPr="00651C92" w:rsidRDefault="000F6C65" w:rsidP="00F1449F">
            <w:pPr>
              <w:spacing w:after="200"/>
              <w:rPr>
                <w:sz w:val="20"/>
                <w:szCs w:val="20"/>
                <w:lang w:val="fi-FI"/>
              </w:rPr>
            </w:pPr>
            <w:r w:rsidRPr="00651C92">
              <w:rPr>
                <w:lang w:val="fi-FI"/>
              </w:rPr>
              <w:t>Ravijuhendis sisalduv tekst küsimuse kohta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C65" w:rsidRDefault="000F6C65" w:rsidP="00F1449F">
            <w:pPr>
              <w:spacing w:after="200"/>
              <w:rPr>
                <w:lang w:val="en-US"/>
              </w:rPr>
            </w:pPr>
            <w:r w:rsidRPr="002C1F22">
              <w:rPr>
                <w:szCs w:val="20"/>
                <w:lang w:val="en-US"/>
              </w:rPr>
              <w:t>Viited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65" w:rsidRDefault="000F6C65" w:rsidP="00F1449F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lang w:val="en-US"/>
              </w:rPr>
              <w:t>Ravijuhendishõlmatudkirjanduseotsinguajavhemik</w:t>
            </w:r>
          </w:p>
        </w:tc>
      </w:tr>
      <w:tr w:rsidR="000F6C65" w:rsidTr="00F1449F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C65" w:rsidRDefault="000F6C65" w:rsidP="00F1449F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1. Clinical Practice Guidelines for the Perioperative Nutritional, Metabolic, and Nonsurgical Support of the Bariatric Surgery Patient—2013 Update:Cosponsored by American Association ofClinical Endocrinologists, The Obesity Society, and American Society for Metabolic &amp; Bariatric Surgery 2013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C65" w:rsidRPr="00A143A7" w:rsidRDefault="000F6C65" w:rsidP="00F1449F">
            <w:pPr>
              <w:rPr>
                <w:rFonts w:eastAsia="MS Mincho"/>
                <w:color w:val="1A1818"/>
                <w:sz w:val="22"/>
                <w:szCs w:val="22"/>
                <w:lang w:eastAsia="ja-JP"/>
              </w:rPr>
            </w:pPr>
          </w:p>
          <w:p w:rsidR="000F6C65" w:rsidRPr="00A143A7" w:rsidRDefault="008377C5" w:rsidP="00F1449F">
            <w:pPr>
              <w:rPr>
                <w:rFonts w:eastAsia="MS Mincho"/>
                <w:color w:val="1A1818"/>
                <w:sz w:val="22"/>
                <w:szCs w:val="22"/>
                <w:lang w:eastAsia="ja-JP"/>
              </w:rPr>
            </w:pPr>
            <w:r>
              <w:rPr>
                <w:rFonts w:eastAsia="MS Mincho"/>
                <w:color w:val="1A1818"/>
                <w:sz w:val="22"/>
                <w:szCs w:val="22"/>
                <w:lang w:eastAsia="ja-JP"/>
              </w:rPr>
              <w:t>Puudub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C65" w:rsidRPr="005A08FA" w:rsidRDefault="000F6C65" w:rsidP="00F1449F">
            <w:pPr>
              <w:rPr>
                <w:sz w:val="20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65" w:rsidRDefault="000F6C65" w:rsidP="00F1449F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Kuni 2012</w:t>
            </w:r>
          </w:p>
        </w:tc>
      </w:tr>
      <w:tr w:rsidR="000F6C65" w:rsidTr="00F1449F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C65" w:rsidRDefault="000F6C65" w:rsidP="00F1449F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2. American Association of Clinical Endocrinologists, The Obesity Society, and American Society for Metabolic &amp; Bariatric Surgery Medical Guidelines for Clinical Practice for the Perioperative Nutritional, Metabolic, and Nonsurgical Support of the Bariatric Surgery Patient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2008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C65" w:rsidRPr="008377C5" w:rsidRDefault="008377C5" w:rsidP="00F1449F">
            <w:pPr>
              <w:spacing w:after="200"/>
              <w:rPr>
                <w:rFonts w:eastAsia="MS Mincho"/>
                <w:color w:val="090A0A"/>
                <w:sz w:val="22"/>
                <w:szCs w:val="22"/>
                <w:lang w:eastAsia="ja-JP"/>
              </w:rPr>
            </w:pPr>
            <w:r>
              <w:rPr>
                <w:rFonts w:eastAsia="MS Mincho"/>
                <w:color w:val="090A0A"/>
                <w:sz w:val="22"/>
                <w:szCs w:val="22"/>
                <w:lang w:eastAsia="ja-JP"/>
              </w:rPr>
              <w:lastRenderedPageBreak/>
              <w:t>Malabsorptiivse operatsiooni (biliopancreatic diversion) puhul määrata esimesel aasta iga kolme ja hiljem iga 3-6 kuu tagant albumiin ja prealbumiin. Madal seerumi albumiin aitab ennustada luukadu ja metaboolset luuhaigust. Peale RYGB esineb hüpoalbumineemiat väga harva.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C65" w:rsidRPr="008377C5" w:rsidRDefault="008377C5" w:rsidP="008377C5">
            <w:pPr>
              <w:pStyle w:val="Heading1"/>
              <w:shd w:val="clear" w:color="auto" w:fill="FFFFFF"/>
              <w:tabs>
                <w:tab w:val="clear" w:pos="432"/>
              </w:tabs>
              <w:spacing w:before="90" w:after="90" w:line="270" w:lineRule="atLeast"/>
              <w:ind w:left="0" w:firstLine="0"/>
              <w:rPr>
                <w:b w:val="0"/>
                <w:sz w:val="22"/>
                <w:szCs w:val="22"/>
                <w:lang w:val="en-US" w:eastAsia="en-US"/>
              </w:rPr>
            </w:pPr>
            <w:r w:rsidRPr="008377C5">
              <w:rPr>
                <w:rFonts w:ascii="Times" w:hAnsi="Times" w:cs="Times"/>
                <w:color w:val="1A1718"/>
                <w:sz w:val="22"/>
                <w:szCs w:val="16"/>
                <w:lang w:val="en-US" w:eastAsia="en-US"/>
              </w:rPr>
              <w:t>Marceau P, Biron S, Lebel S, et al.</w:t>
            </w:r>
            <w:r w:rsidRPr="008377C5">
              <w:rPr>
                <w:rFonts w:ascii="Times" w:hAnsi="Times" w:cs="Times"/>
                <w:b w:val="0"/>
                <w:color w:val="1A1718"/>
                <w:sz w:val="22"/>
                <w:szCs w:val="16"/>
                <w:lang w:val="en-US" w:eastAsia="en-US"/>
              </w:rPr>
              <w:t xml:space="preserve"> Does bone change after</w:t>
            </w:r>
            <w:r>
              <w:rPr>
                <w:rFonts w:ascii="Times" w:hAnsi="Times" w:cs="Times"/>
                <w:b w:val="0"/>
                <w:color w:val="1A1718"/>
                <w:sz w:val="22"/>
                <w:szCs w:val="16"/>
                <w:lang w:val="en-US" w:eastAsia="en-US"/>
              </w:rPr>
              <w:t>bilio- pancreatic diversion? J GastrointestSurg</w:t>
            </w:r>
            <w:r w:rsidRPr="008377C5">
              <w:rPr>
                <w:rFonts w:ascii="Times" w:hAnsi="Times" w:cs="Times"/>
                <w:b w:val="0"/>
                <w:color w:val="1A1718"/>
                <w:sz w:val="22"/>
                <w:szCs w:val="16"/>
                <w:lang w:val="en-US" w:eastAsia="en-US"/>
              </w:rPr>
              <w:t>2002;6:690 – 698.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65" w:rsidRDefault="000F6C65" w:rsidP="00F1449F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Kuni 2008</w:t>
            </w:r>
          </w:p>
        </w:tc>
      </w:tr>
      <w:tr w:rsidR="000F6C65" w:rsidTr="00F1449F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C65" w:rsidRDefault="000F6C65" w:rsidP="00F1449F">
            <w:pPr>
              <w:pStyle w:val="Heading1"/>
              <w:shd w:val="clear" w:color="auto" w:fill="FFFFFF"/>
              <w:spacing w:before="90" w:after="90" w:line="270" w:lineRule="atLeast"/>
              <w:rPr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lastRenderedPageBreak/>
              <w:t>3. SIGN 2010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C65" w:rsidRDefault="000F6C65" w:rsidP="00F1449F">
            <w:pPr>
              <w:spacing w:after="200"/>
              <w:rPr>
                <w:sz w:val="22"/>
                <w:szCs w:val="22"/>
                <w:lang w:val="en-US" w:eastAsia="en-US"/>
              </w:rPr>
            </w:pPr>
            <w:r w:rsidRPr="005A08FA">
              <w:rPr>
                <w:rFonts w:eastAsia="MS Mincho"/>
                <w:color w:val="1A1818"/>
                <w:sz w:val="22"/>
                <w:szCs w:val="22"/>
                <w:lang w:eastAsia="ja-JP"/>
              </w:rPr>
              <w:t>Täisvereanalüüs, kaltsium, magnesium, fosfaat, albumiin</w:t>
            </w:r>
            <w:r>
              <w:rPr>
                <w:rFonts w:eastAsia="MS Mincho"/>
                <w:color w:val="1A1818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C65" w:rsidRDefault="000F6C65" w:rsidP="00F1449F">
            <w:pPr>
              <w:snapToGrid w:val="0"/>
              <w:spacing w:after="20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65" w:rsidRDefault="000F6C65" w:rsidP="00F1449F">
            <w:pPr>
              <w:snapToGrid w:val="0"/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Kuni 2010</w:t>
            </w:r>
          </w:p>
        </w:tc>
      </w:tr>
      <w:tr w:rsidR="000F6C65" w:rsidTr="00F1449F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C65" w:rsidRDefault="000F6C65" w:rsidP="00F1449F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4. AUS 2013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C65" w:rsidRDefault="008377C5" w:rsidP="00F1449F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rFonts w:eastAsia="MS Mincho"/>
                <w:color w:val="1A1818"/>
                <w:sz w:val="22"/>
                <w:szCs w:val="22"/>
                <w:lang w:eastAsia="ja-JP"/>
              </w:rPr>
              <w:t>Puudub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C65" w:rsidRDefault="000F6C65" w:rsidP="00F1449F">
            <w:pPr>
              <w:snapToGrid w:val="0"/>
              <w:spacing w:after="20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65" w:rsidRDefault="000F6C65" w:rsidP="00F1449F">
            <w:pPr>
              <w:snapToGrid w:val="0"/>
              <w:spacing w:after="200"/>
              <w:rPr>
                <w:sz w:val="22"/>
                <w:szCs w:val="22"/>
                <w:lang w:val="en-US" w:eastAsia="en-US"/>
              </w:rPr>
            </w:pPr>
          </w:p>
        </w:tc>
      </w:tr>
      <w:tr w:rsidR="000F6C65" w:rsidTr="00F1449F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C65" w:rsidRDefault="000F6C65" w:rsidP="00F1449F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5. NICE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C65" w:rsidRDefault="008377C5" w:rsidP="00F1449F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rFonts w:eastAsia="MS Mincho"/>
                <w:color w:val="1A1818"/>
                <w:sz w:val="22"/>
                <w:szCs w:val="22"/>
                <w:lang w:eastAsia="ja-JP"/>
              </w:rPr>
              <w:t>Puudub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C65" w:rsidRDefault="000F6C65" w:rsidP="00F1449F">
            <w:pPr>
              <w:snapToGrid w:val="0"/>
              <w:spacing w:after="20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65" w:rsidRDefault="000F6C65" w:rsidP="00F1449F">
            <w:pPr>
              <w:snapToGrid w:val="0"/>
              <w:spacing w:after="200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5A08FA" w:rsidRDefault="005A08FA">
      <w:pPr>
        <w:rPr>
          <w:b/>
        </w:rPr>
      </w:pPr>
    </w:p>
    <w:p w:rsidR="00EA54BB" w:rsidRDefault="00EA54BB"/>
    <w:sectPr w:rsidR="00EA54BB" w:rsidSect="000479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AFA" w:rsidRDefault="00F56AFA">
      <w:r>
        <w:separator/>
      </w:r>
    </w:p>
  </w:endnote>
  <w:endnote w:type="continuationSeparator" w:id="1">
    <w:p w:rsidR="00F56AFA" w:rsidRDefault="00F56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FU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GARAD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EBC" w:rsidRDefault="00D03EB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EBC" w:rsidRDefault="00D03EB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EBC" w:rsidRDefault="00D03EB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AFA" w:rsidRDefault="00F56AFA">
      <w:r>
        <w:separator/>
      </w:r>
    </w:p>
  </w:footnote>
  <w:footnote w:type="continuationSeparator" w:id="1">
    <w:p w:rsidR="00F56AFA" w:rsidRDefault="00F56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EBC" w:rsidRDefault="00D03EB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EBC" w:rsidRDefault="00D03EBC">
    <w:pPr>
      <w:pStyle w:val="Header"/>
    </w:pPr>
    <w:r>
      <w:t>[Type text]</w:t>
    </w:r>
  </w:p>
  <w:p w:rsidR="00D03EBC" w:rsidRDefault="00D03EB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EBC" w:rsidRDefault="00D03EB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b/>
      </w:rPr>
    </w:lvl>
  </w:abstractNum>
  <w:abstractNum w:abstractNumId="2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>
    <w:nsid w:val="1FC3362F"/>
    <w:multiLevelType w:val="hybridMultilevel"/>
    <w:tmpl w:val="5F0CBE28"/>
    <w:lvl w:ilvl="0" w:tplc="B426CD9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1A17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2089F"/>
    <w:multiLevelType w:val="hybridMultilevel"/>
    <w:tmpl w:val="D11A6CF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E820E2B"/>
    <w:multiLevelType w:val="hybridMultilevel"/>
    <w:tmpl w:val="02B4F916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8FA"/>
    <w:rsid w:val="0004798C"/>
    <w:rsid w:val="000F6C65"/>
    <w:rsid w:val="001C1329"/>
    <w:rsid w:val="001E1718"/>
    <w:rsid w:val="002A5664"/>
    <w:rsid w:val="002D6144"/>
    <w:rsid w:val="00301056"/>
    <w:rsid w:val="00306474"/>
    <w:rsid w:val="00342ABC"/>
    <w:rsid w:val="00384EBC"/>
    <w:rsid w:val="003C625C"/>
    <w:rsid w:val="00401E58"/>
    <w:rsid w:val="005822A0"/>
    <w:rsid w:val="005A08FA"/>
    <w:rsid w:val="00617DDC"/>
    <w:rsid w:val="00651C92"/>
    <w:rsid w:val="00676C88"/>
    <w:rsid w:val="00755C27"/>
    <w:rsid w:val="007A7D4F"/>
    <w:rsid w:val="007D0660"/>
    <w:rsid w:val="00831FE1"/>
    <w:rsid w:val="008377C5"/>
    <w:rsid w:val="00891454"/>
    <w:rsid w:val="009F63B6"/>
    <w:rsid w:val="00C02881"/>
    <w:rsid w:val="00D03EBC"/>
    <w:rsid w:val="00D95518"/>
    <w:rsid w:val="00DA4F7D"/>
    <w:rsid w:val="00E80F9E"/>
    <w:rsid w:val="00EA54BB"/>
    <w:rsid w:val="00EE1047"/>
    <w:rsid w:val="00EE2526"/>
    <w:rsid w:val="00F1449F"/>
    <w:rsid w:val="00F56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98C"/>
    <w:pPr>
      <w:suppressAutoHyphens/>
    </w:pPr>
    <w:rPr>
      <w:sz w:val="24"/>
      <w:szCs w:val="24"/>
      <w:lang w:val="et-EE" w:eastAsia="zh-CN"/>
    </w:rPr>
  </w:style>
  <w:style w:type="paragraph" w:styleId="Heading1">
    <w:name w:val="heading 1"/>
    <w:basedOn w:val="Normal"/>
    <w:next w:val="BodyText"/>
    <w:qFormat/>
    <w:rsid w:val="0004798C"/>
    <w:pPr>
      <w:numPr>
        <w:numId w:val="1"/>
      </w:numPr>
      <w:spacing w:before="280" w:after="280" w:line="264" w:lineRule="atLeast"/>
      <w:outlineLvl w:val="0"/>
    </w:pPr>
    <w:rPr>
      <w:b/>
      <w:bCs/>
      <w:kern w:val="1"/>
      <w:sz w:val="36"/>
      <w:szCs w:val="36"/>
    </w:rPr>
  </w:style>
  <w:style w:type="paragraph" w:styleId="Heading3">
    <w:name w:val="heading 3"/>
    <w:basedOn w:val="Normal"/>
    <w:next w:val="BodyText"/>
    <w:qFormat/>
    <w:rsid w:val="0004798C"/>
    <w:pPr>
      <w:numPr>
        <w:ilvl w:val="2"/>
        <w:numId w:val="1"/>
      </w:numPr>
      <w:spacing w:before="280" w:after="280"/>
      <w:outlineLvl w:val="2"/>
    </w:pPr>
    <w:rPr>
      <w:b/>
      <w:bCs/>
      <w:sz w:val="34"/>
      <w:szCs w:val="34"/>
    </w:rPr>
  </w:style>
  <w:style w:type="paragraph" w:styleId="Heading4">
    <w:name w:val="heading 4"/>
    <w:basedOn w:val="Normal"/>
    <w:next w:val="BodyText"/>
    <w:qFormat/>
    <w:rsid w:val="0004798C"/>
    <w:pPr>
      <w:numPr>
        <w:ilvl w:val="3"/>
        <w:numId w:val="1"/>
      </w:numPr>
      <w:spacing w:before="280" w:after="280"/>
      <w:outlineLvl w:val="3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4798C"/>
    <w:rPr>
      <w:rFonts w:ascii="Verdana" w:eastAsia="Times New Roman" w:hAnsi="Verdana" w:cs="AdvPSSAB-R"/>
    </w:rPr>
  </w:style>
  <w:style w:type="character" w:customStyle="1" w:styleId="WW8Num1z1">
    <w:name w:val="WW8Num1z1"/>
    <w:rsid w:val="0004798C"/>
    <w:rPr>
      <w:rFonts w:ascii="Courier New" w:hAnsi="Courier New" w:cs="Courier New"/>
    </w:rPr>
  </w:style>
  <w:style w:type="character" w:customStyle="1" w:styleId="WW8Num1z2">
    <w:name w:val="WW8Num1z2"/>
    <w:rsid w:val="0004798C"/>
    <w:rPr>
      <w:rFonts w:ascii="Wingdings" w:hAnsi="Wingdings" w:cs="Wingdings"/>
    </w:rPr>
  </w:style>
  <w:style w:type="character" w:customStyle="1" w:styleId="WW8Num1z3">
    <w:name w:val="WW8Num1z3"/>
    <w:rsid w:val="0004798C"/>
    <w:rPr>
      <w:rFonts w:ascii="Symbol" w:hAnsi="Symbol" w:cs="Symbol"/>
    </w:rPr>
  </w:style>
  <w:style w:type="character" w:customStyle="1" w:styleId="WW8Num2z0">
    <w:name w:val="WW8Num2z0"/>
    <w:rsid w:val="0004798C"/>
    <w:rPr>
      <w:rFonts w:ascii="Symbol" w:hAnsi="Symbol" w:cs="Symbol"/>
    </w:rPr>
  </w:style>
  <w:style w:type="character" w:customStyle="1" w:styleId="WW8Num2z1">
    <w:name w:val="WW8Num2z1"/>
    <w:rsid w:val="0004798C"/>
    <w:rPr>
      <w:rFonts w:ascii="Courier New" w:hAnsi="Courier New" w:cs="Courier New"/>
    </w:rPr>
  </w:style>
  <w:style w:type="character" w:customStyle="1" w:styleId="WW8Num2z2">
    <w:name w:val="WW8Num2z2"/>
    <w:rsid w:val="0004798C"/>
    <w:rPr>
      <w:rFonts w:ascii="Wingdings" w:hAnsi="Wingdings" w:cs="Wingdings"/>
    </w:rPr>
  </w:style>
  <w:style w:type="character" w:customStyle="1" w:styleId="WW8Num3z0">
    <w:name w:val="WW8Num3z0"/>
    <w:rsid w:val="0004798C"/>
    <w:rPr>
      <w:rFonts w:ascii="AdvPSFUW" w:hAnsi="AdvPSFUW" w:cs="AdvPSFUW"/>
      <w:sz w:val="18"/>
    </w:rPr>
  </w:style>
  <w:style w:type="character" w:customStyle="1" w:styleId="WW8Num4z0">
    <w:name w:val="WW8Num4z0"/>
    <w:rsid w:val="0004798C"/>
    <w:rPr>
      <w:b/>
    </w:rPr>
  </w:style>
  <w:style w:type="character" w:customStyle="1" w:styleId="WW8Num7z0">
    <w:name w:val="WW8Num7z0"/>
    <w:rsid w:val="0004798C"/>
    <w:rPr>
      <w:rFonts w:ascii="AdvPSSAB-R" w:eastAsia="Times New Roman" w:hAnsi="AdvPSSAB-R" w:cs="AdvPSSAB-R"/>
    </w:rPr>
  </w:style>
  <w:style w:type="character" w:customStyle="1" w:styleId="WW8Num7z1">
    <w:name w:val="WW8Num7z1"/>
    <w:rsid w:val="0004798C"/>
    <w:rPr>
      <w:rFonts w:ascii="Courier New" w:hAnsi="Courier New" w:cs="Courier New"/>
    </w:rPr>
  </w:style>
  <w:style w:type="character" w:customStyle="1" w:styleId="WW8Num7z2">
    <w:name w:val="WW8Num7z2"/>
    <w:rsid w:val="0004798C"/>
    <w:rPr>
      <w:rFonts w:ascii="Wingdings" w:hAnsi="Wingdings" w:cs="Wingdings"/>
    </w:rPr>
  </w:style>
  <w:style w:type="character" w:customStyle="1" w:styleId="WW8Num7z3">
    <w:name w:val="WW8Num7z3"/>
    <w:rsid w:val="0004798C"/>
    <w:rPr>
      <w:rFonts w:ascii="Symbol" w:hAnsi="Symbol" w:cs="Symbol"/>
    </w:rPr>
  </w:style>
  <w:style w:type="character" w:customStyle="1" w:styleId="WW8Num8z0">
    <w:name w:val="WW8Num8z0"/>
    <w:rsid w:val="0004798C"/>
    <w:rPr>
      <w:b/>
    </w:rPr>
  </w:style>
  <w:style w:type="character" w:customStyle="1" w:styleId="WW8Num9z1">
    <w:name w:val="WW8Num9z1"/>
    <w:rsid w:val="0004798C"/>
    <w:rPr>
      <w:rFonts w:ascii="Symbol" w:hAnsi="Symbol" w:cs="Symbol"/>
    </w:rPr>
  </w:style>
  <w:style w:type="character" w:customStyle="1" w:styleId="WW8Num10z0">
    <w:name w:val="WW8Num10z0"/>
    <w:rsid w:val="0004798C"/>
    <w:rPr>
      <w:rFonts w:ascii="Verdana" w:eastAsia="Times New Roman" w:hAnsi="Verdana" w:cs="ArialMT"/>
    </w:rPr>
  </w:style>
  <w:style w:type="character" w:customStyle="1" w:styleId="WW8Num10z1">
    <w:name w:val="WW8Num10z1"/>
    <w:rsid w:val="0004798C"/>
    <w:rPr>
      <w:rFonts w:ascii="Courier New" w:hAnsi="Courier New" w:cs="Courier New"/>
    </w:rPr>
  </w:style>
  <w:style w:type="character" w:customStyle="1" w:styleId="WW8Num10z2">
    <w:name w:val="WW8Num10z2"/>
    <w:rsid w:val="0004798C"/>
    <w:rPr>
      <w:rFonts w:ascii="Wingdings" w:hAnsi="Wingdings" w:cs="Wingdings"/>
    </w:rPr>
  </w:style>
  <w:style w:type="character" w:customStyle="1" w:styleId="WW8Num10z3">
    <w:name w:val="WW8Num10z3"/>
    <w:rsid w:val="0004798C"/>
    <w:rPr>
      <w:rFonts w:ascii="Symbol" w:hAnsi="Symbol" w:cs="Symbol"/>
    </w:rPr>
  </w:style>
  <w:style w:type="character" w:customStyle="1" w:styleId="WW8Num11z0">
    <w:name w:val="WW8Num11z0"/>
    <w:rsid w:val="0004798C"/>
    <w:rPr>
      <w:rFonts w:ascii="AdvGARAD-R" w:eastAsia="Times New Roman" w:hAnsi="AdvGARAD-R" w:cs="AdvGARAD-R"/>
    </w:rPr>
  </w:style>
  <w:style w:type="character" w:customStyle="1" w:styleId="WW8Num11z1">
    <w:name w:val="WW8Num11z1"/>
    <w:rsid w:val="0004798C"/>
    <w:rPr>
      <w:rFonts w:ascii="Courier New" w:hAnsi="Courier New" w:cs="Courier New"/>
    </w:rPr>
  </w:style>
  <w:style w:type="character" w:customStyle="1" w:styleId="WW8Num11z2">
    <w:name w:val="WW8Num11z2"/>
    <w:rsid w:val="0004798C"/>
    <w:rPr>
      <w:rFonts w:ascii="Wingdings" w:hAnsi="Wingdings" w:cs="Wingdings"/>
    </w:rPr>
  </w:style>
  <w:style w:type="character" w:customStyle="1" w:styleId="WW8Num11z3">
    <w:name w:val="WW8Num11z3"/>
    <w:rsid w:val="0004798C"/>
    <w:rPr>
      <w:rFonts w:ascii="Symbol" w:hAnsi="Symbol" w:cs="Symbol"/>
    </w:rPr>
  </w:style>
  <w:style w:type="character" w:customStyle="1" w:styleId="WW8Num12z0">
    <w:name w:val="WW8Num12z0"/>
    <w:rsid w:val="0004798C"/>
    <w:rPr>
      <w:b/>
    </w:rPr>
  </w:style>
  <w:style w:type="character" w:customStyle="1" w:styleId="WW8Num13z0">
    <w:name w:val="WW8Num13z0"/>
    <w:rsid w:val="0004798C"/>
    <w:rPr>
      <w:rFonts w:ascii="Verdana" w:hAnsi="Verdana" w:cs="Arial"/>
      <w:b/>
      <w:sz w:val="18"/>
    </w:rPr>
  </w:style>
  <w:style w:type="character" w:customStyle="1" w:styleId="WW8Num14z0">
    <w:name w:val="WW8Num14z0"/>
    <w:rsid w:val="0004798C"/>
    <w:rPr>
      <w:rFonts w:ascii="Verdana" w:eastAsia="Times New Roman" w:hAnsi="Verdana" w:cs="AdvPSSAB-R"/>
    </w:rPr>
  </w:style>
  <w:style w:type="character" w:customStyle="1" w:styleId="WW8Num14z1">
    <w:name w:val="WW8Num14z1"/>
    <w:rsid w:val="0004798C"/>
    <w:rPr>
      <w:rFonts w:ascii="Courier New" w:hAnsi="Courier New" w:cs="Courier New"/>
    </w:rPr>
  </w:style>
  <w:style w:type="character" w:customStyle="1" w:styleId="WW8Num14z2">
    <w:name w:val="WW8Num14z2"/>
    <w:rsid w:val="0004798C"/>
    <w:rPr>
      <w:rFonts w:ascii="Wingdings" w:hAnsi="Wingdings" w:cs="Wingdings"/>
    </w:rPr>
  </w:style>
  <w:style w:type="character" w:customStyle="1" w:styleId="WW8Num14z3">
    <w:name w:val="WW8Num14z3"/>
    <w:rsid w:val="0004798C"/>
    <w:rPr>
      <w:rFonts w:ascii="Symbol" w:hAnsi="Symbol" w:cs="Symbol"/>
    </w:rPr>
  </w:style>
  <w:style w:type="character" w:customStyle="1" w:styleId="WW8Num15z0">
    <w:name w:val="WW8Num15z0"/>
    <w:rsid w:val="0004798C"/>
    <w:rPr>
      <w:b/>
    </w:rPr>
  </w:style>
  <w:style w:type="character" w:customStyle="1" w:styleId="WW8Num16z0">
    <w:name w:val="WW8Num16z0"/>
    <w:rsid w:val="0004798C"/>
    <w:rPr>
      <w:rFonts w:ascii="AdvGARAD-R" w:eastAsia="Times New Roman" w:hAnsi="AdvGARAD-R" w:cs="AdvGARAD-R"/>
      <w:sz w:val="18"/>
    </w:rPr>
  </w:style>
  <w:style w:type="character" w:customStyle="1" w:styleId="WW8Num16z1">
    <w:name w:val="WW8Num16z1"/>
    <w:rsid w:val="0004798C"/>
    <w:rPr>
      <w:rFonts w:ascii="Courier New" w:hAnsi="Courier New" w:cs="Courier New"/>
    </w:rPr>
  </w:style>
  <w:style w:type="character" w:customStyle="1" w:styleId="WW8Num16z2">
    <w:name w:val="WW8Num16z2"/>
    <w:rsid w:val="0004798C"/>
    <w:rPr>
      <w:rFonts w:ascii="Wingdings" w:hAnsi="Wingdings" w:cs="Wingdings"/>
    </w:rPr>
  </w:style>
  <w:style w:type="character" w:customStyle="1" w:styleId="WW8Num16z3">
    <w:name w:val="WW8Num16z3"/>
    <w:rsid w:val="0004798C"/>
    <w:rPr>
      <w:rFonts w:ascii="Symbol" w:hAnsi="Symbol" w:cs="Symbol"/>
    </w:rPr>
  </w:style>
  <w:style w:type="character" w:customStyle="1" w:styleId="WW8Num17z1">
    <w:name w:val="WW8Num17z1"/>
    <w:rsid w:val="0004798C"/>
    <w:rPr>
      <w:rFonts w:ascii="Courier New" w:hAnsi="Courier New" w:cs="Courier New"/>
      <w:sz w:val="20"/>
    </w:rPr>
  </w:style>
  <w:style w:type="character" w:customStyle="1" w:styleId="WW8Num18z0">
    <w:name w:val="WW8Num18z0"/>
    <w:rsid w:val="0004798C"/>
    <w:rPr>
      <w:rFonts w:ascii="Symbol" w:hAnsi="Symbol" w:cs="Symbol"/>
    </w:rPr>
  </w:style>
  <w:style w:type="character" w:customStyle="1" w:styleId="WW8Num18z1">
    <w:name w:val="WW8Num18z1"/>
    <w:rsid w:val="0004798C"/>
    <w:rPr>
      <w:rFonts w:ascii="Courier New" w:hAnsi="Courier New" w:cs="Courier New"/>
    </w:rPr>
  </w:style>
  <w:style w:type="character" w:customStyle="1" w:styleId="WW8Num18z2">
    <w:name w:val="WW8Num18z2"/>
    <w:rsid w:val="0004798C"/>
    <w:rPr>
      <w:rFonts w:ascii="Wingdings" w:hAnsi="Wingdings" w:cs="Wingdings"/>
    </w:rPr>
  </w:style>
  <w:style w:type="character" w:customStyle="1" w:styleId="WW8Num20z0">
    <w:name w:val="WW8Num20z0"/>
    <w:rsid w:val="0004798C"/>
    <w:rPr>
      <w:rFonts w:ascii="AdvPSSAB-R" w:eastAsia="Times New Roman" w:hAnsi="AdvPSSAB-R" w:cs="AdvPSSAB-R"/>
    </w:rPr>
  </w:style>
  <w:style w:type="character" w:customStyle="1" w:styleId="WW8Num20z1">
    <w:name w:val="WW8Num20z1"/>
    <w:rsid w:val="0004798C"/>
    <w:rPr>
      <w:rFonts w:ascii="Courier New" w:hAnsi="Courier New" w:cs="Courier New"/>
    </w:rPr>
  </w:style>
  <w:style w:type="character" w:customStyle="1" w:styleId="WW8Num20z2">
    <w:name w:val="WW8Num20z2"/>
    <w:rsid w:val="0004798C"/>
    <w:rPr>
      <w:rFonts w:ascii="Wingdings" w:hAnsi="Wingdings" w:cs="Wingdings"/>
    </w:rPr>
  </w:style>
  <w:style w:type="character" w:customStyle="1" w:styleId="WW8Num20z3">
    <w:name w:val="WW8Num20z3"/>
    <w:rsid w:val="0004798C"/>
    <w:rPr>
      <w:rFonts w:ascii="Symbol" w:hAnsi="Symbol" w:cs="Symbol"/>
    </w:rPr>
  </w:style>
  <w:style w:type="character" w:customStyle="1" w:styleId="WW8Num21z0">
    <w:name w:val="WW8Num21z0"/>
    <w:rsid w:val="0004798C"/>
    <w:rPr>
      <w:b/>
    </w:rPr>
  </w:style>
  <w:style w:type="character" w:customStyle="1" w:styleId="WW8Num22z0">
    <w:name w:val="WW8Num22z0"/>
    <w:rsid w:val="0004798C"/>
    <w:rPr>
      <w:rFonts w:ascii="Verdana" w:hAnsi="Verdana" w:cs="Arial"/>
      <w:b/>
      <w:sz w:val="18"/>
    </w:rPr>
  </w:style>
  <w:style w:type="character" w:customStyle="1" w:styleId="subabstractlabel">
    <w:name w:val="sub_abstract_label"/>
    <w:rsid w:val="0004798C"/>
    <w:rPr>
      <w:b/>
      <w:bCs/>
      <w:sz w:val="24"/>
      <w:szCs w:val="24"/>
    </w:rPr>
  </w:style>
  <w:style w:type="character" w:customStyle="1" w:styleId="search-term-highlight1">
    <w:name w:val="search-term-highlight1"/>
    <w:rsid w:val="0004798C"/>
    <w:rPr>
      <w:b/>
      <w:bCs/>
      <w:color w:val="CC0000"/>
    </w:rPr>
  </w:style>
  <w:style w:type="character" w:styleId="HTMLCite">
    <w:name w:val="HTML Cite"/>
    <w:rsid w:val="0004798C"/>
    <w:rPr>
      <w:i/>
      <w:iCs/>
    </w:rPr>
  </w:style>
  <w:style w:type="character" w:customStyle="1" w:styleId="cit-vol1">
    <w:name w:val="cit-vol1"/>
    <w:rsid w:val="0004798C"/>
    <w:rPr>
      <w:b w:val="0"/>
      <w:bCs w:val="0"/>
    </w:rPr>
  </w:style>
  <w:style w:type="character" w:customStyle="1" w:styleId="cit-title1">
    <w:name w:val="cit-title1"/>
    <w:basedOn w:val="DefaultParagraphFont"/>
    <w:rsid w:val="0004798C"/>
  </w:style>
  <w:style w:type="character" w:customStyle="1" w:styleId="cit-authcit-auth-type-author">
    <w:name w:val="cit-auth cit-auth-type-author"/>
    <w:basedOn w:val="DefaultParagraphFont"/>
    <w:rsid w:val="0004798C"/>
  </w:style>
  <w:style w:type="character" w:customStyle="1" w:styleId="cit-sepcit-sep-separator">
    <w:name w:val="cit-sep cit-sep-separator"/>
    <w:basedOn w:val="DefaultParagraphFont"/>
    <w:rsid w:val="0004798C"/>
  </w:style>
  <w:style w:type="character" w:customStyle="1" w:styleId="cit-print-date">
    <w:name w:val="cit-print-date"/>
    <w:basedOn w:val="DefaultParagraphFont"/>
    <w:rsid w:val="0004798C"/>
  </w:style>
  <w:style w:type="character" w:customStyle="1" w:styleId="cit-sepcit-sep-after-article-print-date">
    <w:name w:val="cit-sep cit-sep-after-article-print-date"/>
    <w:basedOn w:val="DefaultParagraphFont"/>
    <w:rsid w:val="0004798C"/>
  </w:style>
  <w:style w:type="character" w:customStyle="1" w:styleId="cit-sepcit-sep-after-article-vol">
    <w:name w:val="cit-sep cit-sep-after-article-vol"/>
    <w:basedOn w:val="DefaultParagraphFont"/>
    <w:rsid w:val="0004798C"/>
  </w:style>
  <w:style w:type="character" w:customStyle="1" w:styleId="cit-first-page">
    <w:name w:val="cit-first-page"/>
    <w:basedOn w:val="DefaultParagraphFont"/>
    <w:rsid w:val="0004798C"/>
  </w:style>
  <w:style w:type="character" w:styleId="Hyperlink">
    <w:name w:val="Hyperlink"/>
    <w:rsid w:val="0004798C"/>
    <w:rPr>
      <w:color w:val="0000FF"/>
      <w:u w:val="single"/>
    </w:rPr>
  </w:style>
  <w:style w:type="character" w:styleId="Emphasis">
    <w:name w:val="Emphasis"/>
    <w:qFormat/>
    <w:rsid w:val="0004798C"/>
    <w:rPr>
      <w:i/>
      <w:iCs/>
    </w:rPr>
  </w:style>
  <w:style w:type="character" w:customStyle="1" w:styleId="Heading1Char">
    <w:name w:val="Heading 1 Char"/>
    <w:rsid w:val="0004798C"/>
    <w:rPr>
      <w:b/>
      <w:bCs/>
      <w:kern w:val="1"/>
      <w:sz w:val="36"/>
      <w:szCs w:val="36"/>
    </w:rPr>
  </w:style>
  <w:style w:type="character" w:customStyle="1" w:styleId="Heading3Char">
    <w:name w:val="Heading 3 Char"/>
    <w:rsid w:val="0004798C"/>
    <w:rPr>
      <w:b/>
      <w:bCs/>
      <w:sz w:val="34"/>
      <w:szCs w:val="34"/>
    </w:rPr>
  </w:style>
  <w:style w:type="character" w:customStyle="1" w:styleId="Heading4Char">
    <w:name w:val="Heading 4 Char"/>
    <w:rsid w:val="0004798C"/>
    <w:rPr>
      <w:b/>
      <w:bCs/>
      <w:sz w:val="29"/>
      <w:szCs w:val="29"/>
    </w:rPr>
  </w:style>
  <w:style w:type="character" w:customStyle="1" w:styleId="HeaderChar">
    <w:name w:val="Header Char"/>
    <w:rsid w:val="0004798C"/>
    <w:rPr>
      <w:sz w:val="24"/>
      <w:szCs w:val="24"/>
    </w:rPr>
  </w:style>
  <w:style w:type="character" w:customStyle="1" w:styleId="FooterChar">
    <w:name w:val="Footer Char"/>
    <w:rsid w:val="0004798C"/>
    <w:rPr>
      <w:sz w:val="24"/>
      <w:szCs w:val="24"/>
    </w:rPr>
  </w:style>
  <w:style w:type="character" w:customStyle="1" w:styleId="BalloonTextChar">
    <w:name w:val="Balloon Text Char"/>
    <w:rsid w:val="000479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4798C"/>
  </w:style>
  <w:style w:type="character" w:customStyle="1" w:styleId="jrnl">
    <w:name w:val="jrnl"/>
    <w:rsid w:val="0004798C"/>
  </w:style>
  <w:style w:type="character" w:customStyle="1" w:styleId="highlight">
    <w:name w:val="highlight"/>
    <w:rsid w:val="0004798C"/>
  </w:style>
  <w:style w:type="paragraph" w:customStyle="1" w:styleId="Heading">
    <w:name w:val="Heading"/>
    <w:basedOn w:val="Normal"/>
    <w:next w:val="BodyText"/>
    <w:rsid w:val="000479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04798C"/>
    <w:pPr>
      <w:spacing w:after="120"/>
    </w:pPr>
  </w:style>
  <w:style w:type="paragraph" w:styleId="List">
    <w:name w:val="List"/>
    <w:basedOn w:val="BodyText"/>
    <w:rsid w:val="0004798C"/>
    <w:rPr>
      <w:rFonts w:cs="Mangal"/>
    </w:rPr>
  </w:style>
  <w:style w:type="paragraph" w:styleId="Caption">
    <w:name w:val="caption"/>
    <w:basedOn w:val="Normal"/>
    <w:qFormat/>
    <w:rsid w:val="0004798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04798C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4798C"/>
    <w:pPr>
      <w:ind w:left="720"/>
      <w:contextualSpacing/>
    </w:pPr>
    <w:rPr>
      <w:lang w:val="en-GB"/>
    </w:rPr>
  </w:style>
  <w:style w:type="paragraph" w:styleId="NormalWeb">
    <w:name w:val="Normal (Web)"/>
    <w:basedOn w:val="Normal"/>
    <w:rsid w:val="0004798C"/>
    <w:pPr>
      <w:spacing w:before="280" w:after="280"/>
    </w:pPr>
  </w:style>
  <w:style w:type="paragraph" w:styleId="Header">
    <w:name w:val="header"/>
    <w:basedOn w:val="Normal"/>
    <w:rsid w:val="0004798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4798C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sid w:val="0004798C"/>
    <w:rPr>
      <w:rFonts w:ascii="Tahoma" w:hAnsi="Tahoma" w:cs="Tahoma"/>
      <w:sz w:val="16"/>
      <w:szCs w:val="16"/>
    </w:rPr>
  </w:style>
  <w:style w:type="paragraph" w:customStyle="1" w:styleId="WW-Default">
    <w:name w:val="WW-Default"/>
    <w:rsid w:val="0004798C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desc">
    <w:name w:val="desc"/>
    <w:basedOn w:val="Normal"/>
    <w:rsid w:val="0004798C"/>
    <w:pPr>
      <w:spacing w:before="280" w:after="280"/>
    </w:pPr>
  </w:style>
  <w:style w:type="paragraph" w:customStyle="1" w:styleId="details">
    <w:name w:val="details"/>
    <w:basedOn w:val="Normal"/>
    <w:rsid w:val="0004798C"/>
    <w:pPr>
      <w:spacing w:before="280" w:after="280"/>
    </w:pPr>
  </w:style>
  <w:style w:type="paragraph" w:customStyle="1" w:styleId="TableContents">
    <w:name w:val="Table Contents"/>
    <w:basedOn w:val="Normal"/>
    <w:rsid w:val="0004798C"/>
    <w:pPr>
      <w:suppressLineNumbers/>
    </w:pPr>
  </w:style>
  <w:style w:type="paragraph" w:customStyle="1" w:styleId="TableHeading">
    <w:name w:val="Table Heading"/>
    <w:basedOn w:val="TableContents"/>
    <w:rsid w:val="0004798C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06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Non-pharmacological treatment</vt:lpstr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Non-pharmacological treatment</dc:title>
  <dc:subject/>
  <dc:creator>Kasutaja</dc:creator>
  <cp:keywords/>
  <dc:description/>
  <cp:lastModifiedBy>Kaur Liivak</cp:lastModifiedBy>
  <cp:revision>4</cp:revision>
  <dcterms:created xsi:type="dcterms:W3CDTF">2015-05-23T07:27:00Z</dcterms:created>
  <dcterms:modified xsi:type="dcterms:W3CDTF">2015-11-25T02:03:00Z</dcterms:modified>
</cp:coreProperties>
</file>