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3B" w:rsidRPr="00B0491B" w:rsidRDefault="00C6403B" w:rsidP="00C6403B">
      <w:pPr>
        <w:spacing w:after="0"/>
        <w:jc w:val="center"/>
        <w:rPr>
          <w:rFonts w:ascii="Times New Roman" w:hAnsi="Times New Roman"/>
          <w:b/>
          <w:lang w:val="fi-FI"/>
        </w:rPr>
      </w:pPr>
      <w:r w:rsidRPr="00B0491B">
        <w:rPr>
          <w:rFonts w:ascii="Times New Roman" w:hAnsi="Times New Roman"/>
          <w:b/>
          <w:lang w:val="fi-FI"/>
        </w:rPr>
        <w:t>”</w:t>
      </w:r>
      <w:r w:rsidR="00801A48" w:rsidRPr="00B0491B">
        <w:rPr>
          <w:rFonts w:ascii="Times New Roman" w:hAnsi="Times New Roman"/>
          <w:color w:val="000000"/>
          <w:lang w:val="fi-FI"/>
        </w:rPr>
        <w:t xml:space="preserve"> </w:t>
      </w:r>
      <w:r w:rsidR="006779FD" w:rsidRPr="00B0491B">
        <w:rPr>
          <w:rFonts w:ascii="Times New Roman" w:hAnsi="Times New Roman"/>
          <w:color w:val="000000"/>
          <w:lang w:val="fi-FI"/>
        </w:rPr>
        <w:t xml:space="preserve">BARIAATRILISE </w:t>
      </w:r>
      <w:r w:rsidR="00F27733" w:rsidRPr="00B0491B">
        <w:rPr>
          <w:rFonts w:ascii="Times New Roman" w:hAnsi="Times New Roman"/>
        </w:rPr>
        <w:t>PATSIEN</w:t>
      </w:r>
      <w:r w:rsidR="006779FD" w:rsidRPr="00B0491B">
        <w:rPr>
          <w:rFonts w:ascii="Times New Roman" w:hAnsi="Times New Roman"/>
        </w:rPr>
        <w:t>DI</w:t>
      </w:r>
      <w:r w:rsidR="00F27733" w:rsidRPr="00B0491B">
        <w:rPr>
          <w:rFonts w:ascii="Times New Roman" w:hAnsi="Times New Roman"/>
        </w:rPr>
        <w:t xml:space="preserve"> </w:t>
      </w:r>
      <w:r w:rsidR="006779FD" w:rsidRPr="00B0491B">
        <w:rPr>
          <w:rFonts w:ascii="Times New Roman" w:hAnsi="Times New Roman"/>
        </w:rPr>
        <w:t>KIRURGILINE</w:t>
      </w:r>
      <w:r w:rsidR="00F27733" w:rsidRPr="00B0491B">
        <w:rPr>
          <w:rFonts w:ascii="Times New Roman" w:hAnsi="Times New Roman"/>
        </w:rPr>
        <w:t xml:space="preserve"> KÄSITLUS</w:t>
      </w:r>
      <w:r w:rsidRPr="00B0491B">
        <w:rPr>
          <w:rFonts w:ascii="Times New Roman" w:hAnsi="Times New Roman"/>
          <w:b/>
          <w:lang w:val="fi-FI"/>
        </w:rPr>
        <w:t xml:space="preserve">”  </w:t>
      </w:r>
    </w:p>
    <w:p w:rsidR="00C6403B" w:rsidRPr="00B0491B" w:rsidRDefault="00801A48" w:rsidP="00C6403B">
      <w:pPr>
        <w:spacing w:after="0"/>
        <w:jc w:val="center"/>
        <w:rPr>
          <w:rFonts w:ascii="Times New Roman" w:hAnsi="Times New Roman"/>
          <w:lang w:val="fi-FI"/>
        </w:rPr>
      </w:pPr>
      <w:r w:rsidRPr="00B0491B">
        <w:rPr>
          <w:rFonts w:ascii="Times New Roman" w:hAnsi="Times New Roman"/>
          <w:lang w:val="fi-FI"/>
        </w:rPr>
        <w:t xml:space="preserve">ravijuhendi töörühma ja sekretariaadi koosoleku  </w:t>
      </w:r>
    </w:p>
    <w:p w:rsidR="00C6403B" w:rsidRPr="00B0491B" w:rsidRDefault="00C6403B" w:rsidP="00C6403B">
      <w:pPr>
        <w:spacing w:after="0"/>
        <w:jc w:val="center"/>
        <w:rPr>
          <w:rFonts w:ascii="Times New Roman" w:hAnsi="Times New Roman"/>
          <w:b/>
          <w:lang w:val="fi-FI"/>
        </w:rPr>
      </w:pPr>
      <w:r w:rsidRPr="00B0491B">
        <w:rPr>
          <w:rFonts w:ascii="Times New Roman" w:hAnsi="Times New Roman"/>
          <w:b/>
          <w:lang w:val="fi-FI"/>
        </w:rPr>
        <w:t>PROTOKOLL nr.</w:t>
      </w:r>
      <w:r w:rsidR="00E01AAC">
        <w:rPr>
          <w:rFonts w:ascii="Times New Roman" w:hAnsi="Times New Roman"/>
          <w:b/>
          <w:lang w:val="fi-FI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Kuupäev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E01AAC" w:rsidP="003B691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01.oktoober</w:t>
            </w:r>
            <w:r w:rsidR="007B4A18" w:rsidRPr="00B0491B">
              <w:rPr>
                <w:rFonts w:ascii="Times New Roman" w:eastAsia="Times New Roman" w:hAnsi="Times New Roman"/>
                <w:b/>
              </w:rPr>
              <w:t xml:space="preserve"> </w:t>
            </w:r>
            <w:r w:rsidR="00C6403B" w:rsidRPr="00B0491B">
              <w:rPr>
                <w:rFonts w:ascii="Times New Roman" w:eastAsia="Times New Roman" w:hAnsi="Times New Roman"/>
                <w:b/>
              </w:rPr>
              <w:t>201</w:t>
            </w:r>
            <w:r w:rsidR="003B691F" w:rsidRPr="00B0491B"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Koht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4319E6" w:rsidP="003B691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Tallinn, Olümpia konverentsikeskus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Algus</w:t>
            </w:r>
          </w:p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Lõpp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E8" w:rsidRPr="00B0491B" w:rsidRDefault="00C6403B" w:rsidP="00C640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1</w:t>
            </w:r>
            <w:r w:rsidR="00244A7F">
              <w:rPr>
                <w:rFonts w:ascii="Times New Roman" w:eastAsia="Times New Roman" w:hAnsi="Times New Roman"/>
              </w:rPr>
              <w:t>3</w:t>
            </w:r>
            <w:r w:rsidRPr="00B0491B">
              <w:rPr>
                <w:rFonts w:ascii="Times New Roman" w:eastAsia="Times New Roman" w:hAnsi="Times New Roman"/>
              </w:rPr>
              <w:t>.</w:t>
            </w:r>
            <w:r w:rsidR="007B4A18" w:rsidRPr="00B0491B">
              <w:rPr>
                <w:rFonts w:ascii="Times New Roman" w:eastAsia="Times New Roman" w:hAnsi="Times New Roman"/>
              </w:rPr>
              <w:t>0</w:t>
            </w:r>
            <w:r w:rsidRPr="00B0491B">
              <w:rPr>
                <w:rFonts w:ascii="Times New Roman" w:eastAsia="Times New Roman" w:hAnsi="Times New Roman"/>
              </w:rPr>
              <w:t xml:space="preserve">0 </w:t>
            </w:r>
          </w:p>
          <w:p w:rsidR="00C6403B" w:rsidRPr="00B0491B" w:rsidRDefault="005559E8" w:rsidP="007B4A18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1</w:t>
            </w:r>
            <w:r w:rsidR="007B4A18" w:rsidRPr="00B0491B">
              <w:rPr>
                <w:rFonts w:ascii="Times New Roman" w:eastAsia="Times New Roman" w:hAnsi="Times New Roman"/>
              </w:rPr>
              <w:t>6</w:t>
            </w:r>
            <w:r w:rsidR="00244A7F">
              <w:rPr>
                <w:rFonts w:ascii="Times New Roman" w:eastAsia="Times New Roman" w:hAnsi="Times New Roman"/>
              </w:rPr>
              <w:t>.3</w:t>
            </w:r>
            <w:r w:rsidRPr="00B0491B">
              <w:rPr>
                <w:rFonts w:ascii="Times New Roman" w:eastAsia="Times New Roman" w:hAnsi="Times New Roman"/>
              </w:rPr>
              <w:t>0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Osalejad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AC" w:rsidRDefault="006779FD" w:rsidP="006756D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0491B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Ilmar Kaur,</w:t>
            </w:r>
            <w:r w:rsidRPr="00B0491B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 </w:t>
            </w:r>
            <w:r w:rsidR="00E01AAC">
              <w:rPr>
                <w:rFonts w:ascii="Times New Roman" w:eastAsia="Times New Roman" w:hAnsi="Times New Roman"/>
                <w:color w:val="000000"/>
                <w:lang w:eastAsia="et-EE"/>
              </w:rPr>
              <w:t>Toomas Sillakivi,</w:t>
            </w:r>
            <w:r w:rsidR="00E01AAC"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Jane Alop, Andre Trudnikov,</w:t>
            </w:r>
            <w:r w:rsidR="00E01AA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Kaia Kuppart</w:t>
            </w:r>
            <w:r w:rsidR="00670AB0">
              <w:rPr>
                <w:rFonts w:ascii="Times New Roman" w:eastAsia="Times New Roman" w:hAnsi="Times New Roman"/>
                <w:color w:val="000000"/>
                <w:lang w:eastAsia="et-EE"/>
              </w:rPr>
              <w:t>,</w:t>
            </w:r>
            <w:r w:rsidR="00670AB0"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Merit Kudeviita</w:t>
            </w:r>
            <w:r w:rsidR="00EC4FC8">
              <w:rPr>
                <w:rFonts w:ascii="Times New Roman" w:eastAsia="Times New Roman" w:hAnsi="Times New Roman"/>
                <w:color w:val="000000"/>
                <w:lang w:eastAsia="et-EE"/>
              </w:rPr>
              <w:t>,Tatjana Toomsoo</w:t>
            </w:r>
          </w:p>
          <w:p w:rsidR="006756D2" w:rsidRPr="00B0491B" w:rsidRDefault="006756D2" w:rsidP="006756D2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B0491B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Sekr</w:t>
            </w:r>
            <w:r w:rsidR="00E01AAC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etariaadi liikmed: Kaur Liivak</w:t>
            </w:r>
            <w:r w:rsidRPr="00B0491B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, Kirsti Akkermann</w:t>
            </w:r>
            <w:r w:rsidR="00E01AAC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, Sirje Vaask</w:t>
            </w:r>
            <w:r w:rsidR="00F16A14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, Edgar Lipping, Siret Saarsalu (skype)</w:t>
            </w:r>
          </w:p>
          <w:p w:rsidR="005559E8" w:rsidRPr="00B0491B" w:rsidRDefault="005559E8" w:rsidP="006756D2">
            <w:pPr>
              <w:spacing w:after="0"/>
              <w:jc w:val="both"/>
              <w:rPr>
                <w:rFonts w:ascii="Times New Roman" w:hAnsi="Times New Roman"/>
              </w:rPr>
            </w:pPr>
            <w:r w:rsidRPr="00B0491B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Muu: Ulla Raid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Puudujad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3B" w:rsidRPr="00B0491B" w:rsidRDefault="00F16A14" w:rsidP="00E64F11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Jaan Tepp, Kristel Janvest,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Kaja Otteson, Ülli Adamson, </w:t>
            </w:r>
            <w:r w:rsidR="006756D2"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Katrin Nõukas, </w:t>
            </w:r>
            <w:r w:rsidR="007B4A18"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>Peeter Kivik, Külvi Peterson,</w:t>
            </w:r>
            <w:r w:rsidR="008B2C2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Märt Elmet</w:t>
            </w:r>
          </w:p>
          <w:p w:rsidR="006756D2" w:rsidRPr="00B0491B" w:rsidRDefault="006756D2" w:rsidP="00244A7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>Sekretariaadi liikmed: An</w:t>
            </w:r>
            <w:r w:rsidR="00F16A14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astasia Parts, </w:t>
            </w:r>
            <w:r w:rsidRPr="00B0491B">
              <w:rPr>
                <w:rFonts w:ascii="Times New Roman" w:eastAsia="Times New Roman" w:hAnsi="Times New Roman"/>
                <w:color w:val="000000"/>
                <w:lang w:eastAsia="et-EE"/>
              </w:rPr>
              <w:t>Kaire Heilman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Juhatas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6779FD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Ilmar Kaur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Protokollis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E01AAC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Sirje Vaask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B0491B">
              <w:rPr>
                <w:rFonts w:ascii="Times New Roman" w:eastAsia="Times New Roman" w:hAnsi="Times New Roman"/>
              </w:rPr>
              <w:t>Päevakord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pStyle w:val="PlainText"/>
              <w:numPr>
                <w:ilvl w:val="0"/>
                <w:numId w:val="1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 xml:space="preserve">Huvide deklaratsioonide </w:t>
            </w:r>
            <w:r w:rsidR="006779FD" w:rsidRPr="00B0491B">
              <w:rPr>
                <w:sz w:val="22"/>
                <w:szCs w:val="22"/>
                <w:lang w:val="et-EE"/>
              </w:rPr>
              <w:t>esitamine</w:t>
            </w:r>
          </w:p>
          <w:p w:rsidR="00485A6D" w:rsidRPr="00B0491B" w:rsidRDefault="00485A6D" w:rsidP="00485A6D">
            <w:pPr>
              <w:pStyle w:val="PlainText"/>
              <w:numPr>
                <w:ilvl w:val="0"/>
                <w:numId w:val="1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>Kliin</w:t>
            </w:r>
            <w:r w:rsidR="002F281D">
              <w:rPr>
                <w:sz w:val="22"/>
                <w:szCs w:val="22"/>
                <w:lang w:val="et-EE"/>
              </w:rPr>
              <w:t>ilised küsimused 3, 7, 8, 9, 12</w:t>
            </w:r>
          </w:p>
          <w:p w:rsidR="00A3629D" w:rsidRPr="00B0491B" w:rsidRDefault="00A3629D" w:rsidP="00E64F11">
            <w:pPr>
              <w:pStyle w:val="PlainText"/>
              <w:numPr>
                <w:ilvl w:val="0"/>
                <w:numId w:val="1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 xml:space="preserve">Ülevaade RJ soovituste sõnastamise protsessist </w:t>
            </w:r>
          </w:p>
          <w:p w:rsidR="003B691F" w:rsidRPr="00B0491B" w:rsidRDefault="003B691F" w:rsidP="003B691F">
            <w:pPr>
              <w:pStyle w:val="PlainText"/>
              <w:numPr>
                <w:ilvl w:val="0"/>
                <w:numId w:val="1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>Sekretariaadi täpsustavad küsimused</w:t>
            </w:r>
          </w:p>
          <w:p w:rsidR="00C6403B" w:rsidRPr="00B0491B" w:rsidRDefault="00C6403B" w:rsidP="00C6403B">
            <w:pPr>
              <w:pStyle w:val="PlainText"/>
              <w:numPr>
                <w:ilvl w:val="0"/>
                <w:numId w:val="1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>Järgmise koosoleku aeg ja käsitletavad teemad</w:t>
            </w:r>
          </w:p>
        </w:tc>
      </w:tr>
      <w:tr w:rsidR="00C6403B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B" w:rsidRPr="00B0491B" w:rsidRDefault="00C6403B" w:rsidP="00C6403B">
            <w:pPr>
              <w:pStyle w:val="PlainText"/>
              <w:numPr>
                <w:ilvl w:val="0"/>
                <w:numId w:val="2"/>
              </w:numPr>
              <w:rPr>
                <w:b/>
                <w:sz w:val="22"/>
                <w:szCs w:val="22"/>
                <w:lang w:val="et-EE"/>
              </w:rPr>
            </w:pPr>
            <w:r w:rsidRPr="00B0491B">
              <w:rPr>
                <w:b/>
                <w:sz w:val="22"/>
                <w:szCs w:val="22"/>
                <w:lang w:val="et-EE"/>
              </w:rPr>
              <w:t>Huvide deklaratsioonid</w:t>
            </w:r>
          </w:p>
          <w:p w:rsidR="005559E8" w:rsidRPr="00B0491B" w:rsidRDefault="00A3629D" w:rsidP="005559E8">
            <w:pPr>
              <w:pStyle w:val="PlainText"/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>HD vormid täidetud</w:t>
            </w:r>
            <w:r w:rsidR="005559E8" w:rsidRPr="00B0491B">
              <w:rPr>
                <w:sz w:val="22"/>
                <w:szCs w:val="22"/>
                <w:lang w:val="et-EE"/>
              </w:rPr>
              <w:t xml:space="preserve"> ja esitatud</w:t>
            </w:r>
            <w:r w:rsidRPr="00B0491B">
              <w:rPr>
                <w:sz w:val="22"/>
                <w:szCs w:val="22"/>
                <w:lang w:val="et-EE"/>
              </w:rPr>
              <w:t>. Täiendusi ei ole</w:t>
            </w:r>
            <w:r w:rsidR="005559E8" w:rsidRPr="00B0491B">
              <w:rPr>
                <w:sz w:val="22"/>
                <w:szCs w:val="22"/>
                <w:lang w:val="et-EE"/>
              </w:rPr>
              <w:t>.</w:t>
            </w:r>
            <w:r w:rsidR="00244A7F">
              <w:rPr>
                <w:sz w:val="22"/>
                <w:szCs w:val="22"/>
                <w:lang w:val="et-EE"/>
              </w:rPr>
              <w:t xml:space="preserve"> </w:t>
            </w:r>
            <w:r w:rsidR="00670AB0">
              <w:rPr>
                <w:sz w:val="22"/>
                <w:szCs w:val="22"/>
                <w:lang w:val="et-EE"/>
              </w:rPr>
              <w:t>Täiendavalt</w:t>
            </w:r>
            <w:r w:rsidR="00D32485">
              <w:rPr>
                <w:sz w:val="22"/>
                <w:szCs w:val="22"/>
                <w:lang w:val="et-EE"/>
              </w:rPr>
              <w:t xml:space="preserve"> on esitanud huvide deklaratsiooni</w:t>
            </w:r>
            <w:r w:rsidR="00EC4FC8">
              <w:rPr>
                <w:sz w:val="22"/>
                <w:szCs w:val="22"/>
                <w:lang w:val="et-EE"/>
              </w:rPr>
              <w:t xml:space="preserve"> S.Vaask</w:t>
            </w:r>
            <w:r w:rsidR="00244A7F">
              <w:rPr>
                <w:sz w:val="22"/>
                <w:szCs w:val="22"/>
                <w:lang w:val="et-EE"/>
              </w:rPr>
              <w:t xml:space="preserve">, </w:t>
            </w:r>
            <w:r w:rsidR="00D32485">
              <w:rPr>
                <w:sz w:val="22"/>
                <w:szCs w:val="22"/>
                <w:lang w:val="et-EE"/>
              </w:rPr>
              <w:t>see on üle vaadatud.</w:t>
            </w:r>
          </w:p>
          <w:p w:rsidR="00801A48" w:rsidRPr="00B0491B" w:rsidRDefault="00E01AAC" w:rsidP="00D32485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Koosolek ei ole otsusevõimeline</w:t>
            </w:r>
            <w:r w:rsidR="005559E8" w:rsidRPr="00B0491B">
              <w:rPr>
                <w:sz w:val="22"/>
                <w:szCs w:val="22"/>
                <w:lang w:val="et-EE"/>
              </w:rPr>
              <w:t xml:space="preserve">, kohal </w:t>
            </w:r>
            <w:r w:rsidR="00D32485">
              <w:rPr>
                <w:sz w:val="22"/>
                <w:szCs w:val="22"/>
                <w:lang w:val="et-EE"/>
              </w:rPr>
              <w:t xml:space="preserve">on </w:t>
            </w:r>
            <w:r w:rsidR="00EC4FC8">
              <w:rPr>
                <w:sz w:val="22"/>
                <w:szCs w:val="22"/>
                <w:lang w:val="et-EE"/>
              </w:rPr>
              <w:t>7</w:t>
            </w:r>
            <w:r w:rsidR="005559E8" w:rsidRPr="00B0491B">
              <w:rPr>
                <w:sz w:val="22"/>
                <w:szCs w:val="22"/>
                <w:lang w:val="et-EE"/>
              </w:rPr>
              <w:t xml:space="preserve"> liiget.</w:t>
            </w:r>
            <w:r w:rsidR="00801A48" w:rsidRPr="00B0491B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801A48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801A48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A3629D" w:rsidP="005559E8">
            <w:pPr>
              <w:pStyle w:val="PlainText"/>
              <w:numPr>
                <w:ilvl w:val="0"/>
                <w:numId w:val="2"/>
              </w:numPr>
              <w:spacing w:after="240"/>
              <w:rPr>
                <w:b/>
                <w:sz w:val="22"/>
                <w:szCs w:val="22"/>
                <w:lang w:val="et-EE"/>
              </w:rPr>
            </w:pPr>
            <w:r w:rsidRPr="00B0491B">
              <w:rPr>
                <w:b/>
                <w:sz w:val="22"/>
                <w:szCs w:val="22"/>
                <w:lang w:val="et-EE"/>
              </w:rPr>
              <w:t>Ülevaade RJ soovituste sõnastamise protsessist</w:t>
            </w:r>
            <w:r w:rsidR="00801A48" w:rsidRPr="00B0491B">
              <w:rPr>
                <w:b/>
                <w:sz w:val="22"/>
                <w:szCs w:val="22"/>
                <w:lang w:val="et-EE"/>
              </w:rPr>
              <w:t xml:space="preserve"> </w:t>
            </w:r>
          </w:p>
          <w:p w:rsidR="00D32485" w:rsidRDefault="00DD5AE6" w:rsidP="005559E8">
            <w:pPr>
              <w:pStyle w:val="PlainText"/>
              <w:rPr>
                <w:sz w:val="22"/>
                <w:szCs w:val="22"/>
                <w:lang w:val="et-EE"/>
              </w:rPr>
            </w:pPr>
            <w:r w:rsidRPr="00B0491B">
              <w:rPr>
                <w:bCs/>
                <w:sz w:val="22"/>
                <w:szCs w:val="22"/>
                <w:lang w:val="fi-FI"/>
              </w:rPr>
              <w:t>Töörühma koosolek on otsustusvõimeline kui kohal on ¾ liikmetest.</w:t>
            </w:r>
            <w:r w:rsidR="005559E8" w:rsidRPr="00B0491B">
              <w:rPr>
                <w:sz w:val="22"/>
                <w:szCs w:val="22"/>
                <w:lang w:val="fi-FI"/>
              </w:rPr>
              <w:t xml:space="preserve"> </w:t>
            </w:r>
            <w:r w:rsidRPr="00B0491B">
              <w:rPr>
                <w:bCs/>
                <w:sz w:val="22"/>
                <w:szCs w:val="22"/>
                <w:lang w:val="fi-FI"/>
              </w:rPr>
              <w:t>Otsused võetakse vastu konsensuse alusel</w:t>
            </w:r>
            <w:r w:rsidR="00D32485">
              <w:rPr>
                <w:bCs/>
                <w:sz w:val="22"/>
                <w:szCs w:val="22"/>
                <w:lang w:val="fi-FI"/>
              </w:rPr>
              <w:t xml:space="preserve">. </w:t>
            </w:r>
            <w:r w:rsidR="00D32485">
              <w:rPr>
                <w:sz w:val="22"/>
                <w:szCs w:val="22"/>
                <w:lang w:val="et-EE"/>
              </w:rPr>
              <w:t xml:space="preserve"> Otsustati ettevalmistatud teemad arutada ning lõplikud otsused järgneval koosolekul kinnitada. </w:t>
            </w:r>
            <w:r w:rsidR="00D32485" w:rsidRPr="00B0491B">
              <w:rPr>
                <w:sz w:val="22"/>
                <w:szCs w:val="22"/>
                <w:lang w:val="et-EE"/>
              </w:rPr>
              <w:t xml:space="preserve">    </w:t>
            </w:r>
          </w:p>
          <w:p w:rsidR="00D32485" w:rsidRPr="00D32485" w:rsidRDefault="00D32485" w:rsidP="005559E8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D32485" w:rsidRPr="00D32485" w:rsidRDefault="00D32485" w:rsidP="005559E8">
            <w:pPr>
              <w:pStyle w:val="PlainText"/>
              <w:rPr>
                <w:sz w:val="22"/>
                <w:szCs w:val="22"/>
                <w:lang w:val="et-EE"/>
              </w:rPr>
            </w:pPr>
            <w:r w:rsidRPr="00D32485">
              <w:rPr>
                <w:sz w:val="22"/>
                <w:szCs w:val="22"/>
                <w:lang w:val="et-EE"/>
              </w:rPr>
              <w:t xml:space="preserve">Eelneva koosoleku otsuse alusel pidi </w:t>
            </w:r>
            <w:r w:rsidRPr="001A6ECB">
              <w:rPr>
                <w:bCs/>
                <w:sz w:val="22"/>
                <w:szCs w:val="22"/>
                <w:lang w:val="et-EE"/>
              </w:rPr>
              <w:t>iga töörühma liige sõnastama kliinilise küsimuse tõendusmaterjali alusel ise soovituse ja võtma selle koosolekule kaasa või saatma eelnevalt.</w:t>
            </w:r>
          </w:p>
          <w:p w:rsidR="00D32485" w:rsidRDefault="00D32485" w:rsidP="005559E8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D32485" w:rsidRDefault="00D32485" w:rsidP="00D32485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U.Raid täpsustas töökorraldust – soovituse </w:t>
            </w:r>
            <w:r w:rsidR="001A6ECB">
              <w:rPr>
                <w:sz w:val="22"/>
                <w:szCs w:val="22"/>
                <w:lang w:val="et-EE"/>
              </w:rPr>
              <w:t xml:space="preserve">eelnev </w:t>
            </w:r>
            <w:r>
              <w:rPr>
                <w:sz w:val="22"/>
                <w:szCs w:val="22"/>
                <w:lang w:val="et-EE"/>
              </w:rPr>
              <w:t>sõnastamine  on</w:t>
            </w:r>
            <w:r w:rsidR="001A6ECB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vajalik selleks,</w:t>
            </w:r>
            <w:r w:rsidR="001A6ECB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et töörühma liikmel tekiks eelnev seisukoht,  missuguse soovituse saadetud materjali põhjal saab anda või kas selle</w:t>
            </w:r>
            <w:r w:rsidR="001A6ECB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käigus tekkisid lisaküsimused, mis saab kirja panna (uue materjali osas).</w:t>
            </w:r>
          </w:p>
          <w:p w:rsidR="00D32485" w:rsidRDefault="00D32485" w:rsidP="00D32485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Erialaseltsidele avaldatakse juhendi tööversioon avalikuks arvamuse avaldamiseks, arvamused peavad tuginema tõenditel.</w:t>
            </w:r>
          </w:p>
          <w:p w:rsidR="007B4A18" w:rsidRPr="00B0491B" w:rsidRDefault="007B4A18" w:rsidP="007B4A18">
            <w:pPr>
              <w:pStyle w:val="PlainText"/>
              <w:ind w:left="720"/>
              <w:rPr>
                <w:sz w:val="22"/>
                <w:szCs w:val="22"/>
                <w:lang w:val="fi-FI"/>
              </w:rPr>
            </w:pPr>
          </w:p>
          <w:p w:rsidR="00DD5AE6" w:rsidRPr="00D32485" w:rsidRDefault="005559E8" w:rsidP="001C40BA">
            <w:pPr>
              <w:pStyle w:val="PlainText"/>
              <w:rPr>
                <w:b/>
                <w:sz w:val="22"/>
                <w:szCs w:val="22"/>
                <w:lang w:val="fi-FI"/>
              </w:rPr>
            </w:pPr>
            <w:r w:rsidRPr="00D32485">
              <w:rPr>
                <w:b/>
                <w:bCs/>
                <w:sz w:val="22"/>
                <w:szCs w:val="22"/>
                <w:lang w:val="fi-FI"/>
              </w:rPr>
              <w:t xml:space="preserve">Otsus: </w:t>
            </w:r>
            <w:r w:rsidR="00D32485" w:rsidRPr="00D32485">
              <w:rPr>
                <w:b/>
                <w:bCs/>
                <w:sz w:val="22"/>
                <w:szCs w:val="22"/>
                <w:lang w:val="fi-FI"/>
              </w:rPr>
              <w:t xml:space="preserve">Soovituste lõplikud sõnastused kinnitatakse </w:t>
            </w:r>
            <w:r w:rsidR="00D32485">
              <w:rPr>
                <w:b/>
                <w:bCs/>
                <w:sz w:val="22"/>
                <w:szCs w:val="22"/>
                <w:lang w:val="fi-FI"/>
              </w:rPr>
              <w:t xml:space="preserve">töörühma </w:t>
            </w:r>
            <w:r w:rsidR="00D32485" w:rsidRPr="00D32485">
              <w:rPr>
                <w:b/>
                <w:bCs/>
                <w:sz w:val="22"/>
                <w:szCs w:val="22"/>
                <w:lang w:val="fi-FI"/>
              </w:rPr>
              <w:t>koosolekul, kui kohal on ¾ liikmetest.</w:t>
            </w:r>
          </w:p>
          <w:p w:rsidR="005559E8" w:rsidRPr="00B0491B" w:rsidRDefault="005559E8" w:rsidP="005559E8">
            <w:pPr>
              <w:pStyle w:val="PlainText"/>
              <w:rPr>
                <w:sz w:val="22"/>
                <w:szCs w:val="22"/>
                <w:lang w:val="et-EE"/>
              </w:rPr>
            </w:pPr>
          </w:p>
        </w:tc>
      </w:tr>
      <w:tr w:rsidR="00A3629D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9D" w:rsidRPr="00B0491B" w:rsidRDefault="00A3629D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9D" w:rsidRPr="006D3F58" w:rsidRDefault="00A3629D" w:rsidP="00641137">
            <w:pPr>
              <w:pStyle w:val="PlainText"/>
              <w:numPr>
                <w:ilvl w:val="0"/>
                <w:numId w:val="2"/>
              </w:numPr>
              <w:rPr>
                <w:b/>
                <w:sz w:val="22"/>
                <w:szCs w:val="22"/>
                <w:lang w:val="et-EE"/>
              </w:rPr>
            </w:pPr>
            <w:r w:rsidRPr="006D3F58">
              <w:rPr>
                <w:b/>
                <w:sz w:val="22"/>
                <w:szCs w:val="22"/>
                <w:lang w:val="et-EE"/>
              </w:rPr>
              <w:t>Kliiniliste küsimuste arutelu</w:t>
            </w:r>
          </w:p>
          <w:p w:rsidR="00E01AAC" w:rsidRPr="002F281D" w:rsidRDefault="00E01AAC" w:rsidP="00E01AAC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5C2817" w:rsidRPr="002F281D" w:rsidRDefault="005C2817" w:rsidP="005C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t-EE"/>
              </w:rPr>
            </w:pPr>
            <w:r w:rsidRPr="002F281D">
              <w:rPr>
                <w:rFonts w:ascii="Times New Roman" w:hAnsi="Times New Roman"/>
                <w:b/>
              </w:rPr>
              <w:t>Kliin</w:t>
            </w:r>
            <w:r w:rsidR="004859A6">
              <w:rPr>
                <w:rFonts w:ascii="Times New Roman" w:hAnsi="Times New Roman"/>
                <w:b/>
              </w:rPr>
              <w:t>i</w:t>
            </w:r>
            <w:r w:rsidRPr="002F281D">
              <w:rPr>
                <w:rFonts w:ascii="Times New Roman" w:hAnsi="Times New Roman"/>
                <w:b/>
              </w:rPr>
              <w:t xml:space="preserve">line küsimus 2. </w:t>
            </w:r>
            <w:r w:rsidRPr="002F281D">
              <w:rPr>
                <w:rFonts w:ascii="Times New Roman" w:hAnsi="Times New Roman"/>
                <w:lang w:eastAsia="et-EE"/>
              </w:rPr>
              <w:t>Kas patsiendi ravimotivatsiooni hindamine preoperatiivselt vs mitte hindamine mõjutab ravitulemusi?</w:t>
            </w:r>
            <w:r w:rsidRPr="002F281D">
              <w:rPr>
                <w:rFonts w:ascii="Times New Roman" w:hAnsi="Times New Roman"/>
                <w:b/>
              </w:rPr>
              <w:t xml:space="preserve"> </w:t>
            </w:r>
          </w:p>
          <w:p w:rsidR="00485A6D" w:rsidRPr="002F281D" w:rsidRDefault="00485A6D" w:rsidP="005C2817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 w:rsidRPr="002F281D">
              <w:rPr>
                <w:b/>
                <w:sz w:val="22"/>
                <w:szCs w:val="22"/>
                <w:lang w:val="et-EE"/>
              </w:rPr>
              <w:t xml:space="preserve">Praktilise soovituse lisamine </w:t>
            </w:r>
            <w:r w:rsidR="005C2817" w:rsidRPr="002F281D">
              <w:rPr>
                <w:b/>
                <w:sz w:val="22"/>
                <w:szCs w:val="22"/>
                <w:lang w:val="et-EE"/>
              </w:rPr>
              <w:t>kliinilise küsimuse 2 juurde</w:t>
            </w:r>
          </w:p>
          <w:p w:rsidR="00E01AAC" w:rsidRDefault="006D3F58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 w:rsidRPr="002F281D">
              <w:rPr>
                <w:sz w:val="22"/>
                <w:szCs w:val="22"/>
                <w:lang w:val="et-EE"/>
              </w:rPr>
              <w:lastRenderedPageBreak/>
              <w:t>M. Kudeviita -kas</w:t>
            </w:r>
            <w:r w:rsidR="00670AB0" w:rsidRPr="002F281D">
              <w:rPr>
                <w:sz w:val="22"/>
                <w:szCs w:val="22"/>
                <w:lang w:val="et-EE"/>
              </w:rPr>
              <w:t xml:space="preserve"> tuleks hinnata </w:t>
            </w:r>
            <w:r w:rsidRPr="002F281D">
              <w:rPr>
                <w:sz w:val="22"/>
                <w:szCs w:val="22"/>
                <w:lang w:val="et-EE"/>
              </w:rPr>
              <w:t xml:space="preserve">operatsioonieelselt </w:t>
            </w:r>
            <w:r w:rsidR="00670AB0" w:rsidRPr="002F281D">
              <w:rPr>
                <w:sz w:val="22"/>
                <w:szCs w:val="22"/>
                <w:lang w:val="et-EE"/>
              </w:rPr>
              <w:t>sõltuvushäiret</w:t>
            </w:r>
            <w:r w:rsidR="00670AB0">
              <w:rPr>
                <w:sz w:val="22"/>
                <w:szCs w:val="22"/>
                <w:lang w:val="et-EE"/>
              </w:rPr>
              <w:t xml:space="preserve"> – nt alkoholsõltuvust– see võiks olla välistuskriteerium. Sõltuvus-ja </w:t>
            </w:r>
            <w:r>
              <w:rPr>
                <w:sz w:val="22"/>
                <w:szCs w:val="22"/>
                <w:lang w:val="et-EE"/>
              </w:rPr>
              <w:t xml:space="preserve">psühhoosihäire on näiteks Kanadas </w:t>
            </w:r>
            <w:r w:rsidR="00670AB0">
              <w:rPr>
                <w:sz w:val="22"/>
                <w:szCs w:val="22"/>
                <w:lang w:val="et-EE"/>
              </w:rPr>
              <w:t>välistamiskriteeriumiks -peab olema vähemalt aasta remissooniperioodi. See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670AB0">
              <w:rPr>
                <w:sz w:val="22"/>
                <w:szCs w:val="22"/>
                <w:lang w:val="et-EE"/>
              </w:rPr>
              <w:t xml:space="preserve">võib olla </w:t>
            </w:r>
            <w:r>
              <w:rPr>
                <w:sz w:val="22"/>
                <w:szCs w:val="22"/>
                <w:lang w:val="et-EE"/>
              </w:rPr>
              <w:t xml:space="preserve">Eesti jaoks pigem </w:t>
            </w:r>
            <w:r w:rsidR="00670AB0">
              <w:rPr>
                <w:sz w:val="22"/>
                <w:szCs w:val="22"/>
                <w:lang w:val="et-EE"/>
              </w:rPr>
              <w:t>praktiline soovitus.</w:t>
            </w:r>
          </w:p>
          <w:p w:rsidR="00E01AAC" w:rsidRDefault="00670AB0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K. Akkermann- tõendusest ei tulene</w:t>
            </w:r>
            <w:r w:rsidR="006D3F58">
              <w:rPr>
                <w:sz w:val="22"/>
                <w:szCs w:val="22"/>
                <w:lang w:val="et-EE"/>
              </w:rPr>
              <w:t xml:space="preserve">, </w:t>
            </w:r>
            <w:r>
              <w:rPr>
                <w:sz w:val="22"/>
                <w:szCs w:val="22"/>
                <w:lang w:val="et-EE"/>
              </w:rPr>
              <w:t xml:space="preserve"> et </w:t>
            </w:r>
            <w:r w:rsidR="006D3F58">
              <w:rPr>
                <w:sz w:val="22"/>
                <w:szCs w:val="22"/>
                <w:lang w:val="et-EE"/>
              </w:rPr>
              <w:t>sõltuvushäire tuleb välistada ent s</w:t>
            </w:r>
            <w:r>
              <w:rPr>
                <w:sz w:val="22"/>
                <w:szCs w:val="22"/>
                <w:lang w:val="et-EE"/>
              </w:rPr>
              <w:t>õltuvushäire raviga peaks alustama enne operatsiooni.</w:t>
            </w:r>
          </w:p>
          <w:p w:rsidR="00E01AAC" w:rsidRDefault="00670AB0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I.</w:t>
            </w:r>
            <w:r w:rsidR="006D3F58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Kaur – võimalik </w:t>
            </w:r>
            <w:r w:rsidR="006D3F58">
              <w:rPr>
                <w:sz w:val="22"/>
                <w:szCs w:val="22"/>
                <w:lang w:val="et-EE"/>
              </w:rPr>
              <w:t xml:space="preserve">on </w:t>
            </w:r>
            <w:r>
              <w:rPr>
                <w:sz w:val="22"/>
                <w:szCs w:val="22"/>
                <w:lang w:val="et-EE"/>
              </w:rPr>
              <w:t>operatsiooni hilisemaks kavandada kui</w:t>
            </w:r>
            <w:r w:rsidR="006D3F58">
              <w:rPr>
                <w:sz w:val="22"/>
                <w:szCs w:val="22"/>
                <w:lang w:val="et-EE"/>
              </w:rPr>
              <w:t xml:space="preserve"> on vajalik eelnev sõltuvushäire ravi</w:t>
            </w:r>
            <w:r>
              <w:rPr>
                <w:sz w:val="22"/>
                <w:szCs w:val="22"/>
                <w:lang w:val="et-EE"/>
              </w:rPr>
              <w:t>. Võimalik</w:t>
            </w:r>
            <w:r w:rsidR="006D3F58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on </w:t>
            </w:r>
            <w:r w:rsidR="006D3F58">
              <w:rPr>
                <w:sz w:val="22"/>
                <w:szCs w:val="22"/>
                <w:lang w:val="et-EE"/>
              </w:rPr>
              <w:t xml:space="preserve">ka </w:t>
            </w:r>
            <w:r>
              <w:rPr>
                <w:sz w:val="22"/>
                <w:szCs w:val="22"/>
                <w:lang w:val="et-EE"/>
              </w:rPr>
              <w:t>sõltuvsseisundiga haigele operatsiooni mitte pakkuda.</w:t>
            </w:r>
          </w:p>
          <w:p w:rsidR="00670AB0" w:rsidRDefault="006D3F58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T. Sillakivi – </w:t>
            </w:r>
            <w:r w:rsidR="00670AB0">
              <w:rPr>
                <w:sz w:val="22"/>
                <w:szCs w:val="22"/>
                <w:lang w:val="et-EE"/>
              </w:rPr>
              <w:t>oluline</w:t>
            </w:r>
            <w:r>
              <w:rPr>
                <w:sz w:val="22"/>
                <w:szCs w:val="22"/>
                <w:lang w:val="et-EE"/>
              </w:rPr>
              <w:t xml:space="preserve"> on</w:t>
            </w:r>
            <w:r w:rsidR="00670AB0">
              <w:rPr>
                <w:sz w:val="22"/>
                <w:szCs w:val="22"/>
                <w:lang w:val="et-EE"/>
              </w:rPr>
              <w:t xml:space="preserve"> tõenduspõhisus – mittetõestatud </w:t>
            </w:r>
            <w:r>
              <w:rPr>
                <w:sz w:val="22"/>
                <w:szCs w:val="22"/>
                <w:lang w:val="et-EE"/>
              </w:rPr>
              <w:t xml:space="preserve">sarnaseid </w:t>
            </w:r>
            <w:r w:rsidR="00670AB0">
              <w:rPr>
                <w:sz w:val="22"/>
                <w:szCs w:val="22"/>
                <w:lang w:val="et-EE"/>
              </w:rPr>
              <w:t>soovitusi võib olla palju.</w:t>
            </w:r>
          </w:p>
          <w:p w:rsidR="00670AB0" w:rsidRDefault="00670AB0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M.</w:t>
            </w:r>
            <w:r w:rsidR="006D3F58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Ku</w:t>
            </w:r>
            <w:r w:rsidR="006D3F58">
              <w:rPr>
                <w:sz w:val="22"/>
                <w:szCs w:val="22"/>
                <w:lang w:val="et-EE"/>
              </w:rPr>
              <w:t>deviita – eelnev söömishäire üldjuhul ei ole mõjutanud ravitulemust –mõjutab</w:t>
            </w:r>
            <w:r>
              <w:rPr>
                <w:sz w:val="22"/>
                <w:szCs w:val="22"/>
                <w:lang w:val="et-EE"/>
              </w:rPr>
              <w:t xml:space="preserve"> pigem järgnev söömishäire. Alkoholismi ravi peaks olema käsitletud ning võiks olla soovitus sõltuvusega haige suunata psühhiaatrile.</w:t>
            </w:r>
          </w:p>
          <w:p w:rsidR="00670AB0" w:rsidRDefault="00670AB0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K. Akkermann – </w:t>
            </w:r>
            <w:r w:rsidR="006D3F58">
              <w:rPr>
                <w:sz w:val="22"/>
                <w:szCs w:val="22"/>
                <w:lang w:val="et-EE"/>
              </w:rPr>
              <w:t xml:space="preserve">vajalik on kokku leppida, kas operatsiooni </w:t>
            </w:r>
            <w:r>
              <w:rPr>
                <w:sz w:val="22"/>
                <w:szCs w:val="22"/>
                <w:lang w:val="et-EE"/>
              </w:rPr>
              <w:t>järgselt</w:t>
            </w:r>
            <w:r w:rsidR="006D3F58">
              <w:rPr>
                <w:sz w:val="22"/>
                <w:szCs w:val="22"/>
                <w:lang w:val="et-EE"/>
              </w:rPr>
              <w:t xml:space="preserve"> on</w:t>
            </w:r>
            <w:r>
              <w:rPr>
                <w:sz w:val="22"/>
                <w:szCs w:val="22"/>
                <w:lang w:val="et-EE"/>
              </w:rPr>
              <w:t xml:space="preserve"> vaja</w:t>
            </w:r>
            <w:r w:rsidR="006D3F58">
              <w:rPr>
                <w:sz w:val="22"/>
                <w:szCs w:val="22"/>
                <w:lang w:val="et-EE"/>
              </w:rPr>
              <w:t>lik skriinimine – audit jms-</w:t>
            </w:r>
            <w:r>
              <w:rPr>
                <w:sz w:val="22"/>
                <w:szCs w:val="22"/>
                <w:lang w:val="et-EE"/>
              </w:rPr>
              <w:t xml:space="preserve"> aluseks spetisialistile suunamiseks.</w:t>
            </w:r>
            <w:r w:rsidR="00DD151F">
              <w:rPr>
                <w:sz w:val="22"/>
                <w:szCs w:val="22"/>
                <w:lang w:val="et-EE"/>
              </w:rPr>
              <w:t xml:space="preserve"> Mõõdikud ravimotivatsiooni skriinimiseks on võimalik kirja panna.</w:t>
            </w:r>
          </w:p>
          <w:p w:rsidR="005C2817" w:rsidRPr="005C2817" w:rsidRDefault="005C2817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 w:rsidRPr="005C2817">
              <w:rPr>
                <w:b/>
                <w:sz w:val="22"/>
                <w:szCs w:val="22"/>
                <w:lang w:val="et-EE"/>
              </w:rPr>
              <w:t>Kokkuvõte: ravijuhendi o</w:t>
            </w:r>
            <w:r>
              <w:rPr>
                <w:b/>
                <w:sz w:val="22"/>
                <w:szCs w:val="22"/>
                <w:lang w:val="et-EE"/>
              </w:rPr>
              <w:t>s</w:t>
            </w:r>
            <w:r w:rsidRPr="005C2817">
              <w:rPr>
                <w:b/>
                <w:sz w:val="22"/>
                <w:szCs w:val="22"/>
                <w:lang w:val="et-EE"/>
              </w:rPr>
              <w:t xml:space="preserve">ana sõnastada praktiline soovitus kaasneva sõltuvushäire </w:t>
            </w:r>
            <w:r>
              <w:rPr>
                <w:b/>
                <w:sz w:val="22"/>
                <w:szCs w:val="22"/>
                <w:lang w:val="et-EE"/>
              </w:rPr>
              <w:t>hindamiseks.</w:t>
            </w:r>
          </w:p>
          <w:p w:rsidR="00F16A14" w:rsidRDefault="00F16A14" w:rsidP="00E01AAC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E01AAC" w:rsidRPr="002F281D" w:rsidRDefault="00FB3EA7" w:rsidP="002F281D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FB3EA7">
              <w:rPr>
                <w:b/>
                <w:sz w:val="22"/>
                <w:szCs w:val="22"/>
                <w:lang w:val="et-EE"/>
              </w:rPr>
              <w:t>Kliiniline küsimus 8.</w:t>
            </w:r>
            <w:r w:rsidR="002F281D" w:rsidRPr="001A6ECB">
              <w:rPr>
                <w:lang w:val="et-EE"/>
              </w:rPr>
              <w:t xml:space="preserve"> </w:t>
            </w:r>
            <w:r w:rsidR="002F281D" w:rsidRPr="002F281D">
              <w:rPr>
                <w:i/>
                <w:sz w:val="22"/>
                <w:szCs w:val="22"/>
                <w:lang w:val="et-EE"/>
              </w:rPr>
              <w:t>Kas obstruktiivne uneapnoe diagnoosiga bariaatrilise k</w:t>
            </w:r>
            <w:r w:rsidR="002F281D">
              <w:rPr>
                <w:i/>
                <w:sz w:val="22"/>
                <w:szCs w:val="22"/>
                <w:lang w:val="et-EE"/>
              </w:rPr>
              <w:t xml:space="preserve">irurgia patsientidel positiivse </w:t>
            </w:r>
            <w:r w:rsidR="002F281D" w:rsidRPr="002F281D">
              <w:rPr>
                <w:i/>
                <w:sz w:val="22"/>
                <w:szCs w:val="22"/>
                <w:lang w:val="et-EE"/>
              </w:rPr>
              <w:t>rõhuga abistava hingamise kasutamine vs mittekasuta</w:t>
            </w:r>
            <w:r w:rsidR="002F281D">
              <w:rPr>
                <w:i/>
                <w:sz w:val="22"/>
                <w:szCs w:val="22"/>
                <w:lang w:val="et-EE"/>
              </w:rPr>
              <w:t xml:space="preserve">mine operatsiooni eelses ja/või </w:t>
            </w:r>
            <w:r w:rsidR="002F281D" w:rsidRPr="002F281D">
              <w:rPr>
                <w:i/>
                <w:sz w:val="22"/>
                <w:szCs w:val="22"/>
                <w:lang w:val="et-EE"/>
              </w:rPr>
              <w:t>järgses perioodis parandab nende haigete ravitulemust?</w:t>
            </w:r>
          </w:p>
          <w:p w:rsidR="00513705" w:rsidRDefault="00FB3EA7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K.Liivak –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kirjandus ei paku tõendust selliste tulemusnäitajate lõikes, mis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on määratud</w:t>
            </w:r>
            <w:r w:rsidR="002F281D">
              <w:rPr>
                <w:sz w:val="22"/>
                <w:szCs w:val="22"/>
                <w:lang w:val="et-EE"/>
              </w:rPr>
              <w:t xml:space="preserve"> Eesti ravijuhendi käsitlusalas</w:t>
            </w:r>
            <w:r>
              <w:rPr>
                <w:sz w:val="22"/>
                <w:szCs w:val="22"/>
                <w:lang w:val="et-EE"/>
              </w:rPr>
              <w:t>. BMI üle 40 pu</w:t>
            </w:r>
            <w:r w:rsidR="002F281D">
              <w:rPr>
                <w:sz w:val="22"/>
                <w:szCs w:val="22"/>
                <w:lang w:val="et-EE"/>
              </w:rPr>
              <w:t>hul on uneapnoe esinemissagedus</w:t>
            </w:r>
            <w:r>
              <w:rPr>
                <w:sz w:val="22"/>
                <w:szCs w:val="22"/>
                <w:lang w:val="et-EE"/>
              </w:rPr>
              <w:t xml:space="preserve"> 55-100%. </w:t>
            </w:r>
            <w:r w:rsidR="002F281D">
              <w:rPr>
                <w:sz w:val="22"/>
                <w:szCs w:val="22"/>
                <w:lang w:val="et-EE"/>
              </w:rPr>
              <w:t>V</w:t>
            </w:r>
            <w:r>
              <w:rPr>
                <w:sz w:val="22"/>
                <w:szCs w:val="22"/>
                <w:lang w:val="et-EE"/>
              </w:rPr>
              <w:t>aadeldakse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ka uneapnoe raskusastet.</w:t>
            </w:r>
            <w:r w:rsidR="00513705">
              <w:rPr>
                <w:sz w:val="22"/>
                <w:szCs w:val="22"/>
                <w:lang w:val="et-EE"/>
              </w:rPr>
              <w:t xml:space="preserve"> Uuringud on näidanud operatsioonijärgselt uneapnoe vähenemist või raskusastme alanemist. Soovitati nii operatsioonieelselt ku</w:t>
            </w:r>
            <w:r w:rsidR="002F281D">
              <w:rPr>
                <w:sz w:val="22"/>
                <w:szCs w:val="22"/>
                <w:lang w:val="et-EE"/>
              </w:rPr>
              <w:t xml:space="preserve">i järgselt teha polüsomnograafilised </w:t>
            </w:r>
            <w:r w:rsidR="00513705">
              <w:rPr>
                <w:sz w:val="22"/>
                <w:szCs w:val="22"/>
                <w:lang w:val="et-EE"/>
              </w:rPr>
              <w:t xml:space="preserve">uuringud.  CPAP uuringute osas on hinnatud ka kuluefektiivsust – </w:t>
            </w:r>
            <w:r w:rsidR="002F281D">
              <w:rPr>
                <w:sz w:val="22"/>
                <w:szCs w:val="22"/>
                <w:lang w:val="et-EE"/>
              </w:rPr>
              <w:t xml:space="preserve"> bariaatrilist kirurgiat  sisaldavad sekkumised </w:t>
            </w:r>
            <w:r w:rsidR="00513705">
              <w:rPr>
                <w:sz w:val="22"/>
                <w:szCs w:val="22"/>
                <w:lang w:val="et-EE"/>
              </w:rPr>
              <w:t>hinnati kuluefektiivseks</w:t>
            </w:r>
            <w:r w:rsidR="002F281D">
              <w:rPr>
                <w:sz w:val="22"/>
                <w:szCs w:val="22"/>
                <w:lang w:val="et-EE"/>
              </w:rPr>
              <w:t xml:space="preserve"> kui vaid CPAP kasutamisega sekkumine</w:t>
            </w:r>
            <w:r w:rsidR="00513705">
              <w:rPr>
                <w:sz w:val="22"/>
                <w:szCs w:val="22"/>
                <w:lang w:val="et-EE"/>
              </w:rPr>
              <w:t>. QALY paranes bariaatrilise kirurgia järgselt.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</w:p>
          <w:p w:rsidR="00513705" w:rsidRDefault="0051370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I.Kaur – </w:t>
            </w:r>
            <w:r w:rsidR="002F281D">
              <w:rPr>
                <w:sz w:val="22"/>
                <w:szCs w:val="22"/>
                <w:lang w:val="et-EE"/>
              </w:rPr>
              <w:t xml:space="preserve">esialgseks küsimuseks oli, </w:t>
            </w:r>
            <w:r>
              <w:rPr>
                <w:sz w:val="22"/>
                <w:szCs w:val="22"/>
                <w:lang w:val="et-EE"/>
              </w:rPr>
              <w:t xml:space="preserve">kas haigete uurimine ja apnoe ravimine muudab ravitüsistuste esinemissagedust. </w:t>
            </w:r>
            <w:r w:rsidR="002F281D">
              <w:rPr>
                <w:sz w:val="22"/>
                <w:szCs w:val="22"/>
                <w:lang w:val="et-EE"/>
              </w:rPr>
              <w:t xml:space="preserve">Uneapnoe uuringud on vajalikud kõigile rasvunud patsientidele KMI üle 40, see ei ole küsimus vaid bariaatria korral. </w:t>
            </w:r>
            <w:r w:rsidR="00C65595">
              <w:rPr>
                <w:sz w:val="22"/>
                <w:szCs w:val="22"/>
                <w:lang w:val="et-EE"/>
              </w:rPr>
              <w:t>Ei ole tõendust, et u</w:t>
            </w:r>
            <w:r>
              <w:rPr>
                <w:sz w:val="22"/>
                <w:szCs w:val="22"/>
                <w:lang w:val="et-EE"/>
              </w:rPr>
              <w:t xml:space="preserve">neapnoe mitteravimine tõstab operatsioonijärgsete tüsistuste riski. </w:t>
            </w:r>
            <w:r w:rsidR="002F281D">
              <w:rPr>
                <w:sz w:val="22"/>
                <w:szCs w:val="22"/>
                <w:lang w:val="et-EE"/>
              </w:rPr>
              <w:t xml:space="preserve">Kasutatakse hindamise skaalat (STOPBANG). </w:t>
            </w:r>
            <w:r>
              <w:rPr>
                <w:sz w:val="22"/>
                <w:szCs w:val="22"/>
                <w:lang w:val="et-EE"/>
              </w:rPr>
              <w:t xml:space="preserve">Bariaatrilistel patsientidel tavaliselt uneapnoe väheneb, seega </w:t>
            </w:r>
            <w:r w:rsidR="002F281D">
              <w:rPr>
                <w:sz w:val="22"/>
                <w:szCs w:val="22"/>
                <w:lang w:val="et-EE"/>
              </w:rPr>
              <w:t>uneuuringuid on vaja</w:t>
            </w:r>
            <w:r>
              <w:rPr>
                <w:sz w:val="22"/>
                <w:szCs w:val="22"/>
                <w:lang w:val="et-EE"/>
              </w:rPr>
              <w:t xml:space="preserve"> pigem vaja neile, kes ei ole bariaatrilised patsiendid</w:t>
            </w:r>
            <w:r w:rsidR="002F281D">
              <w:rPr>
                <w:sz w:val="22"/>
                <w:szCs w:val="22"/>
                <w:lang w:val="et-EE"/>
              </w:rPr>
              <w:t>- see on ka kuluefektiivsuse küsimus</w:t>
            </w:r>
            <w:r>
              <w:rPr>
                <w:sz w:val="22"/>
                <w:szCs w:val="22"/>
                <w:lang w:val="et-EE"/>
              </w:rPr>
              <w:t>. Obligatoorse uuringuna küsitav.</w:t>
            </w:r>
            <w:r w:rsidR="007F1D4F">
              <w:rPr>
                <w:sz w:val="22"/>
                <w:szCs w:val="22"/>
                <w:lang w:val="et-EE"/>
              </w:rPr>
              <w:t xml:space="preserve"> </w:t>
            </w:r>
          </w:p>
          <w:p w:rsidR="00513705" w:rsidRDefault="0051370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T. S</w:t>
            </w:r>
            <w:r w:rsidR="002F281D">
              <w:rPr>
                <w:sz w:val="22"/>
                <w:szCs w:val="22"/>
                <w:lang w:val="et-EE"/>
              </w:rPr>
              <w:t>illakivi – USA juhendites on</w:t>
            </w:r>
            <w:r>
              <w:rPr>
                <w:sz w:val="22"/>
                <w:szCs w:val="22"/>
                <w:lang w:val="et-EE"/>
              </w:rPr>
              <w:t xml:space="preserve"> obligatoorne uuring. Eestis – kui patsient norskab, siis suunatakse </w:t>
            </w:r>
            <w:r w:rsidR="002F281D">
              <w:rPr>
                <w:sz w:val="22"/>
                <w:szCs w:val="22"/>
                <w:lang w:val="et-EE"/>
              </w:rPr>
              <w:t xml:space="preserve">ta </w:t>
            </w:r>
            <w:r>
              <w:rPr>
                <w:sz w:val="22"/>
                <w:szCs w:val="22"/>
                <w:lang w:val="et-EE"/>
              </w:rPr>
              <w:t>uuringule</w:t>
            </w:r>
            <w:r w:rsidR="007F1D4F">
              <w:rPr>
                <w:sz w:val="22"/>
                <w:szCs w:val="22"/>
                <w:lang w:val="et-EE"/>
              </w:rPr>
              <w:t xml:space="preserve"> või unekabinetti</w:t>
            </w:r>
            <w:r w:rsidR="002F281D">
              <w:rPr>
                <w:sz w:val="22"/>
                <w:szCs w:val="22"/>
                <w:lang w:val="et-EE"/>
              </w:rPr>
              <w:t>,</w:t>
            </w:r>
            <w:r>
              <w:rPr>
                <w:sz w:val="22"/>
                <w:szCs w:val="22"/>
                <w:lang w:val="et-EE"/>
              </w:rPr>
              <w:t xml:space="preserve"> avastatavus ca 75%.</w:t>
            </w:r>
            <w:r w:rsidR="007F1D4F">
              <w:rPr>
                <w:sz w:val="22"/>
                <w:szCs w:val="22"/>
                <w:lang w:val="et-EE"/>
              </w:rPr>
              <w:t xml:space="preserve"> Lõikusjärjekord</w:t>
            </w:r>
            <w:r w:rsidR="00C65595">
              <w:rPr>
                <w:sz w:val="22"/>
                <w:szCs w:val="22"/>
                <w:lang w:val="et-EE"/>
              </w:rPr>
              <w:t xml:space="preserve"> </w:t>
            </w:r>
            <w:r w:rsidR="007F1D4F">
              <w:rPr>
                <w:sz w:val="22"/>
                <w:szCs w:val="22"/>
                <w:lang w:val="et-EE"/>
              </w:rPr>
              <w:t>on pikk</w:t>
            </w:r>
            <w:r w:rsidR="00C65595">
              <w:rPr>
                <w:sz w:val="22"/>
                <w:szCs w:val="22"/>
                <w:lang w:val="et-EE"/>
              </w:rPr>
              <w:t xml:space="preserve"> </w:t>
            </w:r>
            <w:r w:rsidR="007F1D4F">
              <w:rPr>
                <w:sz w:val="22"/>
                <w:szCs w:val="22"/>
                <w:lang w:val="et-EE"/>
              </w:rPr>
              <w:t xml:space="preserve">ja sel perioodil saab </w:t>
            </w:r>
            <w:r w:rsidR="002F281D">
              <w:rPr>
                <w:sz w:val="22"/>
                <w:szCs w:val="22"/>
                <w:lang w:val="et-EE"/>
              </w:rPr>
              <w:t xml:space="preserve">patsienti ka teiste haiguste osas </w:t>
            </w:r>
            <w:r w:rsidR="007F1D4F">
              <w:rPr>
                <w:sz w:val="22"/>
                <w:szCs w:val="22"/>
                <w:lang w:val="et-EE"/>
              </w:rPr>
              <w:t>ravida.</w:t>
            </w:r>
            <w:r w:rsidR="00C65595">
              <w:rPr>
                <w:sz w:val="22"/>
                <w:szCs w:val="22"/>
                <w:lang w:val="et-EE"/>
              </w:rPr>
              <w:t xml:space="preserve"> Patseint tuleb paremas </w:t>
            </w:r>
            <w:r w:rsidR="002F281D">
              <w:rPr>
                <w:sz w:val="22"/>
                <w:szCs w:val="22"/>
                <w:lang w:val="et-EE"/>
              </w:rPr>
              <w:t>üld</w:t>
            </w:r>
            <w:r w:rsidR="00C65595">
              <w:rPr>
                <w:sz w:val="22"/>
                <w:szCs w:val="22"/>
                <w:lang w:val="et-EE"/>
              </w:rPr>
              <w:t>seisus ravile.</w:t>
            </w:r>
          </w:p>
          <w:p w:rsidR="00FB3EA7" w:rsidRDefault="0051370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M.Kudeviita – CPAP raviga kaasnes üldjuhul kehakaalu langus. Kas kõigile</w:t>
            </w:r>
            <w:r w:rsidR="002F281D">
              <w:rPr>
                <w:sz w:val="22"/>
                <w:szCs w:val="22"/>
                <w:lang w:val="et-EE"/>
              </w:rPr>
              <w:t xml:space="preserve"> uneuuringud ja ravi</w:t>
            </w:r>
            <w:r>
              <w:rPr>
                <w:sz w:val="22"/>
                <w:szCs w:val="22"/>
                <w:lang w:val="et-EE"/>
              </w:rPr>
              <w:t xml:space="preserve"> on vajalik on küsitav</w:t>
            </w:r>
            <w:r w:rsidR="002F281D">
              <w:rPr>
                <w:sz w:val="22"/>
                <w:szCs w:val="22"/>
                <w:lang w:val="et-EE"/>
              </w:rPr>
              <w:t xml:space="preserve">. Eesmärgiks on </w:t>
            </w:r>
            <w:r>
              <w:rPr>
                <w:sz w:val="22"/>
                <w:szCs w:val="22"/>
                <w:lang w:val="et-EE"/>
              </w:rPr>
              <w:t xml:space="preserve"> elukvaliteeti parandada ka </w:t>
            </w:r>
            <w:r w:rsidR="002F281D">
              <w:rPr>
                <w:sz w:val="22"/>
                <w:szCs w:val="22"/>
                <w:lang w:val="et-EE"/>
              </w:rPr>
              <w:t xml:space="preserve">otejärjekorra e. </w:t>
            </w:r>
            <w:r>
              <w:rPr>
                <w:sz w:val="22"/>
                <w:szCs w:val="22"/>
                <w:lang w:val="et-EE"/>
              </w:rPr>
              <w:t>2 aasta jooksul.</w:t>
            </w:r>
            <w:r w:rsidR="00C65595">
              <w:rPr>
                <w:sz w:val="22"/>
                <w:szCs w:val="22"/>
                <w:lang w:val="et-EE"/>
              </w:rPr>
              <w:t xml:space="preserve"> </w:t>
            </w:r>
            <w:r w:rsidR="002F281D">
              <w:rPr>
                <w:sz w:val="22"/>
                <w:szCs w:val="22"/>
                <w:lang w:val="et-EE"/>
              </w:rPr>
              <w:t>E</w:t>
            </w:r>
            <w:r w:rsidR="00C65595">
              <w:rPr>
                <w:sz w:val="22"/>
                <w:szCs w:val="22"/>
                <w:lang w:val="et-EE"/>
              </w:rPr>
              <w:t xml:space="preserve">lukvaliteedi parandamiseks </w:t>
            </w:r>
            <w:r w:rsidR="002F281D">
              <w:rPr>
                <w:sz w:val="22"/>
                <w:szCs w:val="22"/>
                <w:lang w:val="et-EE"/>
              </w:rPr>
              <w:t xml:space="preserve">on </w:t>
            </w:r>
            <w:r w:rsidR="00C65595">
              <w:rPr>
                <w:sz w:val="22"/>
                <w:szCs w:val="22"/>
                <w:lang w:val="et-EE"/>
              </w:rPr>
              <w:t xml:space="preserve">vajalikud </w:t>
            </w:r>
            <w:r w:rsidR="002F281D">
              <w:rPr>
                <w:sz w:val="22"/>
                <w:szCs w:val="22"/>
                <w:lang w:val="et-EE"/>
              </w:rPr>
              <w:t xml:space="preserve">ka </w:t>
            </w:r>
            <w:r w:rsidR="00C65595">
              <w:rPr>
                <w:sz w:val="22"/>
                <w:szCs w:val="22"/>
                <w:lang w:val="et-EE"/>
              </w:rPr>
              <w:t>paljud teised teenused.</w:t>
            </w:r>
            <w:r>
              <w:rPr>
                <w:sz w:val="22"/>
                <w:szCs w:val="22"/>
                <w:lang w:val="et-EE"/>
              </w:rPr>
              <w:t xml:space="preserve"> Pulssoksümeeter annab esmase info – kasutada pigem seda.</w:t>
            </w:r>
            <w:r w:rsidR="00EC4FC8">
              <w:rPr>
                <w:sz w:val="22"/>
                <w:szCs w:val="22"/>
                <w:lang w:val="et-EE"/>
              </w:rPr>
              <w:t xml:space="preserve"> Ravijuhend on ka perearstile – kuidas peab käituma, kui tema nimistus on patsient, kas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  <w:r w:rsidR="00EC4FC8">
              <w:rPr>
                <w:sz w:val="22"/>
                <w:szCs w:val="22"/>
                <w:lang w:val="et-EE"/>
              </w:rPr>
              <w:t>vajaks nii uneuuringuid kui bariaatrilist lõikust. Kui patsient on uneapnoe kahtlusega, on vajalikud uuringud ja ravi</w:t>
            </w:r>
            <w:r w:rsidR="002F281D">
              <w:rPr>
                <w:sz w:val="22"/>
                <w:szCs w:val="22"/>
                <w:lang w:val="et-EE"/>
              </w:rPr>
              <w:t xml:space="preserve"> </w:t>
            </w:r>
            <w:r w:rsidR="002F281D">
              <w:rPr>
                <w:sz w:val="22"/>
                <w:szCs w:val="22"/>
                <w:lang w:val="et-EE"/>
              </w:rPr>
              <w:lastRenderedPageBreak/>
              <w:t>vastavalt sellehaiguse käsitlusele</w:t>
            </w:r>
            <w:r w:rsidR="00EC4FC8">
              <w:rPr>
                <w:sz w:val="22"/>
                <w:szCs w:val="22"/>
                <w:lang w:val="et-EE"/>
              </w:rPr>
              <w:t>.</w:t>
            </w:r>
            <w:r w:rsidR="00C65595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 </w:t>
            </w:r>
          </w:p>
          <w:p w:rsidR="00513705" w:rsidRDefault="00C6559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U.Raid – TTL kriteeriumid-</w:t>
            </w:r>
            <w:r w:rsidR="002F281D">
              <w:rPr>
                <w:sz w:val="22"/>
                <w:szCs w:val="22"/>
                <w:lang w:val="et-EE"/>
              </w:rPr>
              <w:t xml:space="preserve"> uneapnoe diagnoos eeldab polüsomnograafilist uuringut ja see on vajalik ka enne ravi. </w:t>
            </w:r>
          </w:p>
          <w:p w:rsidR="00EC4FC8" w:rsidRPr="002F281D" w:rsidRDefault="002F281D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Kokkuvõte</w:t>
            </w:r>
            <w:r w:rsidR="003F2E1A">
              <w:rPr>
                <w:b/>
                <w:sz w:val="22"/>
                <w:szCs w:val="22"/>
                <w:lang w:val="et-EE"/>
              </w:rPr>
              <w:t>: U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>uringute</w:t>
            </w:r>
            <w:r w:rsidR="003F2E1A">
              <w:rPr>
                <w:b/>
                <w:sz w:val="22"/>
                <w:szCs w:val="22"/>
                <w:lang w:val="et-EE"/>
              </w:rPr>
              <w:t>st ei selgu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sz w:val="22"/>
                <w:szCs w:val="22"/>
                <w:lang w:val="et-EE"/>
              </w:rPr>
              <w:t>operatsioonieelse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 xml:space="preserve"> uneap</w:t>
            </w:r>
            <w:r w:rsidR="0002342F">
              <w:rPr>
                <w:b/>
                <w:sz w:val="22"/>
                <w:szCs w:val="22"/>
                <w:lang w:val="et-EE"/>
              </w:rPr>
              <w:t xml:space="preserve">noe ravi mõju bariaatria 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 xml:space="preserve">ravitulemusele. Soovitatav on </w:t>
            </w:r>
            <w:r>
              <w:rPr>
                <w:b/>
                <w:sz w:val="22"/>
                <w:szCs w:val="22"/>
                <w:lang w:val="et-EE"/>
              </w:rPr>
              <w:t xml:space="preserve">patsiendi 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>käsitlus vastavalt uneapnoe diagnoosimise-ja ravijuhendile. P</w:t>
            </w:r>
            <w:r>
              <w:rPr>
                <w:b/>
                <w:sz w:val="22"/>
                <w:szCs w:val="22"/>
                <w:lang w:val="et-EE"/>
              </w:rPr>
              <w:t>olüsomnograafiline uuring ei peaks Eestis olema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 xml:space="preserve"> kohustuslik eeltingimus bariaatrilisele operatsioonile</w:t>
            </w:r>
            <w:r>
              <w:rPr>
                <w:b/>
                <w:sz w:val="22"/>
                <w:szCs w:val="22"/>
                <w:lang w:val="et-EE"/>
              </w:rPr>
              <w:t xml:space="preserve"> saamiseks</w:t>
            </w:r>
            <w:r w:rsidR="00EC4FC8" w:rsidRPr="002F281D">
              <w:rPr>
                <w:b/>
                <w:sz w:val="22"/>
                <w:szCs w:val="22"/>
                <w:lang w:val="et-EE"/>
              </w:rPr>
              <w:t>.</w:t>
            </w:r>
          </w:p>
          <w:p w:rsidR="00C65595" w:rsidRPr="00417273" w:rsidRDefault="00C65595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</w:p>
          <w:p w:rsidR="00513705" w:rsidRPr="0002342F" w:rsidRDefault="00417273" w:rsidP="0002342F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417273">
              <w:rPr>
                <w:b/>
                <w:sz w:val="22"/>
                <w:szCs w:val="22"/>
                <w:lang w:val="et-EE"/>
              </w:rPr>
              <w:t>Kliiniline küsimus 3.</w:t>
            </w:r>
            <w:r w:rsidR="0002342F" w:rsidRPr="001A6ECB">
              <w:rPr>
                <w:lang w:val="fi-FI"/>
              </w:rPr>
              <w:t xml:space="preserve"> </w:t>
            </w:r>
            <w:r w:rsidR="0002342F" w:rsidRPr="0002342F">
              <w:rPr>
                <w:i/>
                <w:sz w:val="22"/>
                <w:szCs w:val="22"/>
                <w:lang w:val="et-EE"/>
              </w:rPr>
              <w:t>Kas patsiendi osalemine operatsioonieelselt erinevates</w:t>
            </w:r>
            <w:r w:rsidR="0002342F">
              <w:rPr>
                <w:i/>
                <w:sz w:val="22"/>
                <w:szCs w:val="22"/>
                <w:lang w:val="et-EE"/>
              </w:rPr>
              <w:t xml:space="preserve"> käitumuslikes kaalulangetamise </w:t>
            </w:r>
            <w:r w:rsidR="0002342F" w:rsidRPr="0002342F">
              <w:rPr>
                <w:i/>
                <w:sz w:val="22"/>
                <w:szCs w:val="22"/>
                <w:lang w:val="et-EE"/>
              </w:rPr>
              <w:t>programmides vs mitteosalemine parandab ravitulemust?</w:t>
            </w:r>
          </w:p>
          <w:p w:rsidR="00417273" w:rsidRDefault="0002342F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S. Saarsalu- r</w:t>
            </w:r>
            <w:r w:rsidR="00417273">
              <w:rPr>
                <w:sz w:val="22"/>
                <w:szCs w:val="22"/>
                <w:lang w:val="et-EE"/>
              </w:rPr>
              <w:t>avijuhendites oli vä</w:t>
            </w:r>
            <w:r>
              <w:rPr>
                <w:sz w:val="22"/>
                <w:szCs w:val="22"/>
                <w:lang w:val="et-EE"/>
              </w:rPr>
              <w:t>lja toodud et eelnev kaalulagus oli soovitatav -</w:t>
            </w:r>
            <w:r w:rsidR="00417273">
              <w:rPr>
                <w:sz w:val="22"/>
                <w:szCs w:val="22"/>
                <w:lang w:val="et-EE"/>
              </w:rPr>
              <w:t>parandab oparatsiooni läbiviimist või kaasuvate haiguste olukorda. Operatsioonieelne kaalulangus võib vähendada maksa ruumala</w:t>
            </w:r>
            <w:r>
              <w:rPr>
                <w:sz w:val="22"/>
                <w:szCs w:val="22"/>
                <w:lang w:val="et-EE"/>
              </w:rPr>
              <w:t>. Kohustusliku kaalulangetamise korral (</w:t>
            </w:r>
            <w:r w:rsidR="00417273">
              <w:rPr>
                <w:sz w:val="22"/>
                <w:szCs w:val="22"/>
                <w:lang w:val="et-EE"/>
              </w:rPr>
              <w:t>nt kindlustuse nõudmisel</w:t>
            </w:r>
            <w:r>
              <w:rPr>
                <w:sz w:val="22"/>
                <w:szCs w:val="22"/>
                <w:lang w:val="et-EE"/>
              </w:rPr>
              <w:t>) ei saavutatud tulemusi</w:t>
            </w:r>
            <w:r w:rsidR="00417273">
              <w:rPr>
                <w:sz w:val="22"/>
                <w:szCs w:val="22"/>
                <w:lang w:val="et-EE"/>
              </w:rPr>
              <w:t>. Programmid on erinevad nin</w:t>
            </w:r>
            <w:r>
              <w:rPr>
                <w:sz w:val="22"/>
                <w:szCs w:val="22"/>
                <w:lang w:val="et-EE"/>
              </w:rPr>
              <w:t>g seetõttu ei ole õhene mõju hinnatav</w:t>
            </w:r>
            <w:r w:rsidR="00417273">
              <w:rPr>
                <w:sz w:val="22"/>
                <w:szCs w:val="22"/>
                <w:lang w:val="et-EE"/>
              </w:rPr>
              <w:t>. Preoperatiivne kaalulangus –tüsistuste risk väheneb, kaalulangus 8-10% võimaldab seda paremini läbi viia. Ravi kaugtulemusele mõju ei leid</w:t>
            </w:r>
            <w:r>
              <w:rPr>
                <w:sz w:val="22"/>
                <w:szCs w:val="22"/>
                <w:lang w:val="et-EE"/>
              </w:rPr>
              <w:t>u</w:t>
            </w:r>
            <w:r w:rsidR="00417273">
              <w:rPr>
                <w:sz w:val="22"/>
                <w:szCs w:val="22"/>
                <w:lang w:val="et-EE"/>
              </w:rPr>
              <w:t>nud. Oluline on inimese motivatsioon –</w:t>
            </w:r>
            <w:r>
              <w:rPr>
                <w:sz w:val="22"/>
                <w:szCs w:val="22"/>
                <w:lang w:val="et-EE"/>
              </w:rPr>
              <w:t xml:space="preserve"> sel juhul on</w:t>
            </w:r>
            <w:r w:rsidR="00417273">
              <w:rPr>
                <w:sz w:val="22"/>
                <w:szCs w:val="22"/>
                <w:lang w:val="et-EE"/>
              </w:rPr>
              <w:t xml:space="preserve"> tulemused paremad. </w:t>
            </w:r>
          </w:p>
          <w:p w:rsidR="00417273" w:rsidRDefault="00417273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T. Sillamaa – tulemused on ootuspärased – kaugtulemusi ei ole ja lühiajaline dieet aitab paremini operatsiooni läbi viia.</w:t>
            </w:r>
            <w:r w:rsidR="00824525">
              <w:rPr>
                <w:sz w:val="22"/>
                <w:szCs w:val="22"/>
                <w:lang w:val="et-EE"/>
              </w:rPr>
              <w:t xml:space="preserve"> Kaalulangus ei näita ravisoostumust.</w:t>
            </w:r>
          </w:p>
          <w:p w:rsidR="00417273" w:rsidRDefault="00417273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M.</w:t>
            </w:r>
            <w:r w:rsidR="0002342F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Kudeviita – eneseabi ei ole efektiivne, pigem süsteemne programm.</w:t>
            </w:r>
            <w:r w:rsidR="00D003AA">
              <w:rPr>
                <w:sz w:val="22"/>
                <w:szCs w:val="22"/>
                <w:lang w:val="et-EE"/>
              </w:rPr>
              <w:t xml:space="preserve"> Kui pikalt peaks olema </w:t>
            </w:r>
            <w:r w:rsidR="0002342F">
              <w:rPr>
                <w:sz w:val="22"/>
                <w:szCs w:val="22"/>
                <w:lang w:val="et-EE"/>
              </w:rPr>
              <w:t xml:space="preserve"> operatsioonijärjekorras, et võimaldada efektiivseid eelnevaid sekkumisi. </w:t>
            </w:r>
          </w:p>
          <w:p w:rsidR="00417273" w:rsidRDefault="00417273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I.Kaur –pikaajalist kaalulangetamist tänases praktikas ei nõuta, ent</w:t>
            </w:r>
            <w:r w:rsidR="0002342F">
              <w:rPr>
                <w:sz w:val="22"/>
                <w:szCs w:val="22"/>
                <w:lang w:val="et-EE"/>
              </w:rPr>
              <w:t xml:space="preserve"> 2-4 nädalat enne operatsiooni  on näidustatud </w:t>
            </w:r>
            <w:r>
              <w:rPr>
                <w:sz w:val="22"/>
                <w:szCs w:val="22"/>
                <w:lang w:val="et-EE"/>
              </w:rPr>
              <w:t>madal kalorsus ja süsivesikute sisaldus</w:t>
            </w:r>
            <w:r w:rsidR="00DE2F0A">
              <w:rPr>
                <w:sz w:val="22"/>
                <w:szCs w:val="22"/>
                <w:lang w:val="et-EE"/>
              </w:rPr>
              <w:t>- nõustavad bariaatriaõed</w:t>
            </w:r>
            <w:r>
              <w:rPr>
                <w:sz w:val="22"/>
                <w:szCs w:val="22"/>
                <w:lang w:val="et-EE"/>
              </w:rPr>
              <w:t xml:space="preserve">. </w:t>
            </w:r>
            <w:r w:rsidR="00497BB1">
              <w:rPr>
                <w:sz w:val="22"/>
                <w:szCs w:val="22"/>
                <w:lang w:val="et-EE"/>
              </w:rPr>
              <w:t>L</w:t>
            </w:r>
            <w:r w:rsidR="00D003AA">
              <w:rPr>
                <w:sz w:val="22"/>
                <w:szCs w:val="22"/>
                <w:lang w:val="et-EE"/>
              </w:rPr>
              <w:t xml:space="preserve">õikuseelne dieet ei sobi pikaajaliseks kasutamiseks. </w:t>
            </w:r>
            <w:r>
              <w:rPr>
                <w:sz w:val="22"/>
                <w:szCs w:val="22"/>
                <w:lang w:val="et-EE"/>
              </w:rPr>
              <w:t>See annab tulemuse ca 5% -maksa mõõtmete vähendamise eesmärgil on vajalik tegevus.</w:t>
            </w:r>
            <w:r w:rsidR="00824525">
              <w:rPr>
                <w:sz w:val="22"/>
                <w:szCs w:val="22"/>
                <w:lang w:val="et-EE"/>
              </w:rPr>
              <w:t xml:space="preserve"> R</w:t>
            </w:r>
            <w:r w:rsidR="0002342F">
              <w:rPr>
                <w:sz w:val="22"/>
                <w:szCs w:val="22"/>
                <w:lang w:val="et-EE"/>
              </w:rPr>
              <w:t>avimotivatsiooni hindamine on tä</w:t>
            </w:r>
            <w:r w:rsidR="00824525">
              <w:rPr>
                <w:sz w:val="22"/>
                <w:szCs w:val="22"/>
                <w:lang w:val="et-EE"/>
              </w:rPr>
              <w:t>na arstliku töö osa.</w:t>
            </w:r>
          </w:p>
          <w:p w:rsidR="00824525" w:rsidRDefault="0082452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K. Akkermann – oluline on ravimotivatsiooni hindamine. Operatsiooni järgne psühholoogiline nõustamine on oluline ja patsientide </w:t>
            </w:r>
            <w:r w:rsidR="0002342F">
              <w:rPr>
                <w:sz w:val="22"/>
                <w:szCs w:val="22"/>
                <w:lang w:val="et-EE"/>
              </w:rPr>
              <w:t>poolt soovita</w:t>
            </w:r>
            <w:r>
              <w:rPr>
                <w:sz w:val="22"/>
                <w:szCs w:val="22"/>
                <w:lang w:val="et-EE"/>
              </w:rPr>
              <w:t>v.</w:t>
            </w:r>
          </w:p>
          <w:p w:rsidR="00824525" w:rsidRDefault="00824525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E. Lipping –keskused, kes tegutsevad tihelda operatsioonieelse ja järgse nõustamisega, saavutavad teise ravimeetodi korral samaväärseid tulemusi.</w:t>
            </w:r>
          </w:p>
          <w:p w:rsidR="00824525" w:rsidRPr="00824525" w:rsidRDefault="0002342F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Kokkuvõte</w:t>
            </w:r>
            <w:r w:rsidR="00D003AA" w:rsidRPr="00824525">
              <w:rPr>
                <w:b/>
                <w:sz w:val="22"/>
                <w:szCs w:val="22"/>
                <w:lang w:val="et-EE"/>
              </w:rPr>
              <w:t xml:space="preserve">: </w:t>
            </w:r>
            <w:r w:rsidR="00824525" w:rsidRPr="00824525">
              <w:rPr>
                <w:b/>
                <w:sz w:val="22"/>
                <w:szCs w:val="22"/>
                <w:lang w:val="et-EE"/>
              </w:rPr>
              <w:t xml:space="preserve">Patsientide osalemine </w:t>
            </w:r>
            <w:r>
              <w:rPr>
                <w:b/>
                <w:sz w:val="22"/>
                <w:szCs w:val="22"/>
                <w:lang w:val="et-EE"/>
              </w:rPr>
              <w:t xml:space="preserve">operatsionieelselt erinevates käitumuslikes </w:t>
            </w:r>
            <w:r w:rsidR="00824525" w:rsidRPr="00824525">
              <w:rPr>
                <w:b/>
                <w:sz w:val="22"/>
                <w:szCs w:val="22"/>
                <w:lang w:val="et-EE"/>
              </w:rPr>
              <w:t>kaalulangetamise programmides ei oma kaugmõju bariaatrilise patsiendi ravitulemusele</w:t>
            </w:r>
            <w:r w:rsidR="00497BB1">
              <w:rPr>
                <w:b/>
                <w:sz w:val="22"/>
                <w:szCs w:val="22"/>
                <w:lang w:val="et-EE"/>
              </w:rPr>
              <w:t>.</w:t>
            </w:r>
          </w:p>
          <w:p w:rsidR="00824525" w:rsidRDefault="00824525" w:rsidP="00E01AAC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824525" w:rsidRPr="0002342F" w:rsidRDefault="00FC3434" w:rsidP="0002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02342F">
              <w:rPr>
                <w:rFonts w:ascii="Times New Roman" w:hAnsi="Times New Roman"/>
                <w:b/>
                <w:color w:val="000000"/>
                <w:lang w:eastAsia="et-EE"/>
              </w:rPr>
              <w:t>Kliiniline küsimus 6</w:t>
            </w:r>
            <w:r w:rsidR="0002342F">
              <w:rPr>
                <w:rFonts w:ascii="Times New Roman" w:hAnsi="Times New Roman"/>
                <w:b/>
                <w:color w:val="000000"/>
                <w:lang w:eastAsia="et-EE"/>
              </w:rPr>
              <w:t>.</w:t>
            </w:r>
            <w:r w:rsidR="0002342F" w:rsidRPr="0002342F">
              <w:rPr>
                <w:rFonts w:ascii="Times New Roman" w:hAnsi="Times New Roman"/>
                <w:b/>
                <w:color w:val="000000"/>
                <w:lang w:eastAsia="et-EE"/>
              </w:rPr>
              <w:t xml:space="preserve"> </w:t>
            </w:r>
            <w:r w:rsidR="0002342F" w:rsidRPr="0002342F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 xml:space="preserve">Kas patsiendi vahetu operatsioonieelne kaalu langetamine </w:t>
            </w:r>
            <w:r w:rsidR="0002342F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 xml:space="preserve">(preoperatiivne dieet) vs kaalu </w:t>
            </w:r>
            <w:r w:rsidR="0002342F" w:rsidRPr="0002342F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hoidmine samal tasemel (püsimine) vs kaalu mittemõjutamine mõjutab ravitulemust?</w:t>
            </w:r>
          </w:p>
          <w:p w:rsidR="00D003AA" w:rsidRPr="0002342F" w:rsidRDefault="0002342F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 w:rsidRPr="0002342F">
              <w:rPr>
                <w:b/>
                <w:sz w:val="22"/>
                <w:szCs w:val="22"/>
                <w:lang w:val="et-EE"/>
              </w:rPr>
              <w:t xml:space="preserve">Kokkuvõte: </w:t>
            </w:r>
            <w:r w:rsidR="00D003AA" w:rsidRPr="0002342F">
              <w:rPr>
                <w:b/>
                <w:sz w:val="22"/>
                <w:szCs w:val="22"/>
                <w:lang w:val="et-EE"/>
              </w:rPr>
              <w:t>P</w:t>
            </w:r>
            <w:r>
              <w:rPr>
                <w:b/>
                <w:sz w:val="22"/>
                <w:szCs w:val="22"/>
                <w:lang w:val="et-EE"/>
              </w:rPr>
              <w:t>atsientidele tuleb</w:t>
            </w:r>
            <w:r w:rsidR="00D003AA" w:rsidRPr="0002342F">
              <w:rPr>
                <w:b/>
                <w:sz w:val="22"/>
                <w:szCs w:val="22"/>
                <w:lang w:val="et-EE"/>
              </w:rPr>
              <w:t xml:space="preserve"> soovitada operatsioonieelset lühiajalist dieeti (2-4 nädalat, madala kalori- ja süsivesikusisaldusega) operatsiooni tehni</w:t>
            </w:r>
            <w:r w:rsidR="00824525" w:rsidRPr="0002342F">
              <w:rPr>
                <w:b/>
                <w:sz w:val="22"/>
                <w:szCs w:val="22"/>
                <w:lang w:val="et-EE"/>
              </w:rPr>
              <w:t>lise</w:t>
            </w:r>
            <w:r w:rsidR="00D003AA" w:rsidRPr="0002342F">
              <w:rPr>
                <w:b/>
                <w:sz w:val="22"/>
                <w:szCs w:val="22"/>
                <w:lang w:val="et-EE"/>
              </w:rPr>
              <w:t xml:space="preserve"> läbivii</w:t>
            </w:r>
            <w:r w:rsidR="00824525" w:rsidRPr="0002342F">
              <w:rPr>
                <w:b/>
                <w:sz w:val="22"/>
                <w:szCs w:val="22"/>
                <w:lang w:val="et-EE"/>
              </w:rPr>
              <w:t>mise</w:t>
            </w:r>
            <w:r w:rsidR="00D003AA" w:rsidRPr="0002342F">
              <w:rPr>
                <w:b/>
                <w:sz w:val="22"/>
                <w:szCs w:val="22"/>
                <w:lang w:val="et-EE"/>
              </w:rPr>
              <w:t xml:space="preserve"> </w:t>
            </w:r>
            <w:r w:rsidR="00824525" w:rsidRPr="0002342F">
              <w:rPr>
                <w:b/>
                <w:sz w:val="22"/>
                <w:szCs w:val="22"/>
                <w:lang w:val="et-EE"/>
              </w:rPr>
              <w:t xml:space="preserve">parandamiseks </w:t>
            </w:r>
            <w:r w:rsidR="00497BB1" w:rsidRPr="0002342F">
              <w:rPr>
                <w:b/>
                <w:sz w:val="22"/>
                <w:szCs w:val="22"/>
                <w:lang w:val="et-EE"/>
              </w:rPr>
              <w:t xml:space="preserve">ja </w:t>
            </w:r>
            <w:r w:rsidR="00D003AA" w:rsidRPr="0002342F">
              <w:rPr>
                <w:b/>
                <w:sz w:val="22"/>
                <w:szCs w:val="22"/>
                <w:lang w:val="et-EE"/>
              </w:rPr>
              <w:t>maksa mõõtmete vähendamiseks.</w:t>
            </w:r>
          </w:p>
          <w:p w:rsidR="00FC3434" w:rsidRDefault="00FC3434" w:rsidP="00E01AAC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FC3434" w:rsidRPr="0002342F" w:rsidRDefault="00FC3434" w:rsidP="00023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i/>
                <w:lang w:eastAsia="et-EE"/>
              </w:rPr>
            </w:pPr>
            <w:r w:rsidRPr="0002342F">
              <w:rPr>
                <w:rFonts w:ascii="Times New Roman" w:hAnsi="Times New Roman"/>
                <w:b/>
              </w:rPr>
              <w:t>Kliiniline küsimus 9</w:t>
            </w:r>
            <w:r w:rsidR="0002342F" w:rsidRPr="0002342F">
              <w:rPr>
                <w:rFonts w:ascii="Times New Roman" w:hAnsi="Times New Roman"/>
                <w:b/>
              </w:rPr>
              <w:t>.</w:t>
            </w:r>
            <w:r w:rsidR="0002342F">
              <w:rPr>
                <w:b/>
              </w:rPr>
              <w:t xml:space="preserve"> </w:t>
            </w:r>
            <w:r w:rsidR="0002342F" w:rsidRPr="0002342F">
              <w:rPr>
                <w:rFonts w:ascii="Times-Roman" w:hAnsi="Times-Roman" w:cs="Times-Roman"/>
                <w:i/>
                <w:lang w:eastAsia="et-EE"/>
              </w:rPr>
              <w:t>Kas bariaatrilise kirurgia patsiendi kasutada meetod 1 v</w:t>
            </w:r>
            <w:r w:rsidR="0002342F">
              <w:rPr>
                <w:rFonts w:ascii="Times-Roman" w:hAnsi="Times-Roman" w:cs="Times-Roman"/>
                <w:i/>
                <w:lang w:eastAsia="et-EE"/>
              </w:rPr>
              <w:t xml:space="preserve">s meetod 2 vs meetod 3 paremaks </w:t>
            </w:r>
            <w:r w:rsidR="0002342F" w:rsidRPr="0002342F">
              <w:rPr>
                <w:rFonts w:ascii="Times-Roman" w:hAnsi="Times-Roman" w:cs="Times-Roman"/>
                <w:i/>
                <w:lang w:eastAsia="et-EE"/>
              </w:rPr>
              <w:t>ravitulemuseks operatsioonimeetoditega saavutatavad ravitulemused ?</w:t>
            </w:r>
          </w:p>
          <w:p w:rsidR="00057D17" w:rsidRDefault="00FC3434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 w:rsidRPr="00FC3434">
              <w:rPr>
                <w:sz w:val="22"/>
                <w:szCs w:val="22"/>
                <w:lang w:val="et-EE"/>
              </w:rPr>
              <w:t>E. Lippin</w:t>
            </w:r>
            <w:r>
              <w:rPr>
                <w:sz w:val="22"/>
                <w:szCs w:val="22"/>
                <w:lang w:val="et-EE"/>
              </w:rPr>
              <w:t xml:space="preserve">g –ravikulu vähenemisele erinevatel meetodite kasutamisel </w:t>
            </w:r>
            <w:r>
              <w:rPr>
                <w:sz w:val="22"/>
                <w:szCs w:val="22"/>
                <w:lang w:val="et-EE"/>
              </w:rPr>
              <w:lastRenderedPageBreak/>
              <w:t>erinevust ei leitud. Postoperatiivseid tüsistusi ei ole ulatuslikult uuritud, üksikud uuringud on erisuunalised. QALY- esimesel</w:t>
            </w:r>
            <w:r w:rsidR="00057D17">
              <w:rPr>
                <w:sz w:val="22"/>
                <w:szCs w:val="22"/>
                <w:lang w:val="et-EE"/>
              </w:rPr>
              <w:t xml:space="preserve"> ja kolmandal aastal on BY</w:t>
            </w:r>
            <w:r>
              <w:rPr>
                <w:sz w:val="22"/>
                <w:szCs w:val="22"/>
                <w:lang w:val="et-EE"/>
              </w:rPr>
              <w:t xml:space="preserve"> kvaliteedi lisandumine suurim-ei põhine ulatuslikel andmetel. Täiendavalt v</w:t>
            </w:r>
            <w:r w:rsidR="00057D17">
              <w:rPr>
                <w:sz w:val="22"/>
                <w:szCs w:val="22"/>
                <w:lang w:val="et-EE"/>
              </w:rPr>
              <w:t>aadeldi diabeedi korral- BY</w:t>
            </w:r>
            <w:r>
              <w:rPr>
                <w:sz w:val="22"/>
                <w:szCs w:val="22"/>
                <w:lang w:val="et-EE"/>
              </w:rPr>
              <w:t xml:space="preserve"> puhul</w:t>
            </w:r>
            <w:r w:rsidR="00057D17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on remissioone enam. Süstemaatiline ülevaade </w:t>
            </w:r>
            <w:r w:rsidR="006223A0">
              <w:rPr>
                <w:sz w:val="22"/>
                <w:szCs w:val="22"/>
                <w:lang w:val="et-EE"/>
              </w:rPr>
              <w:t>võrdles SG, AB ja RY tulemusi, reoperatsioone esines enim SG korral.</w:t>
            </w:r>
          </w:p>
          <w:p w:rsidR="00FC3434" w:rsidRDefault="00FC3434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I.Kaur – patsientidel tekib küsimus mis meetodit eelistada. Eestis ca 75% kasutatakse RY. AB puhul-jääb </w:t>
            </w:r>
            <w:r w:rsidR="006E3A5A">
              <w:rPr>
                <w:sz w:val="22"/>
                <w:szCs w:val="22"/>
                <w:lang w:val="et-EE"/>
              </w:rPr>
              <w:t xml:space="preserve">tulemustelt </w:t>
            </w:r>
            <w:r>
              <w:rPr>
                <w:sz w:val="22"/>
                <w:szCs w:val="22"/>
                <w:lang w:val="et-EE"/>
              </w:rPr>
              <w:t>alla nii SG kui RY.</w:t>
            </w:r>
            <w:r w:rsidR="006E3A5A">
              <w:rPr>
                <w:sz w:val="22"/>
                <w:szCs w:val="22"/>
                <w:lang w:val="et-EE"/>
              </w:rPr>
              <w:t xml:space="preserve"> Oluline on ohutus ja sõltub patsientide eelistustest (s.h. meedia mõju). Konservatiivse raviga saavutatakse 5-7% kaalulangust.</w:t>
            </w:r>
          </w:p>
          <w:p w:rsidR="006223A0" w:rsidRPr="00FC3434" w:rsidRDefault="006223A0" w:rsidP="006223A0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M. Kudaviita – tuleks täpsustada, mis on konservatiivne ravi uuringute mõistes.</w:t>
            </w:r>
          </w:p>
          <w:p w:rsidR="006E3A5A" w:rsidRDefault="006E3A5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K. Liivak- ka viimane Cochrane uuring ei näidanud selgeid eeliseid. Konservatiivne ravi sõltub riigi korraldusest – intensiivne eluviisi mõjustamine.</w:t>
            </w:r>
          </w:p>
          <w:p w:rsidR="00FC3434" w:rsidRDefault="003F2E1A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Kokkuvõte: Uuringutest e</w:t>
            </w:r>
            <w:r w:rsidR="001A6ECB">
              <w:rPr>
                <w:b/>
                <w:sz w:val="22"/>
                <w:szCs w:val="22"/>
                <w:lang w:val="et-EE"/>
              </w:rPr>
              <w:t>i selgu ühe meetodi eelised võrr</w:t>
            </w:r>
            <w:r>
              <w:rPr>
                <w:b/>
                <w:sz w:val="22"/>
                <w:szCs w:val="22"/>
                <w:lang w:val="et-EE"/>
              </w:rPr>
              <w:t>eldes teiste operatsioonimeetoditega</w:t>
            </w:r>
            <w:r w:rsidR="006E3A5A" w:rsidRPr="006E3A5A">
              <w:rPr>
                <w:b/>
                <w:sz w:val="22"/>
                <w:szCs w:val="22"/>
                <w:lang w:val="et-EE"/>
              </w:rPr>
              <w:t xml:space="preserve">. Operatsioonimeetodi valikul tuleb lähtuda arsti ja patsiendi vahelistest </w:t>
            </w:r>
            <w:r w:rsidR="006223A0">
              <w:rPr>
                <w:b/>
                <w:sz w:val="22"/>
                <w:szCs w:val="22"/>
                <w:lang w:val="et-EE"/>
              </w:rPr>
              <w:t>eelistuste</w:t>
            </w:r>
            <w:r w:rsidR="006E3A5A" w:rsidRPr="006E3A5A">
              <w:rPr>
                <w:b/>
                <w:sz w:val="22"/>
                <w:szCs w:val="22"/>
                <w:lang w:val="et-EE"/>
              </w:rPr>
              <w:t>st.</w:t>
            </w:r>
          </w:p>
          <w:p w:rsidR="006E3A5A" w:rsidRPr="003F2E1A" w:rsidRDefault="006E3A5A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</w:p>
          <w:p w:rsidR="006E3A5A" w:rsidRPr="003F2E1A" w:rsidRDefault="006E3A5A" w:rsidP="003F2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i/>
                <w:lang w:eastAsia="et-EE"/>
              </w:rPr>
            </w:pPr>
            <w:r w:rsidRPr="003F2E1A">
              <w:rPr>
                <w:rFonts w:ascii="Times New Roman" w:hAnsi="Times New Roman"/>
                <w:b/>
              </w:rPr>
              <w:t>Kliiniline küsimus 12</w:t>
            </w:r>
            <w:r w:rsidR="003F2E1A" w:rsidRPr="003F2E1A">
              <w:rPr>
                <w:rFonts w:ascii="Times New Roman" w:hAnsi="Times New Roman"/>
                <w:b/>
              </w:rPr>
              <w:t>.</w:t>
            </w:r>
            <w:r w:rsidR="003F2E1A" w:rsidRPr="003F2E1A">
              <w:rPr>
                <w:b/>
                <w:i/>
              </w:rPr>
              <w:t xml:space="preserve"> </w:t>
            </w:r>
            <w:r w:rsidR="003F2E1A" w:rsidRPr="003F2E1A">
              <w:rPr>
                <w:rFonts w:ascii="Times-Roman" w:hAnsi="Times-Roman" w:cs="Times-Roman"/>
                <w:i/>
                <w:lang w:eastAsia="et-EE"/>
              </w:rPr>
              <w:t>Kas kõigil patsientidel kasutada vs mitte kasutada bariaat</w:t>
            </w:r>
            <w:r w:rsidR="003F2E1A">
              <w:rPr>
                <w:rFonts w:ascii="Times-Roman" w:hAnsi="Times-Roman" w:cs="Times-Roman"/>
                <w:i/>
                <w:lang w:eastAsia="et-EE"/>
              </w:rPr>
              <w:t xml:space="preserve">rilise lõikuse järgselt tekkiva </w:t>
            </w:r>
            <w:r w:rsidR="003F2E1A" w:rsidRPr="003F2E1A">
              <w:rPr>
                <w:rFonts w:ascii="Times-Roman" w:hAnsi="Times-Roman" w:cs="Times-Roman"/>
                <w:i/>
                <w:lang w:eastAsia="et-EE"/>
              </w:rPr>
              <w:t>veresuhkru languse ennetamiseks ravimeid, et väh</w:t>
            </w:r>
            <w:r w:rsidR="003F2E1A">
              <w:rPr>
                <w:rFonts w:ascii="Times-Roman" w:hAnsi="Times-Roman" w:cs="Times-Roman"/>
                <w:i/>
                <w:lang w:eastAsia="et-EE"/>
              </w:rPr>
              <w:t xml:space="preserve">endada hüpoglükeemia episoodide </w:t>
            </w:r>
            <w:r w:rsidR="003F2E1A" w:rsidRPr="003F2E1A">
              <w:rPr>
                <w:rFonts w:ascii="Times-Roman" w:hAnsi="Times-Roman" w:cs="Times-Roman"/>
                <w:i/>
                <w:lang w:eastAsia="et-EE"/>
              </w:rPr>
              <w:t>esinemist?</w:t>
            </w:r>
          </w:p>
          <w:p w:rsidR="006E3A5A" w:rsidRDefault="006E3A5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K. Liivak – selle küsimuse kohta puuduvad ki</w:t>
            </w:r>
            <w:r w:rsidR="003F2E1A">
              <w:rPr>
                <w:sz w:val="22"/>
                <w:szCs w:val="22"/>
                <w:lang w:val="et-EE"/>
              </w:rPr>
              <w:t>rjanduses viited, mis soovitaks</w:t>
            </w:r>
            <w:r>
              <w:rPr>
                <w:sz w:val="22"/>
                <w:szCs w:val="22"/>
                <w:lang w:val="et-EE"/>
              </w:rPr>
              <w:t xml:space="preserve">id </w:t>
            </w:r>
            <w:r w:rsidR="003F2E1A">
              <w:rPr>
                <w:sz w:val="22"/>
                <w:szCs w:val="22"/>
                <w:lang w:val="et-EE"/>
              </w:rPr>
              <w:t xml:space="preserve">ravimeid kõikidele </w:t>
            </w:r>
            <w:r>
              <w:rPr>
                <w:sz w:val="22"/>
                <w:szCs w:val="22"/>
                <w:lang w:val="et-EE"/>
              </w:rPr>
              <w:t>bariaatrilise kirurgia patsientidele.</w:t>
            </w:r>
          </w:p>
          <w:p w:rsidR="006E3A5A" w:rsidRDefault="003F2E1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T. Toomsoo – vajalik täpsustada kas</w:t>
            </w:r>
            <w:r w:rsidR="006E3A5A">
              <w:rPr>
                <w:sz w:val="22"/>
                <w:szCs w:val="22"/>
                <w:lang w:val="et-EE"/>
              </w:rPr>
              <w:t xml:space="preserve"> nendel, kellel esineb hüpoglükeemia, t</w:t>
            </w:r>
            <w:r>
              <w:rPr>
                <w:sz w:val="22"/>
                <w:szCs w:val="22"/>
                <w:lang w:val="et-EE"/>
              </w:rPr>
              <w:t>uleks kasutada ravimeid. P</w:t>
            </w:r>
            <w:r w:rsidR="006E3A5A">
              <w:rPr>
                <w:sz w:val="22"/>
                <w:szCs w:val="22"/>
                <w:lang w:val="et-EE"/>
              </w:rPr>
              <w:t xml:space="preserve">atsientidel, kellel hüpoglükeemia esineb, tuleb rakendada nii dieeti kui ravimeid. </w:t>
            </w:r>
            <w:r>
              <w:rPr>
                <w:sz w:val="22"/>
                <w:szCs w:val="22"/>
                <w:lang w:val="et-EE"/>
              </w:rPr>
              <w:t>Sõnastada küsimus pigem „</w:t>
            </w:r>
            <w:r w:rsidR="006E3A5A">
              <w:rPr>
                <w:sz w:val="22"/>
                <w:szCs w:val="22"/>
                <w:lang w:val="et-EE"/>
              </w:rPr>
              <w:t>Kas hüpoglükeemiaga patsientidel kasutada või mitte kasutada ravimeid veresuhkru languse ennetamiseks</w:t>
            </w:r>
            <w:r>
              <w:rPr>
                <w:sz w:val="22"/>
                <w:szCs w:val="22"/>
                <w:lang w:val="et-EE"/>
              </w:rPr>
              <w:t>“</w:t>
            </w:r>
            <w:r w:rsidR="006E3A5A">
              <w:rPr>
                <w:sz w:val="22"/>
                <w:szCs w:val="22"/>
                <w:lang w:val="et-EE"/>
              </w:rPr>
              <w:t>.</w:t>
            </w:r>
          </w:p>
          <w:p w:rsidR="006E3A5A" w:rsidRDefault="003F2E1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I.Kaur – BY</w:t>
            </w:r>
            <w:r w:rsidR="006E3A5A">
              <w:rPr>
                <w:sz w:val="22"/>
                <w:szCs w:val="22"/>
                <w:lang w:val="et-EE"/>
              </w:rPr>
              <w:t xml:space="preserve"> operatsiooni tagasipööramise põhjuseks on olnud hüpoglükeemia.</w:t>
            </w:r>
          </w:p>
          <w:p w:rsidR="006E3A5A" w:rsidRDefault="006E3A5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M Kudaviita – vaadates </w:t>
            </w:r>
            <w:r w:rsidR="00F10951">
              <w:rPr>
                <w:sz w:val="22"/>
                <w:szCs w:val="22"/>
                <w:lang w:val="et-EE"/>
              </w:rPr>
              <w:t>tõenduse tugev</w:t>
            </w:r>
            <w:r>
              <w:rPr>
                <w:sz w:val="22"/>
                <w:szCs w:val="22"/>
                <w:lang w:val="et-EE"/>
              </w:rPr>
              <w:t>ust võib see</w:t>
            </w:r>
            <w:r w:rsidR="00F10951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olla pigem üks võimalustest.</w:t>
            </w:r>
          </w:p>
          <w:p w:rsidR="003F2E1A" w:rsidRDefault="003F2E1A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T. Toomsoo – ravimite kasutamise osas selgus on oluline, need ei ole hetkel kompenseeritavad ravimid.</w:t>
            </w:r>
          </w:p>
          <w:p w:rsidR="00FB3EA7" w:rsidRPr="003F2E1A" w:rsidRDefault="003F2E1A" w:rsidP="00E01AAC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 w:rsidRPr="003F2E1A">
              <w:rPr>
                <w:b/>
                <w:sz w:val="22"/>
                <w:szCs w:val="22"/>
                <w:lang w:val="et-EE"/>
              </w:rPr>
              <w:t>Kokkuvõte:</w:t>
            </w:r>
            <w:r>
              <w:rPr>
                <w:b/>
                <w:sz w:val="22"/>
                <w:szCs w:val="22"/>
                <w:lang w:val="et-EE"/>
              </w:rPr>
              <w:t xml:space="preserve"> Kui dieedi muutmisest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 xml:space="preserve"> ei piisa hüpoglükeemia korrigeerimiseks, </w:t>
            </w:r>
            <w:r w:rsidRPr="003F2E1A">
              <w:rPr>
                <w:b/>
                <w:sz w:val="22"/>
                <w:szCs w:val="22"/>
                <w:lang w:val="et-EE"/>
              </w:rPr>
              <w:t xml:space="preserve">on 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>vajalik endokrinoloogi konsultatsioon.</w:t>
            </w:r>
            <w:r>
              <w:rPr>
                <w:b/>
                <w:sz w:val="22"/>
                <w:szCs w:val="22"/>
                <w:lang w:val="et-EE"/>
              </w:rPr>
              <w:t xml:space="preserve"> 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 xml:space="preserve">Sõnastada kliinilise küsimuse raames täiendav </w:t>
            </w:r>
            <w:r>
              <w:rPr>
                <w:b/>
                <w:sz w:val="22"/>
                <w:szCs w:val="22"/>
                <w:lang w:val="et-EE"/>
              </w:rPr>
              <w:t>küsimus „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>Kas</w:t>
            </w:r>
            <w:r w:rsidR="00E67012" w:rsidRPr="003F2E1A">
              <w:rPr>
                <w:b/>
                <w:sz w:val="22"/>
                <w:szCs w:val="22"/>
                <w:lang w:val="et-EE"/>
              </w:rPr>
              <w:t xml:space="preserve"> lõikusjärgse hüpoglükeemia episoodidega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 xml:space="preserve"> patsientidel, kellel ei piisa dieedi korrigeerimisest,  </w:t>
            </w:r>
            <w:r w:rsidR="00E67012" w:rsidRPr="003F2E1A">
              <w:rPr>
                <w:b/>
                <w:sz w:val="22"/>
                <w:szCs w:val="22"/>
                <w:lang w:val="et-EE"/>
              </w:rPr>
              <w:t>kasutada vs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 xml:space="preserve"> mitte kasutada ravimeid veresuhkru languse ennetamiseks</w:t>
            </w:r>
            <w:r>
              <w:rPr>
                <w:b/>
                <w:sz w:val="22"/>
                <w:szCs w:val="22"/>
                <w:lang w:val="et-EE"/>
              </w:rPr>
              <w:t>“</w:t>
            </w:r>
            <w:r w:rsidR="006E3A5A" w:rsidRPr="003F2E1A">
              <w:rPr>
                <w:b/>
                <w:sz w:val="22"/>
                <w:szCs w:val="22"/>
                <w:lang w:val="et-EE"/>
              </w:rPr>
              <w:t>.</w:t>
            </w:r>
          </w:p>
          <w:p w:rsidR="00E67012" w:rsidRDefault="00E67012" w:rsidP="00E01AAC">
            <w:pPr>
              <w:pStyle w:val="PlainText"/>
              <w:rPr>
                <w:sz w:val="22"/>
                <w:szCs w:val="22"/>
                <w:lang w:val="et-EE"/>
              </w:rPr>
            </w:pPr>
          </w:p>
          <w:p w:rsidR="003F2E1A" w:rsidRPr="003F2E1A" w:rsidRDefault="00F10951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F10951">
              <w:rPr>
                <w:b/>
                <w:sz w:val="22"/>
                <w:szCs w:val="22"/>
                <w:lang w:val="et-EE"/>
              </w:rPr>
              <w:t>Kliiniline küsimus 7</w:t>
            </w:r>
            <w:r w:rsidR="003F2E1A" w:rsidRPr="001A6ECB">
              <w:rPr>
                <w:lang w:val="et-EE"/>
              </w:rPr>
              <w:t xml:space="preserve"> </w:t>
            </w:r>
            <w:r w:rsidR="003F2E1A" w:rsidRPr="003F2E1A">
              <w:rPr>
                <w:i/>
                <w:sz w:val="22"/>
                <w:szCs w:val="22"/>
                <w:lang w:val="et-EE"/>
              </w:rPr>
              <w:t>Kas bariaatrilise kirurgia patsiendi ravitulemuse parandam</w:t>
            </w:r>
            <w:r w:rsidR="003F2E1A">
              <w:rPr>
                <w:i/>
                <w:sz w:val="22"/>
                <w:szCs w:val="22"/>
                <w:lang w:val="et-EE"/>
              </w:rPr>
              <w:t xml:space="preserve">iseks tuleb kõiki täiskasvanuid </w:t>
            </w:r>
            <w:r w:rsidR="003F2E1A" w:rsidRPr="003F2E1A">
              <w:rPr>
                <w:i/>
                <w:sz w:val="22"/>
                <w:szCs w:val="22"/>
                <w:lang w:val="et-EE"/>
              </w:rPr>
              <w:t>uurida enne kirurgilist sekkumist järgmiste meetoditega (võrreldes meetodi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mittekasutamisega):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Polüsomnograafia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röntgenülesvõte rindkerest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ülemise seedetrakti endoskoopia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Kolesterool ja verelipiidid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TSH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PTH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Tsink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B12, foolhape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lastRenderedPageBreak/>
              <w:t>- raud, feritiin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Kaltsium</w:t>
            </w:r>
          </w:p>
          <w:p w:rsidR="003F2E1A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- 25(OH) D3 vitamiin</w:t>
            </w:r>
          </w:p>
          <w:p w:rsidR="00070744" w:rsidRPr="003F2E1A" w:rsidRDefault="003F2E1A" w:rsidP="003F2E1A">
            <w:pPr>
              <w:pStyle w:val="PlainText"/>
              <w:rPr>
                <w:i/>
                <w:sz w:val="22"/>
                <w:szCs w:val="22"/>
                <w:lang w:val="et-EE"/>
              </w:rPr>
            </w:pPr>
            <w:r w:rsidRPr="003F2E1A">
              <w:rPr>
                <w:i/>
                <w:sz w:val="22"/>
                <w:szCs w:val="22"/>
                <w:lang w:val="et-EE"/>
              </w:rPr>
              <w:t>- Glükoosi tolerantsuse test</w:t>
            </w:r>
          </w:p>
          <w:p w:rsidR="00F10951" w:rsidRDefault="00F10951" w:rsidP="00E01AAC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K. Liivak – polüsomnograafia on vajalik, sam</w:t>
            </w:r>
            <w:r w:rsidR="003F2E1A">
              <w:rPr>
                <w:sz w:val="22"/>
                <w:szCs w:val="22"/>
                <w:lang w:val="et-EE"/>
              </w:rPr>
              <w:t xml:space="preserve">uti endoskoopia. </w:t>
            </w:r>
            <w:r w:rsidR="00DD151F">
              <w:rPr>
                <w:sz w:val="22"/>
                <w:szCs w:val="22"/>
                <w:lang w:val="et-EE"/>
              </w:rPr>
              <w:t>Röntgen</w:t>
            </w:r>
            <w:r w:rsidR="00522439">
              <w:rPr>
                <w:sz w:val="22"/>
                <w:szCs w:val="22"/>
                <w:lang w:val="et-EE"/>
              </w:rPr>
              <w:t>ülesvõte rutiinselt ei ole vajalik.</w:t>
            </w:r>
            <w:r>
              <w:rPr>
                <w:sz w:val="22"/>
                <w:szCs w:val="22"/>
                <w:lang w:val="et-EE"/>
              </w:rPr>
              <w:t xml:space="preserve"> </w:t>
            </w:r>
          </w:p>
          <w:p w:rsidR="00A3629D" w:rsidRPr="00DD151F" w:rsidRDefault="00DD151F" w:rsidP="00FE0ED9">
            <w:pPr>
              <w:pStyle w:val="PlainText"/>
              <w:rPr>
                <w:b/>
                <w:sz w:val="22"/>
                <w:szCs w:val="22"/>
                <w:lang w:val="et-EE"/>
              </w:rPr>
            </w:pPr>
            <w:r w:rsidRPr="00DD151F">
              <w:rPr>
                <w:b/>
                <w:sz w:val="22"/>
                <w:szCs w:val="22"/>
                <w:lang w:val="et-EE"/>
              </w:rPr>
              <w:t xml:space="preserve">Kokkuvõte: Uneapnoe skriining on vajalik. Kui uneapnoe skriining on positiivne, </w:t>
            </w:r>
            <w:r>
              <w:rPr>
                <w:b/>
                <w:sz w:val="22"/>
                <w:szCs w:val="22"/>
                <w:lang w:val="et-EE"/>
              </w:rPr>
              <w:t xml:space="preserve">siis vajalik polüsomnograafia. </w:t>
            </w:r>
            <w:r w:rsidRPr="00DD151F">
              <w:rPr>
                <w:b/>
                <w:sz w:val="22"/>
                <w:szCs w:val="22"/>
                <w:lang w:val="et-EE"/>
              </w:rPr>
              <w:t>Kui patsiendil esinevad kliiniliselt olulised seedetrakti kaebused, siis on vajalik preoperatiivs</w:t>
            </w:r>
            <w:r>
              <w:rPr>
                <w:b/>
                <w:sz w:val="22"/>
                <w:szCs w:val="22"/>
                <w:lang w:val="et-EE"/>
              </w:rPr>
              <w:t xml:space="preserve">elt endoskoopiline uuring. </w:t>
            </w:r>
            <w:r w:rsidRPr="00DD151F">
              <w:rPr>
                <w:b/>
                <w:sz w:val="22"/>
                <w:szCs w:val="22"/>
                <w:lang w:val="et-EE"/>
              </w:rPr>
              <w:t>Rindkere rönt</w:t>
            </w:r>
            <w:r>
              <w:rPr>
                <w:b/>
                <w:sz w:val="22"/>
                <w:szCs w:val="22"/>
                <w:lang w:val="et-EE"/>
              </w:rPr>
              <w:t>genülesvõte teostada vajadusel.</w:t>
            </w:r>
          </w:p>
        </w:tc>
      </w:tr>
      <w:tr w:rsidR="00801A48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801A48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6E33D2" w:rsidP="00801A48">
            <w:pPr>
              <w:pStyle w:val="PlainText"/>
              <w:numPr>
                <w:ilvl w:val="0"/>
                <w:numId w:val="2"/>
              </w:numPr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>Järgmiste</w:t>
            </w:r>
            <w:r w:rsidR="00801A48" w:rsidRPr="00B0491B">
              <w:rPr>
                <w:sz w:val="22"/>
                <w:szCs w:val="22"/>
                <w:lang w:val="et-EE"/>
              </w:rPr>
              <w:t xml:space="preserve"> koosoleku</w:t>
            </w:r>
            <w:r w:rsidRPr="00B0491B">
              <w:rPr>
                <w:sz w:val="22"/>
                <w:szCs w:val="22"/>
                <w:lang w:val="et-EE"/>
              </w:rPr>
              <w:t>te</w:t>
            </w:r>
            <w:r w:rsidR="00801A48" w:rsidRPr="00B0491B">
              <w:rPr>
                <w:sz w:val="22"/>
                <w:szCs w:val="22"/>
                <w:lang w:val="et-EE"/>
              </w:rPr>
              <w:t xml:space="preserve"> aeg ja </w:t>
            </w:r>
            <w:r w:rsidR="000C0829" w:rsidRPr="00B0491B">
              <w:rPr>
                <w:sz w:val="22"/>
                <w:szCs w:val="22"/>
                <w:lang w:val="et-EE"/>
              </w:rPr>
              <w:t xml:space="preserve">vahepealne töö </w:t>
            </w:r>
            <w:r w:rsidR="0064075D" w:rsidRPr="00B0491B">
              <w:rPr>
                <w:sz w:val="22"/>
                <w:szCs w:val="22"/>
                <w:lang w:val="et-EE"/>
              </w:rPr>
              <w:t>sekretariaadile</w:t>
            </w:r>
          </w:p>
          <w:p w:rsidR="00AB135A" w:rsidRPr="00B0491B" w:rsidRDefault="00AB135A" w:rsidP="00801A48">
            <w:pPr>
              <w:pStyle w:val="PlainText"/>
              <w:ind w:left="360"/>
              <w:rPr>
                <w:sz w:val="22"/>
                <w:szCs w:val="22"/>
                <w:lang w:val="et-EE"/>
              </w:rPr>
            </w:pPr>
          </w:p>
          <w:p w:rsidR="001A6ECB" w:rsidRDefault="00AB135A" w:rsidP="00FD2E6D">
            <w:r w:rsidRPr="00B0491B">
              <w:t>Koosoleku</w:t>
            </w:r>
            <w:r w:rsidR="00DD151F">
              <w:t xml:space="preserve"> </w:t>
            </w:r>
            <w:r w:rsidRPr="00B0491B">
              <w:t xml:space="preserve">aeg: </w:t>
            </w:r>
            <w:r w:rsidR="003F2E1A">
              <w:t>26</w:t>
            </w:r>
            <w:r w:rsidR="00DD151F">
              <w:t xml:space="preserve"> </w:t>
            </w:r>
            <w:r w:rsidR="003F2E1A">
              <w:t>november Tallinnas</w:t>
            </w:r>
            <w:r w:rsidR="00FD2E6D">
              <w:t xml:space="preserve"> (</w:t>
            </w:r>
            <w:r w:rsidR="00FD2E6D">
              <w:rPr>
                <w:rFonts w:ascii="Times New Roman" w:hAnsi="Times New Roman"/>
                <w:sz w:val="24"/>
                <w:szCs w:val="24"/>
              </w:rPr>
              <w:t>Lastekodu 48) ja Tartus (Põllu 1A), videokoosolekuna.</w:t>
            </w:r>
            <w:bookmarkStart w:id="0" w:name="_GoBack"/>
            <w:bookmarkEnd w:id="0"/>
            <w:r w:rsidR="001A6ECB">
              <w:t xml:space="preserve"> </w:t>
            </w:r>
          </w:p>
          <w:p w:rsidR="00801A48" w:rsidRPr="00B0491B" w:rsidRDefault="00DD151F" w:rsidP="00AB135A">
            <w:pPr>
              <w:pStyle w:val="PlainTex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Täiendav koosolekuaeg 9 detsember 2014.</w:t>
            </w:r>
          </w:p>
          <w:p w:rsidR="00DE64D6" w:rsidRPr="00B0491B" w:rsidRDefault="00DE64D6" w:rsidP="00801A48">
            <w:pPr>
              <w:pStyle w:val="PlainText"/>
              <w:ind w:left="360"/>
              <w:rPr>
                <w:sz w:val="22"/>
                <w:szCs w:val="22"/>
                <w:lang w:val="et-EE"/>
              </w:rPr>
            </w:pPr>
          </w:p>
          <w:p w:rsidR="00801A48" w:rsidRPr="00B0491B" w:rsidRDefault="00AB135A" w:rsidP="00FE0ED9">
            <w:pPr>
              <w:pStyle w:val="PlainText"/>
              <w:rPr>
                <w:sz w:val="22"/>
                <w:szCs w:val="22"/>
                <w:lang w:val="et-EE"/>
              </w:rPr>
            </w:pPr>
            <w:r w:rsidRPr="00B0491B">
              <w:rPr>
                <w:sz w:val="22"/>
                <w:szCs w:val="22"/>
                <w:lang w:val="et-EE"/>
              </w:rPr>
              <w:t xml:space="preserve">Sekretariaat valmistab ette </w:t>
            </w:r>
            <w:r w:rsidR="00DD151F">
              <w:rPr>
                <w:sz w:val="22"/>
                <w:szCs w:val="22"/>
                <w:lang w:val="et-EE"/>
              </w:rPr>
              <w:t xml:space="preserve">otsustamiseks </w:t>
            </w:r>
            <w:r w:rsidR="003F2E1A">
              <w:rPr>
                <w:sz w:val="22"/>
                <w:szCs w:val="22"/>
                <w:lang w:val="et-EE"/>
              </w:rPr>
              <w:t xml:space="preserve">eenevalt arutatud küsimuste soovitused, </w:t>
            </w:r>
            <w:r w:rsidRPr="00B0491B">
              <w:rPr>
                <w:sz w:val="22"/>
                <w:szCs w:val="22"/>
                <w:lang w:val="et-EE"/>
              </w:rPr>
              <w:t>k</w:t>
            </w:r>
            <w:r w:rsidR="003F2E1A">
              <w:rPr>
                <w:sz w:val="22"/>
                <w:szCs w:val="22"/>
                <w:lang w:val="et-EE"/>
              </w:rPr>
              <w:t>liiniliste</w:t>
            </w:r>
            <w:r w:rsidR="00DE64D6" w:rsidRPr="00B0491B">
              <w:rPr>
                <w:sz w:val="22"/>
                <w:szCs w:val="22"/>
                <w:lang w:val="et-EE"/>
              </w:rPr>
              <w:t xml:space="preserve"> küsimus</w:t>
            </w:r>
            <w:r w:rsidR="003F2E1A">
              <w:rPr>
                <w:sz w:val="22"/>
                <w:szCs w:val="22"/>
                <w:lang w:val="et-EE"/>
              </w:rPr>
              <w:t>te</w:t>
            </w:r>
            <w:r w:rsidR="001C40BA">
              <w:rPr>
                <w:sz w:val="22"/>
                <w:szCs w:val="22"/>
                <w:lang w:val="et-EE"/>
              </w:rPr>
              <w:t xml:space="preserve"> 4, </w:t>
            </w:r>
            <w:r w:rsidR="00FE0ED9">
              <w:rPr>
                <w:sz w:val="22"/>
                <w:szCs w:val="22"/>
                <w:lang w:val="et-EE"/>
              </w:rPr>
              <w:t>10</w:t>
            </w:r>
            <w:r w:rsidR="001C40BA">
              <w:rPr>
                <w:sz w:val="22"/>
                <w:szCs w:val="22"/>
                <w:lang w:val="et-EE"/>
              </w:rPr>
              <w:t xml:space="preserve"> </w:t>
            </w:r>
            <w:r w:rsidRPr="00B0491B">
              <w:rPr>
                <w:sz w:val="22"/>
                <w:szCs w:val="22"/>
                <w:lang w:val="et-EE"/>
              </w:rPr>
              <w:t>EvSu’d ja SoKo’d</w:t>
            </w:r>
            <w:r w:rsidR="003F2E1A">
              <w:rPr>
                <w:sz w:val="22"/>
                <w:szCs w:val="22"/>
                <w:lang w:val="et-EE"/>
              </w:rPr>
              <w:t xml:space="preserve"> ning k</w:t>
            </w:r>
            <w:r w:rsidR="00DD151F">
              <w:rPr>
                <w:sz w:val="22"/>
                <w:szCs w:val="22"/>
                <w:lang w:val="et-EE"/>
              </w:rPr>
              <w:t>ä</w:t>
            </w:r>
            <w:r w:rsidR="003F2E1A">
              <w:rPr>
                <w:sz w:val="22"/>
                <w:szCs w:val="22"/>
                <w:lang w:val="et-EE"/>
              </w:rPr>
              <w:t>esoleval koosolekul sõnastatud täiendavad küsimused (sõltuvushäire, ravimid). Materjalid</w:t>
            </w:r>
            <w:r w:rsidRPr="00B0491B">
              <w:rPr>
                <w:sz w:val="22"/>
                <w:szCs w:val="22"/>
                <w:lang w:val="et-EE"/>
              </w:rPr>
              <w:t xml:space="preserve"> saadetakse töör</w:t>
            </w:r>
            <w:r w:rsidR="00FE0ED9">
              <w:rPr>
                <w:sz w:val="22"/>
                <w:szCs w:val="22"/>
                <w:lang w:val="et-EE"/>
              </w:rPr>
              <w:t>ühmale vähemalt nädal aega ette.</w:t>
            </w:r>
          </w:p>
        </w:tc>
      </w:tr>
      <w:tr w:rsidR="00801A48" w:rsidRPr="00B0491B" w:rsidTr="00E64F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801A48" w:rsidP="00E64F1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48" w:rsidRPr="00B0491B" w:rsidRDefault="003F2E1A" w:rsidP="00801A4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Protokollis Sirje Vaask</w:t>
            </w:r>
          </w:p>
        </w:tc>
      </w:tr>
    </w:tbl>
    <w:p w:rsidR="00E64F11" w:rsidRPr="00B0491B" w:rsidRDefault="00E64F11">
      <w:pPr>
        <w:rPr>
          <w:rFonts w:ascii="Times New Roman" w:hAnsi="Times New Roman"/>
        </w:rPr>
      </w:pPr>
    </w:p>
    <w:p w:rsidR="00C6403B" w:rsidRPr="00B0491B" w:rsidRDefault="00C6403B">
      <w:pPr>
        <w:rPr>
          <w:rFonts w:ascii="Times New Roman" w:hAnsi="Times New Roman"/>
        </w:rPr>
      </w:pPr>
    </w:p>
    <w:sectPr w:rsidR="00C6403B" w:rsidRPr="00B049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C8" w:rsidRDefault="009B09C8" w:rsidP="00BA388C">
      <w:pPr>
        <w:spacing w:after="0" w:line="240" w:lineRule="auto"/>
      </w:pPr>
      <w:r>
        <w:separator/>
      </w:r>
    </w:p>
  </w:endnote>
  <w:endnote w:type="continuationSeparator" w:id="0">
    <w:p w:rsidR="009B09C8" w:rsidRDefault="009B09C8" w:rsidP="00BA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81D" w:rsidRDefault="002F281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D2E6D">
      <w:rPr>
        <w:noProof/>
      </w:rPr>
      <w:t>5</w:t>
    </w:r>
    <w:r>
      <w:fldChar w:fldCharType="end"/>
    </w:r>
  </w:p>
  <w:p w:rsidR="002F281D" w:rsidRDefault="002F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C8" w:rsidRDefault="009B09C8" w:rsidP="00BA388C">
      <w:pPr>
        <w:spacing w:after="0" w:line="240" w:lineRule="auto"/>
      </w:pPr>
      <w:r>
        <w:separator/>
      </w:r>
    </w:p>
  </w:footnote>
  <w:footnote w:type="continuationSeparator" w:id="0">
    <w:p w:rsidR="009B09C8" w:rsidRDefault="009B09C8" w:rsidP="00BA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AFE"/>
    <w:multiLevelType w:val="multilevel"/>
    <w:tmpl w:val="34C4C0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7D21A3"/>
    <w:multiLevelType w:val="hybridMultilevel"/>
    <w:tmpl w:val="63A41842"/>
    <w:lvl w:ilvl="0" w:tplc="109C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980E1A"/>
    <w:multiLevelType w:val="hybridMultilevel"/>
    <w:tmpl w:val="6784A8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3FD3"/>
    <w:multiLevelType w:val="hybridMultilevel"/>
    <w:tmpl w:val="AB7C5190"/>
    <w:lvl w:ilvl="0" w:tplc="91C6B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7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6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7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2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4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68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2F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18421C"/>
    <w:multiLevelType w:val="hybridMultilevel"/>
    <w:tmpl w:val="FB963B36"/>
    <w:lvl w:ilvl="0" w:tplc="042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24312972"/>
    <w:multiLevelType w:val="hybridMultilevel"/>
    <w:tmpl w:val="8D56BDD0"/>
    <w:lvl w:ilvl="0" w:tplc="6BD074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E24BF"/>
    <w:multiLevelType w:val="multilevel"/>
    <w:tmpl w:val="C2D87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195F00"/>
    <w:multiLevelType w:val="hybridMultilevel"/>
    <w:tmpl w:val="80AA7778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25575E"/>
    <w:multiLevelType w:val="hybridMultilevel"/>
    <w:tmpl w:val="166CA94C"/>
    <w:lvl w:ilvl="0" w:tplc="D25A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1C6DD7"/>
    <w:multiLevelType w:val="hybridMultilevel"/>
    <w:tmpl w:val="360A84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613FF"/>
    <w:multiLevelType w:val="multilevel"/>
    <w:tmpl w:val="9FE0D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8A76733"/>
    <w:multiLevelType w:val="hybridMultilevel"/>
    <w:tmpl w:val="CD82B1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B"/>
    <w:rsid w:val="000200A6"/>
    <w:rsid w:val="0002342F"/>
    <w:rsid w:val="00036D18"/>
    <w:rsid w:val="000446D6"/>
    <w:rsid w:val="00057D17"/>
    <w:rsid w:val="00070744"/>
    <w:rsid w:val="00072C7B"/>
    <w:rsid w:val="00085EE4"/>
    <w:rsid w:val="000A6EA1"/>
    <w:rsid w:val="000B75F4"/>
    <w:rsid w:val="000C0829"/>
    <w:rsid w:val="00106D01"/>
    <w:rsid w:val="001335BD"/>
    <w:rsid w:val="00174BAD"/>
    <w:rsid w:val="001A6ECB"/>
    <w:rsid w:val="001C40BA"/>
    <w:rsid w:val="001F4648"/>
    <w:rsid w:val="00244A7F"/>
    <w:rsid w:val="002A41B4"/>
    <w:rsid w:val="002B1AB1"/>
    <w:rsid w:val="002B7610"/>
    <w:rsid w:val="002D2447"/>
    <w:rsid w:val="002F281D"/>
    <w:rsid w:val="003020CC"/>
    <w:rsid w:val="00355623"/>
    <w:rsid w:val="00361E98"/>
    <w:rsid w:val="00385888"/>
    <w:rsid w:val="003B691F"/>
    <w:rsid w:val="003F2E1A"/>
    <w:rsid w:val="004018A3"/>
    <w:rsid w:val="00417273"/>
    <w:rsid w:val="00425386"/>
    <w:rsid w:val="004319E6"/>
    <w:rsid w:val="004440A2"/>
    <w:rsid w:val="00445FB8"/>
    <w:rsid w:val="0044639F"/>
    <w:rsid w:val="00457D91"/>
    <w:rsid w:val="004644DD"/>
    <w:rsid w:val="0047009F"/>
    <w:rsid w:val="004859A6"/>
    <w:rsid w:val="00485A6D"/>
    <w:rsid w:val="00485DFE"/>
    <w:rsid w:val="00497BB1"/>
    <w:rsid w:val="00513705"/>
    <w:rsid w:val="00520F32"/>
    <w:rsid w:val="00522439"/>
    <w:rsid w:val="0054312A"/>
    <w:rsid w:val="005460EA"/>
    <w:rsid w:val="00550811"/>
    <w:rsid w:val="005554D7"/>
    <w:rsid w:val="005559E8"/>
    <w:rsid w:val="005C2817"/>
    <w:rsid w:val="005C30E6"/>
    <w:rsid w:val="005D7C1E"/>
    <w:rsid w:val="00615689"/>
    <w:rsid w:val="006223A0"/>
    <w:rsid w:val="0064075D"/>
    <w:rsid w:val="00641137"/>
    <w:rsid w:val="006576D6"/>
    <w:rsid w:val="00665C11"/>
    <w:rsid w:val="00670AB0"/>
    <w:rsid w:val="0067216A"/>
    <w:rsid w:val="006756D2"/>
    <w:rsid w:val="006779FD"/>
    <w:rsid w:val="006D3F58"/>
    <w:rsid w:val="006E33D2"/>
    <w:rsid w:val="006E3A5A"/>
    <w:rsid w:val="006E55E1"/>
    <w:rsid w:val="00701252"/>
    <w:rsid w:val="00705E5D"/>
    <w:rsid w:val="007379F3"/>
    <w:rsid w:val="00795072"/>
    <w:rsid w:val="007B4A18"/>
    <w:rsid w:val="007F1D4F"/>
    <w:rsid w:val="00801A48"/>
    <w:rsid w:val="0080513C"/>
    <w:rsid w:val="00824525"/>
    <w:rsid w:val="00835E1C"/>
    <w:rsid w:val="00852040"/>
    <w:rsid w:val="00875D45"/>
    <w:rsid w:val="008B2C2C"/>
    <w:rsid w:val="008E3D47"/>
    <w:rsid w:val="008F2939"/>
    <w:rsid w:val="00930D98"/>
    <w:rsid w:val="009820AE"/>
    <w:rsid w:val="00984187"/>
    <w:rsid w:val="009B09C8"/>
    <w:rsid w:val="00A00D11"/>
    <w:rsid w:val="00A3629D"/>
    <w:rsid w:val="00A95924"/>
    <w:rsid w:val="00A95DBC"/>
    <w:rsid w:val="00AB135A"/>
    <w:rsid w:val="00AD4BEB"/>
    <w:rsid w:val="00AE284D"/>
    <w:rsid w:val="00AE7235"/>
    <w:rsid w:val="00B0491B"/>
    <w:rsid w:val="00B552FB"/>
    <w:rsid w:val="00B56A02"/>
    <w:rsid w:val="00BA388C"/>
    <w:rsid w:val="00BF10F4"/>
    <w:rsid w:val="00C0600A"/>
    <w:rsid w:val="00C44FC4"/>
    <w:rsid w:val="00C5115B"/>
    <w:rsid w:val="00C6403B"/>
    <w:rsid w:val="00C65595"/>
    <w:rsid w:val="00CA002F"/>
    <w:rsid w:val="00CB0CA4"/>
    <w:rsid w:val="00CC72D6"/>
    <w:rsid w:val="00CD198A"/>
    <w:rsid w:val="00CF0C14"/>
    <w:rsid w:val="00D003AA"/>
    <w:rsid w:val="00D32485"/>
    <w:rsid w:val="00D40AA4"/>
    <w:rsid w:val="00DD151F"/>
    <w:rsid w:val="00DD5AE6"/>
    <w:rsid w:val="00DE2F0A"/>
    <w:rsid w:val="00DE4E30"/>
    <w:rsid w:val="00DE64D6"/>
    <w:rsid w:val="00E01AAC"/>
    <w:rsid w:val="00E207FA"/>
    <w:rsid w:val="00E40FB3"/>
    <w:rsid w:val="00E46F9B"/>
    <w:rsid w:val="00E64F11"/>
    <w:rsid w:val="00E67012"/>
    <w:rsid w:val="00EA790B"/>
    <w:rsid w:val="00EC4FC8"/>
    <w:rsid w:val="00EF48BF"/>
    <w:rsid w:val="00F10951"/>
    <w:rsid w:val="00F16A14"/>
    <w:rsid w:val="00F2322B"/>
    <w:rsid w:val="00F27733"/>
    <w:rsid w:val="00FA07F8"/>
    <w:rsid w:val="00FB3EA7"/>
    <w:rsid w:val="00FC3434"/>
    <w:rsid w:val="00FD16C8"/>
    <w:rsid w:val="00FD2E6D"/>
    <w:rsid w:val="00FE0ED9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D377-259E-42CA-AA1C-A0F66AC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6403B"/>
    <w:pPr>
      <w:spacing w:after="0" w:line="240" w:lineRule="auto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6403B"/>
    <w:rPr>
      <w:rFonts w:ascii="Times New Roman" w:eastAsia="Times New Roman" w:hAnsi="Times New Roman"/>
      <w:sz w:val="21"/>
      <w:szCs w:val="21"/>
      <w:lang w:val="en-US" w:eastAsia="en-US"/>
    </w:rPr>
  </w:style>
  <w:style w:type="character" w:styleId="Hyperlink">
    <w:name w:val="Hyperlink"/>
    <w:uiPriority w:val="99"/>
    <w:unhideWhenUsed/>
    <w:rsid w:val="00C64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0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80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4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t-EE"/>
    </w:rPr>
  </w:style>
  <w:style w:type="character" w:customStyle="1" w:styleId="CommentTextChar">
    <w:name w:val="Comment Text Char"/>
    <w:link w:val="CommentText"/>
    <w:uiPriority w:val="99"/>
    <w:semiHidden/>
    <w:rsid w:val="00801A48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A4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8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388C"/>
    <w:rPr>
      <w:sz w:val="22"/>
      <w:szCs w:val="22"/>
      <w:lang w:eastAsia="en-US"/>
    </w:rPr>
  </w:style>
  <w:style w:type="table" w:styleId="TableGrid">
    <w:name w:val="Table Grid"/>
    <w:basedOn w:val="TableNormal"/>
    <w:rsid w:val="00FF7C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3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5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ED43-D75F-4BD0-8BD6-C3CB7824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Raid</dc:creator>
  <cp:keywords/>
  <dc:description/>
  <cp:lastModifiedBy>Ulla Raid</cp:lastModifiedBy>
  <cp:revision>2</cp:revision>
  <dcterms:created xsi:type="dcterms:W3CDTF">2014-11-10T09:35:00Z</dcterms:created>
  <dcterms:modified xsi:type="dcterms:W3CDTF">2014-11-10T09:35:00Z</dcterms:modified>
</cp:coreProperties>
</file>