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AA6D6" w14:textId="77777777" w:rsidR="00213E48" w:rsidRPr="00042FF2" w:rsidRDefault="00213E48" w:rsidP="005A51BC">
      <w:pPr>
        <w:rPr>
          <w:rFonts w:ascii="Verdana" w:hAnsi="Verdana"/>
          <w:b/>
          <w:color w:val="000080"/>
          <w:sz w:val="18"/>
          <w:szCs w:val="18"/>
        </w:rPr>
      </w:pPr>
      <w:r w:rsidRPr="002D065A">
        <w:rPr>
          <w:rFonts w:ascii="Verdana" w:hAnsi="Verdana"/>
          <w:b/>
          <w:bCs/>
          <w:color w:val="000080"/>
          <w:sz w:val="18"/>
          <w:szCs w:val="18"/>
          <w:lang w:val="fi-FI"/>
        </w:rPr>
        <w:t xml:space="preserve">Kliiniline küsimus nr </w:t>
      </w:r>
      <w:r>
        <w:rPr>
          <w:rFonts w:ascii="Verdana" w:hAnsi="Verdana"/>
          <w:b/>
          <w:bCs/>
          <w:color w:val="000080"/>
          <w:sz w:val="18"/>
          <w:szCs w:val="18"/>
          <w:lang w:val="fi-FI"/>
        </w:rPr>
        <w:t>3</w:t>
      </w:r>
    </w:p>
    <w:p w14:paraId="012409D9" w14:textId="77777777" w:rsidR="00213E48" w:rsidRPr="00FE17E8" w:rsidRDefault="00213E48" w:rsidP="005A51BC">
      <w:pPr>
        <w:rPr>
          <w:rFonts w:ascii="Verdana" w:hAnsi="Verdana"/>
          <w:color w:val="000080"/>
          <w:sz w:val="18"/>
          <w:szCs w:val="18"/>
        </w:rPr>
      </w:pPr>
    </w:p>
    <w:p w14:paraId="523CD32A" w14:textId="77777777" w:rsidR="00213E48" w:rsidRDefault="00213E48" w:rsidP="005A51BC">
      <w:pPr>
        <w:spacing w:line="276" w:lineRule="auto"/>
        <w:rPr>
          <w:rFonts w:ascii="Verdana" w:hAnsi="Verdana"/>
          <w:i/>
          <w:color w:val="000080"/>
          <w:sz w:val="18"/>
          <w:szCs w:val="18"/>
        </w:rPr>
      </w:pPr>
      <w:r w:rsidRPr="00042FF2">
        <w:rPr>
          <w:rFonts w:ascii="Verdana" w:hAnsi="Verdana"/>
          <w:i/>
          <w:color w:val="000080"/>
          <w:sz w:val="18"/>
          <w:szCs w:val="18"/>
        </w:rPr>
        <w:t xml:space="preserve">Kliiniline küsimus </w:t>
      </w:r>
      <w:r>
        <w:rPr>
          <w:rFonts w:ascii="Verdana" w:hAnsi="Verdana"/>
          <w:i/>
          <w:color w:val="000080"/>
          <w:sz w:val="18"/>
          <w:szCs w:val="18"/>
        </w:rPr>
        <w:t>tekst</w:t>
      </w:r>
    </w:p>
    <w:p w14:paraId="48715642" w14:textId="77777777" w:rsidR="00213E48" w:rsidRPr="00010B83" w:rsidRDefault="00213E48" w:rsidP="005A51BC">
      <w:pPr>
        <w:jc w:val="both"/>
        <w:rPr>
          <w:rFonts w:ascii="Verdana" w:hAnsi="Verdana"/>
          <w:color w:val="000080"/>
          <w:sz w:val="18"/>
          <w:szCs w:val="18"/>
        </w:rPr>
      </w:pPr>
      <w:r w:rsidRPr="00010B83">
        <w:rPr>
          <w:rFonts w:ascii="Verdana" w:hAnsi="Verdana"/>
          <w:color w:val="000080"/>
          <w:sz w:val="18"/>
          <w:szCs w:val="18"/>
        </w:rPr>
        <w:t>Kas kõigile esmaselt diagnoositud kroonilise neeruhaigusega patsientidele tuleb kroonilise neeruhaiguse diagnoosi täpsustamiseks lisaks albuminuuria/proteinuuria, kreatiniini, glomerulaarfiltratsiooni määramisele ja ultraheliuuringule järgmisi lisauuringuid vs mitte:</w:t>
      </w:r>
    </w:p>
    <w:p w14:paraId="4C1BC222" w14:textId="77777777" w:rsidR="00213E48" w:rsidRPr="00010B83" w:rsidRDefault="00213E48" w:rsidP="005A51BC">
      <w:pPr>
        <w:jc w:val="both"/>
        <w:rPr>
          <w:rFonts w:ascii="Verdana" w:hAnsi="Verdana"/>
          <w:color w:val="000080"/>
          <w:sz w:val="18"/>
          <w:szCs w:val="18"/>
        </w:rPr>
      </w:pPr>
      <w:r w:rsidRPr="00010B83">
        <w:rPr>
          <w:rFonts w:ascii="Verdana" w:hAnsi="Verdana"/>
          <w:color w:val="000080"/>
          <w:sz w:val="18"/>
          <w:szCs w:val="18"/>
        </w:rPr>
        <w:t>-kreatiniini kordamine</w:t>
      </w:r>
    </w:p>
    <w:p w14:paraId="3717C353" w14:textId="77777777" w:rsidR="00213E48" w:rsidRPr="00010B83" w:rsidRDefault="00213E48" w:rsidP="005A51BC">
      <w:pPr>
        <w:jc w:val="both"/>
        <w:rPr>
          <w:rFonts w:ascii="Verdana" w:hAnsi="Verdana"/>
          <w:color w:val="000080"/>
          <w:sz w:val="18"/>
          <w:szCs w:val="18"/>
        </w:rPr>
      </w:pPr>
      <w:r w:rsidRPr="00010B83">
        <w:rPr>
          <w:rFonts w:ascii="Verdana" w:hAnsi="Verdana"/>
          <w:color w:val="000080"/>
          <w:sz w:val="18"/>
          <w:szCs w:val="18"/>
        </w:rPr>
        <w:t>-PSA</w:t>
      </w:r>
    </w:p>
    <w:p w14:paraId="34B45426" w14:textId="77777777" w:rsidR="00213E48" w:rsidRPr="00010B83" w:rsidRDefault="00213E48" w:rsidP="005A51BC">
      <w:pPr>
        <w:jc w:val="both"/>
        <w:rPr>
          <w:rFonts w:ascii="Verdana" w:hAnsi="Verdana"/>
          <w:color w:val="000080"/>
          <w:sz w:val="18"/>
          <w:szCs w:val="18"/>
        </w:rPr>
      </w:pPr>
      <w:r w:rsidRPr="00010B83">
        <w:rPr>
          <w:rFonts w:ascii="Verdana" w:hAnsi="Verdana"/>
          <w:color w:val="000080"/>
          <w:sz w:val="18"/>
          <w:szCs w:val="18"/>
        </w:rPr>
        <w:t>-eesnäärme ultraheli</w:t>
      </w:r>
    </w:p>
    <w:p w14:paraId="07C6073F" w14:textId="77777777" w:rsidR="00213E48" w:rsidRPr="00010B83" w:rsidRDefault="00213E48" w:rsidP="005A51BC">
      <w:pPr>
        <w:jc w:val="both"/>
        <w:rPr>
          <w:rFonts w:ascii="Verdana" w:hAnsi="Verdana"/>
          <w:color w:val="000080"/>
          <w:sz w:val="18"/>
          <w:szCs w:val="18"/>
        </w:rPr>
      </w:pPr>
      <w:r w:rsidRPr="00010B83">
        <w:rPr>
          <w:rFonts w:ascii="Verdana" w:hAnsi="Verdana"/>
          <w:color w:val="000080"/>
          <w:sz w:val="18"/>
          <w:szCs w:val="18"/>
        </w:rPr>
        <w:t>-jääkuriin</w:t>
      </w:r>
    </w:p>
    <w:p w14:paraId="1EABB031" w14:textId="77777777" w:rsidR="00213E48" w:rsidRDefault="00213E48" w:rsidP="005A51BC">
      <w:pPr>
        <w:jc w:val="both"/>
        <w:rPr>
          <w:rFonts w:ascii="Verdana" w:hAnsi="Verdana"/>
          <w:color w:val="000080"/>
          <w:sz w:val="18"/>
          <w:szCs w:val="18"/>
        </w:rPr>
      </w:pPr>
      <w:r w:rsidRPr="00010B83">
        <w:rPr>
          <w:rFonts w:ascii="Verdana" w:hAnsi="Verdana"/>
          <w:color w:val="000080"/>
          <w:sz w:val="18"/>
          <w:szCs w:val="18"/>
        </w:rPr>
        <w:t>-günekoloogiline kontroll</w:t>
      </w:r>
    </w:p>
    <w:p w14:paraId="48915FAF" w14:textId="77777777" w:rsidR="00213E48" w:rsidRPr="00010B83" w:rsidRDefault="00213E48" w:rsidP="005A51BC">
      <w:pPr>
        <w:jc w:val="both"/>
        <w:rPr>
          <w:rFonts w:ascii="Verdana" w:hAnsi="Verdana"/>
          <w:color w:val="000080"/>
          <w:sz w:val="18"/>
          <w:szCs w:val="18"/>
        </w:rPr>
      </w:pPr>
    </w:p>
    <w:p w14:paraId="1C7D7F00" w14:textId="77777777" w:rsidR="00213E48" w:rsidRPr="00010B83" w:rsidRDefault="00213E48" w:rsidP="005A51BC">
      <w:pPr>
        <w:jc w:val="both"/>
        <w:rPr>
          <w:rFonts w:ascii="Verdana" w:hAnsi="Verdana"/>
          <w:color w:val="000080"/>
          <w:sz w:val="18"/>
          <w:szCs w:val="18"/>
        </w:rPr>
      </w:pPr>
      <w:r w:rsidRPr="00010B83">
        <w:rPr>
          <w:rFonts w:ascii="Verdana" w:hAnsi="Verdana"/>
          <w:color w:val="000080"/>
          <w:sz w:val="18"/>
          <w:szCs w:val="18"/>
          <w:u w:val="single"/>
        </w:rPr>
        <w:t>Kriitilised tulemusnäitajad:</w:t>
      </w:r>
      <w:r w:rsidRPr="00010B83">
        <w:rPr>
          <w:rFonts w:ascii="Verdana" w:hAnsi="Verdana"/>
          <w:color w:val="000080"/>
          <w:sz w:val="18"/>
          <w:szCs w:val="18"/>
        </w:rPr>
        <w:t xml:space="preserve"> haigestumine kroonilisse neeruhaigusesse, patsiendi elukvaliteet, hospitaliseerimine, südame-veresoonkonna tüsistused, elulemus, üldsuremuse vähenemine</w:t>
      </w:r>
    </w:p>
    <w:p w14:paraId="247FDF5E" w14:textId="77777777" w:rsidR="00213E48" w:rsidRDefault="00213E48" w:rsidP="005A51BC">
      <w:pPr>
        <w:jc w:val="both"/>
        <w:rPr>
          <w:rFonts w:ascii="Verdana" w:hAnsi="Verdana"/>
          <w:color w:val="000080"/>
          <w:sz w:val="18"/>
          <w:szCs w:val="18"/>
          <w:u w:val="single"/>
        </w:rPr>
      </w:pPr>
    </w:p>
    <w:p w14:paraId="435BB81C" w14:textId="77777777" w:rsidR="00213E48" w:rsidRPr="002D065A" w:rsidRDefault="00213E48" w:rsidP="005A51BC">
      <w:pPr>
        <w:jc w:val="both"/>
        <w:rPr>
          <w:rFonts w:ascii="Verdana" w:hAnsi="Verdana" w:cs="Arial"/>
          <w:b/>
          <w:color w:val="000080"/>
          <w:sz w:val="18"/>
          <w:szCs w:val="18"/>
          <w:lang w:val="fi-FI"/>
        </w:rPr>
      </w:pPr>
      <w:r>
        <w:rPr>
          <w:rFonts w:ascii="Verdana" w:hAnsi="Verdana"/>
          <w:color w:val="000080"/>
          <w:sz w:val="18"/>
          <w:szCs w:val="18"/>
          <w:u w:val="single"/>
        </w:rPr>
        <w:br/>
      </w:r>
      <w:r w:rsidRPr="002D065A">
        <w:rPr>
          <w:rFonts w:ascii="Verdana" w:hAnsi="Verdana" w:cs="Arial"/>
          <w:b/>
          <w:color w:val="000080"/>
          <w:sz w:val="18"/>
          <w:szCs w:val="18"/>
          <w:lang w:val="fi-FI"/>
        </w:rPr>
        <w:t>Süstemaatilised ülevaated</w:t>
      </w:r>
    </w:p>
    <w:p w14:paraId="3D9E96DF" w14:textId="77777777" w:rsidR="00213E48" w:rsidRPr="003D523C" w:rsidRDefault="00213E48" w:rsidP="005A51BC">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sz w:val="18"/>
          <w:szCs w:val="18"/>
          <w:lang w:val="fi-FI" w:eastAsia="en-US"/>
        </w:rPr>
      </w:pPr>
      <w:r w:rsidRPr="003D523C">
        <w:rPr>
          <w:rFonts w:ascii="Verdana" w:hAnsi="Verdana" w:cs="ArialMT"/>
          <w:sz w:val="18"/>
          <w:szCs w:val="18"/>
          <w:lang w:val="fi-FI" w:eastAsia="en-US"/>
        </w:rPr>
        <w:t>Allpool toodud tabelisse on lisatud nii süstemaatilised ülevaated kui ka üksikud uuringud (cross-sectional studies</w:t>
      </w:r>
      <w:r>
        <w:rPr>
          <w:rFonts w:ascii="Verdana" w:hAnsi="Verdana" w:cs="ArialMT"/>
          <w:sz w:val="18"/>
          <w:szCs w:val="18"/>
          <w:lang w:val="fi-FI" w:eastAsia="en-US"/>
        </w:rPr>
        <w:t>) ning mõned üldised ravijuhendid</w:t>
      </w:r>
      <w:r w:rsidRPr="003D523C">
        <w:rPr>
          <w:rFonts w:ascii="Verdana" w:hAnsi="Verdana" w:cs="ArialMT"/>
          <w:sz w:val="18"/>
          <w:szCs w:val="18"/>
          <w:lang w:val="fi-FI" w:eastAsia="en-US"/>
        </w:rPr>
        <w:t xml:space="preserve">, mis pole meie meekonna poolt AGREEga hinnatud. Need said lisatud tõenduspõhise kirjanduse vähesuse tõttu antud teema kohta. </w:t>
      </w:r>
    </w:p>
    <w:p w14:paraId="2A08CAD6" w14:textId="77777777" w:rsidR="00213E48" w:rsidRPr="003D523C" w:rsidRDefault="00213E48" w:rsidP="005A51BC">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sz w:val="18"/>
          <w:szCs w:val="18"/>
          <w:lang w:val="fi-FI" w:eastAsia="en-US"/>
        </w:rPr>
      </w:pPr>
      <w:r>
        <w:rPr>
          <w:rFonts w:ascii="Verdana" w:hAnsi="Verdana" w:cs="ArialMT"/>
          <w:sz w:val="18"/>
          <w:szCs w:val="18"/>
          <w:lang w:val="fi-FI" w:eastAsia="en-US"/>
        </w:rPr>
        <w:t xml:space="preserve">Esmaselt </w:t>
      </w:r>
      <w:r w:rsidRPr="003D523C">
        <w:rPr>
          <w:rFonts w:ascii="Verdana" w:hAnsi="Verdana" w:cs="ArialMT"/>
          <w:sz w:val="18"/>
          <w:szCs w:val="18"/>
          <w:lang w:val="fi-FI" w:eastAsia="en-US"/>
        </w:rPr>
        <w:t xml:space="preserve">diagnoositud kroonilise neeruhaiguse (KNH) patsientide kreatiniini kordamise kohta uuemad süstemaatilised ülevaated ja uuringud puuduvad (ei leitud). Soovitused GFR ja kreatiniini määramise ja kordamise kohta on olemas neljas uuemas ravijuhendis (KDIGO, NICE, Malaysia CKD management, CHA-KARI). </w:t>
      </w:r>
    </w:p>
    <w:p w14:paraId="165324B4" w14:textId="77777777" w:rsidR="00213E48" w:rsidRPr="003D523C" w:rsidRDefault="00213E48" w:rsidP="005A51BC">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sz w:val="18"/>
          <w:szCs w:val="18"/>
          <w:lang w:val="fi-FI" w:eastAsia="en-US"/>
        </w:rPr>
      </w:pPr>
      <w:r w:rsidRPr="003D523C">
        <w:rPr>
          <w:rFonts w:ascii="Verdana" w:hAnsi="Verdana" w:cs="ArialMT"/>
          <w:sz w:val="18"/>
          <w:szCs w:val="18"/>
          <w:lang w:val="fi-FI" w:eastAsia="en-US"/>
        </w:rPr>
        <w:t xml:space="preserve">KNH ja eesnäärme haiguste skriinimise ja diagnoosimise kohta on leitud 3 uuringut. </w:t>
      </w:r>
    </w:p>
    <w:p w14:paraId="41B7FFCE" w14:textId="77777777" w:rsidR="00213E48" w:rsidRPr="003D523C" w:rsidRDefault="00213E48" w:rsidP="005A51BC">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sz w:val="18"/>
          <w:szCs w:val="18"/>
          <w:lang w:val="fi-FI" w:eastAsia="en-US"/>
        </w:rPr>
      </w:pPr>
      <w:r w:rsidRPr="003D523C">
        <w:rPr>
          <w:rFonts w:ascii="Verdana" w:hAnsi="Verdana" w:cs="ArialMT"/>
          <w:sz w:val="18"/>
          <w:szCs w:val="18"/>
          <w:lang w:val="fi-FI" w:eastAsia="en-US"/>
        </w:rPr>
        <w:t>Esimeses uuringus on vä</w:t>
      </w:r>
      <w:r>
        <w:rPr>
          <w:rFonts w:ascii="Verdana" w:hAnsi="Verdana" w:cs="ArialMT"/>
          <w:sz w:val="18"/>
          <w:szCs w:val="18"/>
          <w:lang w:val="fi-FI" w:eastAsia="en-US"/>
        </w:rPr>
        <w:t>lja toodud seos madalama GFR, f</w:t>
      </w:r>
      <w:r w:rsidRPr="003D523C">
        <w:rPr>
          <w:rFonts w:ascii="Verdana" w:hAnsi="Verdana" w:cs="ArialMT"/>
          <w:sz w:val="18"/>
          <w:szCs w:val="18"/>
          <w:lang w:val="fi-FI" w:eastAsia="en-US"/>
        </w:rPr>
        <w:t>P</w:t>
      </w:r>
      <w:r>
        <w:rPr>
          <w:rFonts w:ascii="Verdana" w:hAnsi="Verdana" w:cs="ArialMT"/>
          <w:sz w:val="18"/>
          <w:szCs w:val="18"/>
          <w:lang w:val="fi-FI" w:eastAsia="en-US"/>
        </w:rPr>
        <w:t>SA ja %f</w:t>
      </w:r>
      <w:r w:rsidRPr="003D523C">
        <w:rPr>
          <w:rFonts w:ascii="Verdana" w:hAnsi="Verdana" w:cs="ArialMT"/>
          <w:sz w:val="18"/>
          <w:szCs w:val="18"/>
          <w:lang w:val="fi-FI" w:eastAsia="en-US"/>
        </w:rPr>
        <w:t>P</w:t>
      </w:r>
      <w:r>
        <w:rPr>
          <w:rFonts w:ascii="Verdana" w:hAnsi="Verdana" w:cs="ArialMT"/>
          <w:sz w:val="18"/>
          <w:szCs w:val="18"/>
          <w:lang w:val="fi-FI" w:eastAsia="en-US"/>
        </w:rPr>
        <w:t>S</w:t>
      </w:r>
      <w:r w:rsidRPr="003D523C">
        <w:rPr>
          <w:rFonts w:ascii="Verdana" w:hAnsi="Verdana" w:cs="ArialMT"/>
          <w:sz w:val="18"/>
          <w:szCs w:val="18"/>
          <w:lang w:val="fi-FI" w:eastAsia="en-US"/>
        </w:rPr>
        <w:t xml:space="preserve">A ning eesnäärme vähi riski vahel nendel meestel, kellel tPSA on vahemikus 4,0-10,0 ng/ml. </w:t>
      </w:r>
    </w:p>
    <w:p w14:paraId="7B21C4C5" w14:textId="77777777" w:rsidR="00213E48" w:rsidRPr="003D523C" w:rsidRDefault="00213E48" w:rsidP="005A51BC">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sz w:val="18"/>
          <w:szCs w:val="18"/>
          <w:lang w:val="fi-FI" w:eastAsia="en-US"/>
        </w:rPr>
      </w:pPr>
      <w:r w:rsidRPr="003D523C">
        <w:rPr>
          <w:rFonts w:ascii="Verdana" w:hAnsi="Verdana" w:cs="ArialMT"/>
          <w:sz w:val="18"/>
          <w:szCs w:val="18"/>
          <w:lang w:val="fi-FI" w:eastAsia="en-US"/>
        </w:rPr>
        <w:t>Kahes järgm</w:t>
      </w:r>
      <w:r>
        <w:rPr>
          <w:rFonts w:ascii="Verdana" w:hAnsi="Verdana" w:cs="ArialMT"/>
          <w:sz w:val="18"/>
          <w:szCs w:val="18"/>
          <w:lang w:val="fi-FI" w:eastAsia="en-US"/>
        </w:rPr>
        <w:t>ises uuringus (2. ja 3.) on vaad</w:t>
      </w:r>
      <w:r w:rsidRPr="003D523C">
        <w:rPr>
          <w:rFonts w:ascii="Verdana" w:hAnsi="Verdana" w:cs="ArialMT"/>
          <w:sz w:val="18"/>
          <w:szCs w:val="18"/>
          <w:lang w:val="fi-FI" w:eastAsia="en-US"/>
        </w:rPr>
        <w:t>atud seost neerufunktsiooni ja PSA taseme vahel. Mõlemas uuringus tuli välja negatiivne seos GFR ja fPSA, %fPSA vahel (madalama fil</w:t>
      </w:r>
      <w:r>
        <w:rPr>
          <w:rFonts w:ascii="Verdana" w:hAnsi="Verdana" w:cs="ArialMT"/>
          <w:sz w:val="18"/>
          <w:szCs w:val="18"/>
          <w:lang w:val="fi-FI" w:eastAsia="en-US"/>
        </w:rPr>
        <w:t>tratsiooniga isikutel fPSA ei el</w:t>
      </w:r>
      <w:r w:rsidRPr="003D523C">
        <w:rPr>
          <w:rFonts w:ascii="Verdana" w:hAnsi="Verdana" w:cs="ArialMT"/>
          <w:sz w:val="18"/>
          <w:szCs w:val="18"/>
          <w:lang w:val="fi-FI" w:eastAsia="en-US"/>
        </w:rPr>
        <w:t>limineeru organismist</w:t>
      </w:r>
      <w:r>
        <w:rPr>
          <w:rFonts w:ascii="Verdana" w:hAnsi="Verdana" w:cs="ArialMT"/>
          <w:sz w:val="18"/>
          <w:szCs w:val="18"/>
          <w:lang w:val="fi-FI" w:eastAsia="en-US"/>
        </w:rPr>
        <w:t>, fPSA kuhjub ja tulemusena tõstab %fPSAd</w:t>
      </w:r>
      <w:r w:rsidRPr="003D523C">
        <w:rPr>
          <w:rFonts w:ascii="Verdana" w:hAnsi="Verdana" w:cs="ArialMT"/>
          <w:sz w:val="18"/>
          <w:szCs w:val="18"/>
          <w:lang w:val="fi-FI" w:eastAsia="en-US"/>
        </w:rPr>
        <w:t>. Nendel haigetel jääb eesnäärme vähk diagnoosimata. Seega, antud uuringute põhjal fPSA määramine KNH haigetel ei ole näidustatud).</w:t>
      </w:r>
    </w:p>
    <w:p w14:paraId="2ED7ACC4" w14:textId="77777777" w:rsidR="00213E48" w:rsidRPr="00744477" w:rsidRDefault="00213E48" w:rsidP="005A51BC">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sz w:val="18"/>
          <w:szCs w:val="18"/>
          <w:lang w:val="fi-FI" w:eastAsia="en-US"/>
        </w:rPr>
      </w:pPr>
      <w:r>
        <w:rPr>
          <w:rFonts w:ascii="Verdana" w:hAnsi="Verdana" w:cs="ArialMT"/>
          <w:sz w:val="18"/>
          <w:szCs w:val="18"/>
          <w:lang w:val="fi-FI" w:eastAsia="en-US"/>
        </w:rPr>
        <w:t>4., 5. ja 6. süstemaatilises ülevaates</w:t>
      </w:r>
      <w:r w:rsidRPr="003D523C">
        <w:rPr>
          <w:rFonts w:ascii="Verdana" w:hAnsi="Verdana" w:cs="ArialMT"/>
          <w:sz w:val="18"/>
          <w:szCs w:val="18"/>
          <w:lang w:val="fi-FI" w:eastAsia="en-US"/>
        </w:rPr>
        <w:t xml:space="preserve"> on välja toodud enamuses samad uuringud PSA kohta</w:t>
      </w:r>
      <w:r w:rsidRPr="00F94A84">
        <w:rPr>
          <w:rFonts w:ascii="Verdana" w:hAnsi="Verdana" w:cs="ArialMT"/>
          <w:sz w:val="18"/>
          <w:szCs w:val="18"/>
          <w:lang w:val="fi-FI" w:eastAsia="en-US"/>
        </w:rPr>
        <w:t xml:space="preserve"> </w:t>
      </w:r>
      <w:r w:rsidRPr="003D523C">
        <w:rPr>
          <w:rFonts w:ascii="Verdana" w:hAnsi="Verdana" w:cs="ArialMT"/>
          <w:sz w:val="18"/>
          <w:szCs w:val="18"/>
          <w:lang w:val="fi-FI" w:eastAsia="en-US"/>
        </w:rPr>
        <w:t>üldpopulatsioonis eesnäärmevähi skriinimisel ja diagnoosimisel. Antud materjali alusel ei ole võmalik välja tuua ühte kindlat skriiningu strateegiat</w:t>
      </w:r>
      <w:r>
        <w:rPr>
          <w:rFonts w:ascii="Verdana" w:hAnsi="Verdana" w:cs="ArialMT"/>
          <w:sz w:val="18"/>
          <w:szCs w:val="18"/>
          <w:lang w:val="fi-FI" w:eastAsia="en-US"/>
        </w:rPr>
        <w:t xml:space="preserve">, </w:t>
      </w:r>
      <w:r w:rsidRPr="003D523C">
        <w:rPr>
          <w:rFonts w:ascii="Verdana" w:hAnsi="Verdana" w:cs="ArialMT"/>
          <w:sz w:val="18"/>
          <w:szCs w:val="18"/>
          <w:lang w:val="fi-FI" w:eastAsia="en-US"/>
        </w:rPr>
        <w:t xml:space="preserve">kuna igas ülevaates </w:t>
      </w:r>
      <w:r>
        <w:rPr>
          <w:rFonts w:ascii="Verdana" w:hAnsi="Verdana" w:cs="ArialMT"/>
          <w:sz w:val="18"/>
          <w:szCs w:val="18"/>
          <w:lang w:val="fi-FI" w:eastAsia="en-US"/>
        </w:rPr>
        <w:t xml:space="preserve">on </w:t>
      </w:r>
      <w:r w:rsidRPr="003D523C">
        <w:rPr>
          <w:rFonts w:ascii="Verdana" w:hAnsi="Verdana" w:cs="ArialMT"/>
          <w:sz w:val="18"/>
          <w:szCs w:val="18"/>
          <w:lang w:val="fi-FI" w:eastAsia="en-US"/>
        </w:rPr>
        <w:t>soo</w:t>
      </w:r>
      <w:r>
        <w:rPr>
          <w:rFonts w:ascii="Verdana" w:hAnsi="Verdana" w:cs="ArialMT"/>
          <w:sz w:val="18"/>
          <w:szCs w:val="18"/>
          <w:lang w:val="fi-FI" w:eastAsia="en-US"/>
        </w:rPr>
        <w:t>vitused mõnevõrra erinevad: PSAd</w:t>
      </w:r>
      <w:r w:rsidRPr="003D523C">
        <w:rPr>
          <w:rFonts w:ascii="Verdana" w:hAnsi="Verdana" w:cs="ArialMT"/>
          <w:sz w:val="18"/>
          <w:szCs w:val="18"/>
          <w:lang w:val="fi-FI" w:eastAsia="en-US"/>
        </w:rPr>
        <w:t xml:space="preserve"> </w:t>
      </w:r>
      <w:r>
        <w:rPr>
          <w:rFonts w:ascii="Verdana" w:hAnsi="Verdana" w:cs="ArialMT"/>
          <w:sz w:val="18"/>
          <w:szCs w:val="18"/>
          <w:lang w:val="fi-FI" w:eastAsia="en-US"/>
        </w:rPr>
        <w:t xml:space="preserve">on </w:t>
      </w:r>
      <w:r w:rsidRPr="003D523C">
        <w:rPr>
          <w:rFonts w:ascii="Verdana" w:hAnsi="Verdana" w:cs="ArialMT"/>
          <w:sz w:val="18"/>
          <w:szCs w:val="18"/>
          <w:lang w:val="fi-FI" w:eastAsia="en-US"/>
        </w:rPr>
        <w:t xml:space="preserve">soovitav kasutada eesnäärme vähi skriiningus vs PSA määramine üksinda ei paranda diagnoosi ega vähenda suremust vs tasub määrata ainult riskirühma kontingendil. </w:t>
      </w:r>
      <w:r w:rsidRPr="00744477">
        <w:rPr>
          <w:rFonts w:ascii="Verdana" w:hAnsi="Verdana" w:cs="ArialMT"/>
          <w:sz w:val="18"/>
          <w:szCs w:val="18"/>
          <w:lang w:val="fi-FI" w:eastAsia="en-US"/>
        </w:rPr>
        <w:t>KNHga seoseid skriinimisel ei ole kirjaldatud.</w:t>
      </w:r>
    </w:p>
    <w:p w14:paraId="45ABAAF9" w14:textId="77777777" w:rsidR="00213E48" w:rsidRPr="00744477" w:rsidRDefault="00213E48" w:rsidP="005A51BC">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sz w:val="18"/>
          <w:szCs w:val="18"/>
          <w:lang w:val="fi-FI" w:eastAsia="en-US"/>
        </w:rPr>
      </w:pPr>
      <w:r w:rsidRPr="00744477">
        <w:rPr>
          <w:rFonts w:ascii="Verdana" w:hAnsi="Verdana" w:cs="ArialMT"/>
          <w:sz w:val="18"/>
          <w:szCs w:val="18"/>
          <w:lang w:val="fi-FI" w:eastAsia="en-US"/>
        </w:rPr>
        <w:t>Ühes uuringus on kirjeldatud jääkuriini ja KHN seoseid eesmäärme healoom</w:t>
      </w:r>
      <w:r>
        <w:rPr>
          <w:rFonts w:ascii="Verdana" w:hAnsi="Verdana" w:cs="ArialMT"/>
          <w:sz w:val="18"/>
          <w:szCs w:val="18"/>
          <w:lang w:val="fi-FI" w:eastAsia="en-US"/>
        </w:rPr>
        <w:t>ulise hüperplaasia patsientidel</w:t>
      </w:r>
      <w:r w:rsidRPr="00744477">
        <w:rPr>
          <w:rFonts w:ascii="Verdana" w:hAnsi="Verdana" w:cs="ArialMT"/>
          <w:sz w:val="18"/>
          <w:szCs w:val="18"/>
          <w:lang w:val="fi-FI" w:eastAsia="en-US"/>
        </w:rPr>
        <w:t>. Tulemus</w:t>
      </w:r>
      <w:r>
        <w:rPr>
          <w:rFonts w:ascii="Verdana" w:hAnsi="Verdana" w:cs="ArialMT"/>
          <w:sz w:val="18"/>
          <w:szCs w:val="18"/>
          <w:lang w:val="fi-FI" w:eastAsia="en-US"/>
        </w:rPr>
        <w:t>tes leiti, et väike jääkuiriin (&lt; 100ml) on seotud KNHga ja võ</w:t>
      </w:r>
      <w:r w:rsidRPr="00744477">
        <w:rPr>
          <w:rFonts w:ascii="Verdana" w:hAnsi="Verdana" w:cs="ArialMT"/>
          <w:sz w:val="18"/>
          <w:szCs w:val="18"/>
          <w:lang w:val="fi-FI" w:eastAsia="en-US"/>
        </w:rPr>
        <w:t xml:space="preserve">ib olla KNH kujunemise riskiteguriks.  </w:t>
      </w:r>
    </w:p>
    <w:p w14:paraId="7C060B4D" w14:textId="77777777" w:rsidR="00213E48" w:rsidRPr="00744477" w:rsidRDefault="00213E48" w:rsidP="005A51BC">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sz w:val="18"/>
          <w:szCs w:val="18"/>
          <w:lang w:val="fi-FI" w:eastAsia="en-US"/>
        </w:rPr>
      </w:pPr>
      <w:r w:rsidRPr="00744477">
        <w:rPr>
          <w:rFonts w:ascii="Verdana" w:hAnsi="Verdana" w:cs="ArialMT"/>
          <w:sz w:val="18"/>
          <w:szCs w:val="18"/>
          <w:lang w:val="fi-FI" w:eastAsia="en-US"/>
        </w:rPr>
        <w:t>Ühes uuemas uuringus on hinnatud GFRi ja  alumiste kuseteede sümptomitega (LUTS skoori järgi) keskealisi mehi. Uuringus on kasutatud eesnäärme ultraheliuuringut</w:t>
      </w:r>
      <w:r>
        <w:rPr>
          <w:rFonts w:ascii="Verdana" w:hAnsi="Verdana" w:cs="ArialMT"/>
          <w:sz w:val="18"/>
          <w:szCs w:val="18"/>
          <w:lang w:val="fi-FI" w:eastAsia="en-US"/>
        </w:rPr>
        <w:t>, jääkuriini ja uriini voolukiir</w:t>
      </w:r>
      <w:r w:rsidRPr="00744477">
        <w:rPr>
          <w:rFonts w:ascii="Verdana" w:hAnsi="Verdana" w:cs="ArialMT"/>
          <w:sz w:val="18"/>
          <w:szCs w:val="18"/>
          <w:lang w:val="fi-FI" w:eastAsia="en-US"/>
        </w:rPr>
        <w:t>use mõõtmist. Tulemustes leiti, et GFRi langusega oli oluliselt seotud ainult langenud uriini voolukiirus. Puudus oluline seos langenud GFR koos suurenenud eesnäärmega</w:t>
      </w:r>
      <w:r>
        <w:rPr>
          <w:rFonts w:ascii="Verdana" w:hAnsi="Verdana" w:cs="ArialMT"/>
          <w:sz w:val="18"/>
          <w:szCs w:val="18"/>
          <w:lang w:val="fi-FI" w:eastAsia="en-US"/>
        </w:rPr>
        <w:t xml:space="preserve"> </w:t>
      </w:r>
      <w:r w:rsidRPr="00744477">
        <w:rPr>
          <w:rFonts w:ascii="Verdana" w:hAnsi="Verdana" w:cs="ArialMT"/>
          <w:sz w:val="18"/>
          <w:szCs w:val="18"/>
          <w:lang w:val="fi-FI" w:eastAsia="en-US"/>
        </w:rPr>
        <w:t xml:space="preserve">ja jääkuriini hulga vahel. Uuringu puuduseks oli asjaolu, et ultraheliuuringut ei kasutatud kõikidel patsientidel eesnäärme suuruse määramiseks. </w:t>
      </w:r>
    </w:p>
    <w:p w14:paraId="721C6007" w14:textId="77777777" w:rsidR="00213E48" w:rsidRPr="00744477" w:rsidRDefault="00213E48" w:rsidP="005A51BC">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sz w:val="18"/>
          <w:szCs w:val="18"/>
          <w:lang w:val="fi-FI" w:eastAsia="en-US"/>
        </w:rPr>
      </w:pPr>
      <w:r w:rsidRPr="00744477">
        <w:rPr>
          <w:rFonts w:ascii="Verdana" w:hAnsi="Verdana" w:cs="ArialMT"/>
          <w:sz w:val="18"/>
          <w:szCs w:val="18"/>
          <w:lang w:val="fi-FI" w:eastAsia="en-US"/>
        </w:rPr>
        <w:t>Uuemaid süstemaatilisi ülevaateid günekoloogilise kontrolli kohta KNH haigetel ning KNHga seoste leidmiseks andmebaasidest ei leitud. On olemas uus ravijuhend günekoloogilise läbivaatuse kohta üldpopulatsioonis. Eraldi KNH patsiendid pole ravijuhendis käsitletud.</w:t>
      </w:r>
    </w:p>
    <w:p w14:paraId="3B19F2A3" w14:textId="77777777" w:rsidR="00213E48" w:rsidRPr="00042FF2" w:rsidRDefault="00213E48" w:rsidP="005A51BC">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dvTTc9c3bd71"/>
          <w:i/>
          <w:color w:val="000080"/>
          <w:sz w:val="18"/>
          <w:szCs w:val="18"/>
        </w:rPr>
      </w:pPr>
    </w:p>
    <w:p w14:paraId="15EABE8E" w14:textId="77777777" w:rsidR="00213E48" w:rsidRPr="002D065A" w:rsidRDefault="00213E48" w:rsidP="005A51BC">
      <w:pPr>
        <w:autoSpaceDE w:val="0"/>
        <w:autoSpaceDN w:val="0"/>
        <w:adjustRightInd w:val="0"/>
        <w:jc w:val="both"/>
        <w:rPr>
          <w:rFonts w:ascii="Verdana" w:hAnsi="Verdana" w:cs="ArialMT"/>
          <w:b/>
          <w:color w:val="000080"/>
          <w:sz w:val="18"/>
          <w:szCs w:val="18"/>
          <w:lang w:val="fi-FI" w:eastAsia="en-US"/>
        </w:rPr>
      </w:pPr>
    </w:p>
    <w:p w14:paraId="701DF9AC" w14:textId="77777777" w:rsidR="00213E48" w:rsidRPr="002D065A" w:rsidRDefault="00213E48" w:rsidP="005A51BC">
      <w:pPr>
        <w:autoSpaceDE w:val="0"/>
        <w:autoSpaceDN w:val="0"/>
        <w:adjustRightInd w:val="0"/>
        <w:jc w:val="both"/>
        <w:rPr>
          <w:rFonts w:ascii="Verdana" w:hAnsi="Verdana" w:cs="ArialMT"/>
          <w:b/>
          <w:color w:val="000080"/>
          <w:sz w:val="18"/>
          <w:szCs w:val="18"/>
          <w:lang w:val="fi-FI" w:eastAsia="en-US"/>
        </w:rPr>
      </w:pPr>
      <w:r w:rsidRPr="002D065A">
        <w:rPr>
          <w:rFonts w:ascii="Verdana" w:hAnsi="Verdana" w:cs="ArialMT"/>
          <w:b/>
          <w:color w:val="000080"/>
          <w:sz w:val="18"/>
          <w:szCs w:val="18"/>
          <w:lang w:val="fi-FI" w:eastAsia="en-US"/>
        </w:rPr>
        <w:t>Viited</w:t>
      </w:r>
    </w:p>
    <w:p w14:paraId="4CCCF7A2" w14:textId="77777777" w:rsidR="00213E48" w:rsidRPr="002D065A" w:rsidRDefault="00213E48" w:rsidP="005A51BC">
      <w:pPr>
        <w:autoSpaceDE w:val="0"/>
        <w:autoSpaceDN w:val="0"/>
        <w:adjustRightInd w:val="0"/>
        <w:jc w:val="both"/>
        <w:rPr>
          <w:rFonts w:ascii="Verdana" w:hAnsi="Verdana" w:cs="ArialMT"/>
          <w:color w:val="000080"/>
          <w:sz w:val="18"/>
          <w:szCs w:val="18"/>
          <w:lang w:val="fi-FI" w:eastAsia="en-US"/>
        </w:rPr>
      </w:pPr>
    </w:p>
    <w:tbl>
      <w:tblPr>
        <w:tblW w:w="11199" w:type="dxa"/>
        <w:tblInd w:w="-102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2694"/>
        <w:gridCol w:w="8505"/>
      </w:tblGrid>
      <w:tr w:rsidR="00213E48" w:rsidRPr="00FE17E8" w14:paraId="7E56D19E" w14:textId="77777777">
        <w:tc>
          <w:tcPr>
            <w:tcW w:w="2694" w:type="dxa"/>
          </w:tcPr>
          <w:p w14:paraId="365B17AD" w14:textId="77777777" w:rsidR="00213E48" w:rsidRPr="002D065A" w:rsidRDefault="00213E48" w:rsidP="005A51BC">
            <w:pPr>
              <w:spacing w:before="75" w:after="225"/>
              <w:rPr>
                <w:rFonts w:ascii="Verdana" w:hAnsi="Verdana" w:cs="Arial"/>
                <w:b/>
                <w:color w:val="000080"/>
                <w:sz w:val="18"/>
                <w:szCs w:val="18"/>
                <w:lang w:val="fi-FI"/>
              </w:rPr>
            </w:pPr>
            <w:r w:rsidRPr="002D065A">
              <w:rPr>
                <w:rFonts w:ascii="Verdana" w:hAnsi="Verdana" w:cs="Arial"/>
                <w:b/>
                <w:color w:val="000080"/>
                <w:sz w:val="18"/>
                <w:szCs w:val="18"/>
                <w:lang w:val="fi-FI"/>
              </w:rPr>
              <w:t>Kokkuvõtte (abstract või kokkuvõtlikum info)</w:t>
            </w:r>
          </w:p>
        </w:tc>
        <w:tc>
          <w:tcPr>
            <w:tcW w:w="8505" w:type="dxa"/>
          </w:tcPr>
          <w:p w14:paraId="228595F2" w14:textId="77777777" w:rsidR="00213E48" w:rsidRPr="00832974" w:rsidRDefault="00213E48" w:rsidP="005A51BC">
            <w:pPr>
              <w:spacing w:before="75" w:after="225"/>
              <w:rPr>
                <w:rFonts w:ascii="Verdana" w:hAnsi="Verdana" w:cs="Arial"/>
                <w:b/>
                <w:color w:val="000080"/>
                <w:sz w:val="18"/>
                <w:szCs w:val="18"/>
                <w:lang w:val="en-US"/>
              </w:rPr>
            </w:pPr>
            <w:r>
              <w:rPr>
                <w:rFonts w:ascii="Verdana" w:hAnsi="Verdana" w:cs="Arial"/>
                <w:b/>
                <w:bCs/>
                <w:color w:val="000080"/>
                <w:sz w:val="18"/>
                <w:szCs w:val="18"/>
                <w:lang w:val="en-US"/>
              </w:rPr>
              <w:t>Viide kirjandusallikale</w:t>
            </w:r>
          </w:p>
        </w:tc>
      </w:tr>
      <w:tr w:rsidR="00213E48" w:rsidRPr="00FE17E8" w14:paraId="52897045" w14:textId="77777777">
        <w:tc>
          <w:tcPr>
            <w:tcW w:w="2694" w:type="dxa"/>
          </w:tcPr>
          <w:p w14:paraId="5CC1FD38" w14:textId="77777777" w:rsidR="00213E48" w:rsidRPr="0008744A" w:rsidRDefault="00213E48" w:rsidP="005A51BC">
            <w:pPr>
              <w:pStyle w:val="Heading1"/>
              <w:spacing w:before="2" w:after="2"/>
              <w:rPr>
                <w:rFonts w:ascii="Verdana" w:hAnsi="Verdana"/>
                <w:sz w:val="18"/>
              </w:rPr>
            </w:pPr>
            <w:r w:rsidRPr="0008744A">
              <w:rPr>
                <w:rStyle w:val="highlight"/>
                <w:rFonts w:ascii="Verdana" w:hAnsi="Verdana"/>
                <w:sz w:val="18"/>
              </w:rPr>
              <w:t>1. Differences</w:t>
            </w:r>
            <w:r w:rsidRPr="0008744A">
              <w:rPr>
                <w:rFonts w:ascii="Verdana" w:hAnsi="Verdana"/>
                <w:sz w:val="18"/>
              </w:rPr>
              <w:t xml:space="preserve"> in </w:t>
            </w:r>
            <w:r w:rsidRPr="0008744A">
              <w:rPr>
                <w:rStyle w:val="highlight"/>
                <w:rFonts w:ascii="Verdana" w:hAnsi="Verdana"/>
                <w:sz w:val="18"/>
              </w:rPr>
              <w:t>prostate</w:t>
            </w:r>
            <w:r w:rsidRPr="0008744A">
              <w:rPr>
                <w:rFonts w:ascii="Verdana" w:hAnsi="Verdana"/>
                <w:sz w:val="18"/>
              </w:rPr>
              <w:t xml:space="preserve"> </w:t>
            </w:r>
            <w:r w:rsidRPr="0008744A">
              <w:rPr>
                <w:rStyle w:val="highlight"/>
                <w:rFonts w:ascii="Verdana" w:hAnsi="Verdana"/>
                <w:sz w:val="18"/>
              </w:rPr>
              <w:t>cancer</w:t>
            </w:r>
            <w:r w:rsidRPr="0008744A">
              <w:rPr>
                <w:rFonts w:ascii="Verdana" w:hAnsi="Verdana"/>
                <w:sz w:val="18"/>
              </w:rPr>
              <w:t xml:space="preserve"> </w:t>
            </w:r>
            <w:r w:rsidRPr="0008744A">
              <w:rPr>
                <w:rStyle w:val="highlight"/>
                <w:rFonts w:ascii="Verdana" w:hAnsi="Verdana"/>
                <w:sz w:val="18"/>
              </w:rPr>
              <w:t>detection</w:t>
            </w:r>
            <w:r w:rsidRPr="0008744A">
              <w:rPr>
                <w:rFonts w:ascii="Verdana" w:hAnsi="Verdana"/>
                <w:sz w:val="18"/>
              </w:rPr>
              <w:t xml:space="preserve"> </w:t>
            </w:r>
            <w:r w:rsidRPr="0008744A">
              <w:rPr>
                <w:rStyle w:val="highlight"/>
                <w:rFonts w:ascii="Verdana" w:hAnsi="Verdana"/>
                <w:sz w:val="18"/>
              </w:rPr>
              <w:t>rates</w:t>
            </w:r>
            <w:r w:rsidRPr="0008744A">
              <w:rPr>
                <w:rFonts w:ascii="Verdana" w:hAnsi="Verdana"/>
                <w:sz w:val="18"/>
              </w:rPr>
              <w:t xml:space="preserve"> </w:t>
            </w:r>
            <w:r w:rsidRPr="0008744A">
              <w:rPr>
                <w:rStyle w:val="highlight"/>
                <w:rFonts w:ascii="Verdana" w:hAnsi="Verdana"/>
                <w:sz w:val="18"/>
              </w:rPr>
              <w:t>according</w:t>
            </w:r>
            <w:r w:rsidRPr="0008744A">
              <w:rPr>
                <w:rFonts w:ascii="Verdana" w:hAnsi="Verdana"/>
                <w:sz w:val="18"/>
              </w:rPr>
              <w:t xml:space="preserve"> to the </w:t>
            </w:r>
            <w:r w:rsidRPr="0008744A">
              <w:rPr>
                <w:rStyle w:val="highlight"/>
                <w:rFonts w:ascii="Verdana" w:hAnsi="Verdana"/>
                <w:sz w:val="18"/>
              </w:rPr>
              <w:t>level</w:t>
            </w:r>
            <w:r w:rsidRPr="0008744A">
              <w:rPr>
                <w:rFonts w:ascii="Verdana" w:hAnsi="Verdana"/>
                <w:sz w:val="18"/>
              </w:rPr>
              <w:t xml:space="preserve"> of </w:t>
            </w:r>
            <w:r w:rsidRPr="0008744A">
              <w:rPr>
                <w:rStyle w:val="highlight"/>
                <w:rFonts w:ascii="Verdana" w:hAnsi="Verdana"/>
                <w:sz w:val="18"/>
              </w:rPr>
              <w:t>glomerular</w:t>
            </w:r>
            <w:r w:rsidRPr="0008744A">
              <w:rPr>
                <w:rFonts w:ascii="Verdana" w:hAnsi="Verdana"/>
                <w:sz w:val="18"/>
              </w:rPr>
              <w:t xml:space="preserve"> filtration </w:t>
            </w:r>
            <w:r w:rsidRPr="0008744A">
              <w:rPr>
                <w:rStyle w:val="highlight"/>
                <w:rFonts w:ascii="Verdana" w:hAnsi="Verdana"/>
                <w:sz w:val="18"/>
              </w:rPr>
              <w:lastRenderedPageBreak/>
              <w:t>rate</w:t>
            </w:r>
            <w:r w:rsidRPr="0008744A">
              <w:rPr>
                <w:rFonts w:ascii="Verdana" w:hAnsi="Verdana"/>
                <w:sz w:val="18"/>
              </w:rPr>
              <w:t xml:space="preserve"> in patients with </w:t>
            </w:r>
            <w:r w:rsidRPr="0008744A">
              <w:rPr>
                <w:rStyle w:val="highlight"/>
                <w:rFonts w:ascii="Verdana" w:hAnsi="Verdana"/>
                <w:sz w:val="18"/>
              </w:rPr>
              <w:t>prostate</w:t>
            </w:r>
            <w:r w:rsidRPr="0008744A">
              <w:rPr>
                <w:rFonts w:ascii="Verdana" w:hAnsi="Verdana"/>
                <w:sz w:val="18"/>
              </w:rPr>
              <w:t xml:space="preserve"> specific antigen levels of 4.0-10.0 ng/ml (2013)</w:t>
            </w:r>
          </w:p>
        </w:tc>
        <w:tc>
          <w:tcPr>
            <w:tcW w:w="8505" w:type="dxa"/>
          </w:tcPr>
          <w:p w14:paraId="1E6B26F7" w14:textId="77777777" w:rsidR="00213E48" w:rsidRDefault="00213E48" w:rsidP="005A51BC">
            <w:pPr>
              <w:autoSpaceDE w:val="0"/>
              <w:autoSpaceDN w:val="0"/>
              <w:adjustRightInd w:val="0"/>
              <w:ind w:firstLine="20"/>
              <w:jc w:val="both"/>
              <w:rPr>
                <w:rFonts w:ascii="Verdana" w:hAnsi="Verdana"/>
                <w:sz w:val="18"/>
                <w:szCs w:val="20"/>
                <w:lang w:val="ru-RU" w:eastAsia="en-US"/>
              </w:rPr>
            </w:pPr>
            <w:r w:rsidRPr="009663D6">
              <w:rPr>
                <w:rFonts w:ascii="Verdana" w:hAnsi="Verdana"/>
                <w:b/>
                <w:sz w:val="18"/>
              </w:rPr>
              <w:lastRenderedPageBreak/>
              <w:t>Aims:</w:t>
            </w:r>
            <w:r w:rsidRPr="009663D6">
              <w:rPr>
                <w:rFonts w:ascii="Verdana" w:hAnsi="Verdana"/>
                <w:sz w:val="18"/>
              </w:rPr>
              <w:t xml:space="preserve"> To investigate differences in prostate cancer detection rates according to the level of glomerular filtration rates (GFR).</w:t>
            </w:r>
            <w:r>
              <w:rPr>
                <w:rFonts w:ascii="Verdana" w:hAnsi="Verdana" w:cs="SabonLTStd-Roman"/>
                <w:sz w:val="18"/>
                <w:szCs w:val="18"/>
              </w:rPr>
              <w:t xml:space="preserve"> </w:t>
            </w:r>
            <w:r w:rsidRPr="00E20BD7">
              <w:rPr>
                <w:rFonts w:ascii="Verdana" w:hAnsi="Verdana"/>
                <w:b/>
                <w:sz w:val="18"/>
              </w:rPr>
              <w:t>Materials and methods:</w:t>
            </w:r>
            <w:r w:rsidRPr="00E20BD7">
              <w:rPr>
                <w:rFonts w:ascii="Verdana" w:hAnsi="Verdana"/>
                <w:sz w:val="18"/>
              </w:rPr>
              <w:t xml:space="preserve"> Patients with prostate-specific antigen (PSA) levels of 4.0–10.0 ng/ml were analysed. Age, serum creatinine, estimated GFR, body mass index, total PSA (tPSA), free PSA (fPSA), per cent free PSA (%fPSA), comorbidities, biopsy Gleason sum and per cent positive core were retrospectively reviewed. All parameters were compared to show whether patients with </w:t>
            </w:r>
            <w:r w:rsidRPr="00E20BD7">
              <w:rPr>
                <w:rFonts w:ascii="Verdana" w:hAnsi="Verdana"/>
                <w:sz w:val="18"/>
              </w:rPr>
              <w:lastRenderedPageBreak/>
              <w:t>GFR &lt; 60 ml/min/1.73 m</w:t>
            </w:r>
            <w:r w:rsidRPr="00E20BD7">
              <w:rPr>
                <w:rFonts w:ascii="Verdana" w:hAnsi="Verdana"/>
                <w:sz w:val="18"/>
                <w:vertAlign w:val="superscript"/>
              </w:rPr>
              <w:t>2</w:t>
            </w:r>
            <w:r w:rsidRPr="00E20BD7">
              <w:rPr>
                <w:rFonts w:ascii="Verdana" w:hAnsi="Verdana"/>
                <w:sz w:val="18"/>
              </w:rPr>
              <w:t xml:space="preserve"> (group A) have higher risk of prostate cancer than patients with GFR ≥ 60 (group B). The primary endpoint was cancer detection rate and the secondary endpoints were differences in mean tPSA, fPSA, %fPSA and pathologic outcomes.</w:t>
            </w:r>
            <w:r>
              <w:rPr>
                <w:rFonts w:ascii="Verdana" w:hAnsi="Verdana"/>
                <w:sz w:val="18"/>
              </w:rPr>
              <w:t xml:space="preserve"> </w:t>
            </w:r>
            <w:r w:rsidRPr="009663D6">
              <w:rPr>
                <w:rFonts w:ascii="Verdana" w:hAnsi="Verdana"/>
                <w:b/>
                <w:sz w:val="18"/>
                <w:szCs w:val="20"/>
                <w:lang w:val="ru-RU" w:eastAsia="en-US"/>
              </w:rPr>
              <w:t>Results:</w:t>
            </w:r>
            <w:r w:rsidRPr="009663D6">
              <w:rPr>
                <w:rFonts w:ascii="Verdana" w:hAnsi="Verdana"/>
                <w:sz w:val="18"/>
                <w:szCs w:val="20"/>
                <w:lang w:val="ru-RU" w:eastAsia="en-US"/>
              </w:rPr>
              <w:t xml:space="preserve"> A total of </w:t>
            </w:r>
            <w:r w:rsidRPr="001F315C">
              <w:rPr>
                <w:rFonts w:ascii="Verdana" w:hAnsi="Verdana"/>
                <w:b/>
                <w:sz w:val="18"/>
                <w:szCs w:val="20"/>
                <w:lang w:val="ru-RU" w:eastAsia="en-US"/>
              </w:rPr>
              <w:t>1092 men</w:t>
            </w:r>
            <w:r w:rsidRPr="009663D6">
              <w:rPr>
                <w:rFonts w:ascii="Verdana" w:hAnsi="Verdana"/>
                <w:sz w:val="18"/>
                <w:szCs w:val="20"/>
                <w:lang w:val="ru-RU" w:eastAsia="en-US"/>
              </w:rPr>
              <w:t xml:space="preserve"> (243 cancer patients) were included. Mean age was 65.8 ± 7.7years. No differences in mean age and tPSA were found between groups A and B. Mean fPSA, %fPSA and cancer detection rate were significantly higher in group A than group B. The incidence of %fPSA &lt; 25% was significantly lower in group A than in group B. </w:t>
            </w:r>
            <w:r w:rsidRPr="00605643">
              <w:rPr>
                <w:rFonts w:ascii="Verdana" w:hAnsi="Verdana"/>
                <w:b/>
                <w:sz w:val="18"/>
                <w:szCs w:val="20"/>
                <w:u w:val="single"/>
                <w:lang w:val="ru-RU" w:eastAsia="en-US"/>
              </w:rPr>
              <w:t>GFR &lt; 60 ml/min/1.73 m</w:t>
            </w:r>
            <w:r w:rsidRPr="00605643">
              <w:rPr>
                <w:rFonts w:ascii="Verdana" w:hAnsi="Verdana"/>
                <w:b/>
                <w:sz w:val="18"/>
                <w:szCs w:val="20"/>
                <w:u w:val="single"/>
                <w:vertAlign w:val="superscript"/>
                <w:lang w:val="ru-RU" w:eastAsia="en-US"/>
              </w:rPr>
              <w:t>2</w:t>
            </w:r>
            <w:r w:rsidRPr="00605643">
              <w:rPr>
                <w:rFonts w:ascii="Verdana" w:hAnsi="Verdana"/>
                <w:b/>
                <w:sz w:val="18"/>
                <w:szCs w:val="20"/>
                <w:u w:val="single"/>
                <w:lang w:val="ru-RU" w:eastAsia="en-US"/>
              </w:rPr>
              <w:t>, fPSA and %fPSA &lt; 25% were significant predictors for the presence of prostate cancer in patients with tPSA between 4 and 10 ng/ml. However, %fPSA &lt; 25% was not a significant predictor for group A</w:t>
            </w:r>
            <w:r w:rsidRPr="00605643">
              <w:rPr>
                <w:rFonts w:ascii="Verdana" w:hAnsi="Verdana"/>
                <w:b/>
                <w:sz w:val="18"/>
                <w:szCs w:val="20"/>
                <w:lang w:val="ru-RU" w:eastAsia="en-US"/>
              </w:rPr>
              <w:t xml:space="preserve">. </w:t>
            </w:r>
            <w:r w:rsidRPr="009663D6">
              <w:rPr>
                <w:rFonts w:ascii="Verdana" w:hAnsi="Verdana"/>
                <w:b/>
                <w:sz w:val="18"/>
                <w:szCs w:val="20"/>
                <w:lang w:val="ru-RU" w:eastAsia="en-US"/>
              </w:rPr>
              <w:t>Conclusions:</w:t>
            </w:r>
            <w:r w:rsidRPr="009663D6">
              <w:rPr>
                <w:rFonts w:ascii="Verdana" w:hAnsi="Verdana"/>
                <w:sz w:val="18"/>
                <w:szCs w:val="20"/>
                <w:lang w:val="ru-RU" w:eastAsia="en-US"/>
              </w:rPr>
              <w:t xml:space="preserve"> Because of the increased cancer detection rates in patients with CKD of stage ≥ 3 whose tPSA levels are 4.0–10.0 ng/ml, performing prostate biopsy should be actively considered in patients with</w:t>
            </w:r>
            <w:r w:rsidRPr="007231B0">
              <w:rPr>
                <w:rFonts w:ascii="Verdana" w:hAnsi="Verdana"/>
                <w:color w:val="17365D"/>
                <w:sz w:val="18"/>
                <w:szCs w:val="20"/>
                <w:lang w:val="ru-RU" w:eastAsia="en-US"/>
              </w:rPr>
              <w:t xml:space="preserve"> </w:t>
            </w:r>
            <w:r w:rsidRPr="009663D6">
              <w:rPr>
                <w:rFonts w:ascii="Verdana" w:hAnsi="Verdana"/>
                <w:sz w:val="18"/>
                <w:szCs w:val="20"/>
                <w:lang w:val="ru-RU" w:eastAsia="en-US"/>
              </w:rPr>
              <w:t xml:space="preserve">CKD. </w:t>
            </w:r>
            <w:r w:rsidRPr="009663D6">
              <w:rPr>
                <w:rFonts w:ascii="Verdana" w:hAnsi="Verdana"/>
                <w:b/>
                <w:sz w:val="18"/>
                <w:szCs w:val="20"/>
                <w:lang w:val="ru-RU" w:eastAsia="en-US"/>
              </w:rPr>
              <w:t>Limitations:</w:t>
            </w:r>
            <w:r w:rsidRPr="009663D6">
              <w:rPr>
                <w:rFonts w:ascii="Verdana" w:hAnsi="Verdana"/>
                <w:sz w:val="18"/>
                <w:szCs w:val="20"/>
                <w:lang w:val="ru-RU" w:eastAsia="en-US"/>
              </w:rPr>
              <w:t xml:space="preserve"> retrospective nature of the analyses of the clinical parameters. Although serum creatinine concentrations (or estimated GFR) are widely accepted as one of the important measurements of kidney function, they are not completely reliable because serum creatinine levels can be influenced by not only renal function but also other many clinical factors. The findings of this study are based on an entirely Asian population and therefore may not be relevant for the general population.</w:t>
            </w:r>
          </w:p>
          <w:p w14:paraId="14E26F32" w14:textId="77777777" w:rsidR="00213E48" w:rsidRPr="00605643" w:rsidRDefault="00213E48" w:rsidP="005A51BC">
            <w:pPr>
              <w:autoSpaceDE w:val="0"/>
              <w:autoSpaceDN w:val="0"/>
              <w:adjustRightInd w:val="0"/>
              <w:jc w:val="both"/>
              <w:rPr>
                <w:sz w:val="18"/>
                <w:szCs w:val="20"/>
                <w:lang w:val="ru-RU" w:eastAsia="en-US"/>
              </w:rPr>
            </w:pPr>
            <w:r>
              <w:rPr>
                <w:sz w:val="18"/>
                <w:szCs w:val="20"/>
                <w:lang w:val="ru-RU" w:eastAsia="en-US"/>
              </w:rPr>
              <w:t xml:space="preserve"> </w:t>
            </w:r>
            <w:r w:rsidRPr="007231B0">
              <w:rPr>
                <w:rFonts w:ascii="Verdana" w:hAnsi="Verdana"/>
                <w:color w:val="17365D"/>
                <w:sz w:val="18"/>
                <w:szCs w:val="20"/>
                <w:lang w:val="ru-RU" w:eastAsia="en-US"/>
              </w:rPr>
              <w:t xml:space="preserve"> </w:t>
            </w:r>
          </w:p>
          <w:p w14:paraId="7CBC3256" w14:textId="77777777" w:rsidR="00213E48" w:rsidRDefault="00881875" w:rsidP="005A51BC">
            <w:pPr>
              <w:autoSpaceDE w:val="0"/>
              <w:autoSpaceDN w:val="0"/>
              <w:adjustRightInd w:val="0"/>
              <w:ind w:firstLine="20"/>
              <w:rPr>
                <w:rFonts w:ascii="Verdana" w:hAnsi="Verdana" w:cs="SabonLTStd-Roman"/>
                <w:color w:val="000080"/>
                <w:sz w:val="18"/>
                <w:szCs w:val="18"/>
              </w:rPr>
            </w:pPr>
            <w:hyperlink r:id="rId10" w:history="1">
              <w:r w:rsidR="00213E48" w:rsidRPr="00925471">
                <w:rPr>
                  <w:rStyle w:val="Hyperlink"/>
                  <w:rFonts w:ascii="Verdana" w:hAnsi="Verdana" w:cs="SabonLTStd-Roman"/>
                  <w:sz w:val="18"/>
                  <w:szCs w:val="18"/>
                </w:rPr>
                <w:t>http://onlinelibrary.wiley.com/doi/10.1111/j.1742-1241.2012.03014.x/abstract;jsessionid=415D5ED2C6A92909EE36433B5A0FA256.f03t04</w:t>
              </w:r>
            </w:hyperlink>
          </w:p>
          <w:p w14:paraId="73BB6F43" w14:textId="77777777" w:rsidR="00213E48" w:rsidRPr="00925471" w:rsidRDefault="00213E48" w:rsidP="005A51BC">
            <w:pPr>
              <w:autoSpaceDE w:val="0"/>
              <w:autoSpaceDN w:val="0"/>
              <w:adjustRightInd w:val="0"/>
              <w:ind w:firstLine="20"/>
              <w:rPr>
                <w:rFonts w:ascii="Verdana" w:hAnsi="Verdana" w:cs="SabonLTStd-Roman"/>
                <w:color w:val="000080"/>
                <w:sz w:val="18"/>
                <w:szCs w:val="18"/>
              </w:rPr>
            </w:pPr>
          </w:p>
        </w:tc>
      </w:tr>
      <w:tr w:rsidR="00213E48" w:rsidRPr="00FE17E8" w14:paraId="15DE42DA" w14:textId="77777777">
        <w:tc>
          <w:tcPr>
            <w:tcW w:w="2694" w:type="dxa"/>
          </w:tcPr>
          <w:p w14:paraId="38757D8F" w14:textId="77777777" w:rsidR="00213E48" w:rsidRPr="0008744A" w:rsidRDefault="00213E48" w:rsidP="005A51BC">
            <w:pPr>
              <w:pStyle w:val="Heading1"/>
              <w:spacing w:before="2" w:after="2"/>
              <w:jc w:val="both"/>
              <w:rPr>
                <w:rFonts w:ascii="Verdana" w:hAnsi="Verdana"/>
                <w:sz w:val="18"/>
              </w:rPr>
            </w:pPr>
            <w:r w:rsidRPr="0008744A">
              <w:rPr>
                <w:rFonts w:ascii="Verdana" w:hAnsi="Verdana"/>
                <w:sz w:val="18"/>
              </w:rPr>
              <w:lastRenderedPageBreak/>
              <w:t>2. Increase in percent free prostate-specific antigen in men with chronic kidney disease (2009)</w:t>
            </w:r>
          </w:p>
          <w:p w14:paraId="49805415" w14:textId="77777777" w:rsidR="00213E48" w:rsidRPr="00AC2F0F" w:rsidRDefault="00213E48" w:rsidP="005A51BC">
            <w:pPr>
              <w:rPr>
                <w:rFonts w:ascii="Verdana" w:hAnsi="Verdana" w:cs="Arial"/>
                <w:color w:val="000080"/>
                <w:sz w:val="18"/>
                <w:szCs w:val="18"/>
                <w:lang w:val="en-US"/>
              </w:rPr>
            </w:pPr>
          </w:p>
        </w:tc>
        <w:tc>
          <w:tcPr>
            <w:tcW w:w="8505" w:type="dxa"/>
          </w:tcPr>
          <w:p w14:paraId="085BA25D" w14:textId="77777777" w:rsidR="00213E48" w:rsidRPr="009663D6" w:rsidRDefault="00213E48" w:rsidP="00E94038">
            <w:pPr>
              <w:spacing w:beforeLines="1" w:before="2" w:afterLines="1" w:after="2"/>
              <w:jc w:val="both"/>
              <w:rPr>
                <w:rFonts w:ascii="Verdana" w:hAnsi="Verdana"/>
                <w:sz w:val="18"/>
              </w:rPr>
            </w:pPr>
            <w:r w:rsidRPr="009663D6">
              <w:rPr>
                <w:rFonts w:ascii="Verdana" w:hAnsi="Verdana"/>
                <w:b/>
                <w:sz w:val="18"/>
                <w:szCs w:val="20"/>
                <w:lang w:val="ru-RU" w:eastAsia="en-US"/>
              </w:rPr>
              <w:t xml:space="preserve">Aim. </w:t>
            </w:r>
            <w:r w:rsidRPr="009663D6">
              <w:rPr>
                <w:rFonts w:ascii="Verdana" w:hAnsi="Verdana"/>
                <w:sz w:val="18"/>
              </w:rPr>
              <w:t>In this study, we evaluated whether moderate-to-severe chronic renal dysfunction, but with no need for dialysis, also importantly affects percent fPSA.</w:t>
            </w:r>
          </w:p>
          <w:p w14:paraId="0846F87A" w14:textId="77777777" w:rsidR="00213E48" w:rsidRPr="0056177C" w:rsidRDefault="00213E48" w:rsidP="00E94038">
            <w:pPr>
              <w:spacing w:beforeLines="1" w:before="2" w:afterLines="1" w:after="2"/>
              <w:jc w:val="both"/>
              <w:rPr>
                <w:rFonts w:ascii="Verdana" w:hAnsi="Verdana"/>
                <w:b/>
                <w:sz w:val="18"/>
                <w:szCs w:val="20"/>
                <w:lang w:val="ru-RU" w:eastAsia="en-US"/>
              </w:rPr>
            </w:pPr>
            <w:r w:rsidRPr="009663D6">
              <w:rPr>
                <w:rFonts w:ascii="Verdana" w:hAnsi="Verdana"/>
                <w:b/>
                <w:sz w:val="18"/>
                <w:szCs w:val="20"/>
                <w:lang w:val="ru-RU" w:eastAsia="en-US"/>
              </w:rPr>
              <w:t>Methods.</w:t>
            </w:r>
            <w:r w:rsidRPr="009663D6">
              <w:rPr>
                <w:rFonts w:ascii="Verdana" w:hAnsi="Verdana"/>
                <w:sz w:val="18"/>
                <w:szCs w:val="20"/>
                <w:lang w:val="ru-RU" w:eastAsia="en-US"/>
              </w:rPr>
              <w:t xml:space="preserve"> The study group consisted of </w:t>
            </w:r>
            <w:r w:rsidRPr="001C4933">
              <w:rPr>
                <w:rFonts w:ascii="Verdana" w:hAnsi="Verdana"/>
                <w:b/>
                <w:sz w:val="18"/>
                <w:szCs w:val="20"/>
                <w:lang w:val="ru-RU" w:eastAsia="en-US"/>
              </w:rPr>
              <w:t>101 men</w:t>
            </w:r>
            <w:r w:rsidRPr="009663D6">
              <w:rPr>
                <w:rFonts w:ascii="Verdana" w:hAnsi="Verdana"/>
                <w:sz w:val="18"/>
                <w:szCs w:val="20"/>
                <w:lang w:val="ru-RU" w:eastAsia="en-US"/>
              </w:rPr>
              <w:t xml:space="preserve"> (median age 57 years, interquartile range 46–68) with chronic kidney disease and no diagnosis of prostate cancer. Their median glomerular filtration rate (GFR) was 23 mL/min/1.73 m</w:t>
            </w:r>
            <w:r w:rsidRPr="009663D6">
              <w:rPr>
                <w:rFonts w:ascii="Verdana" w:hAnsi="Verdana"/>
                <w:sz w:val="18"/>
                <w:szCs w:val="20"/>
                <w:vertAlign w:val="superscript"/>
                <w:lang w:val="ru-RU" w:eastAsia="en-US"/>
              </w:rPr>
              <w:t>2</w:t>
            </w:r>
            <w:r w:rsidRPr="009663D6">
              <w:rPr>
                <w:rFonts w:ascii="Verdana" w:hAnsi="Verdana"/>
                <w:sz w:val="18"/>
                <w:szCs w:val="20"/>
                <w:lang w:val="ru-RU" w:eastAsia="en-US"/>
              </w:rPr>
              <w:t xml:space="preserve"> (interquartile range 16–33; range 8–83), determined by iohexol clearance. Controls included 5264 men (median age 57 years, interquartile range 54–62) attending a prostate cancer screening program with no diagnosis of prostate cancer during </w:t>
            </w:r>
            <w:r w:rsidRPr="001C4933">
              <w:rPr>
                <w:rFonts w:ascii="Verdana" w:hAnsi="Verdana"/>
                <w:b/>
                <w:sz w:val="18"/>
                <w:szCs w:val="20"/>
                <w:lang w:val="ru-RU" w:eastAsia="en-US"/>
              </w:rPr>
              <w:t>8 years of follow-up</w:t>
            </w:r>
            <w:r w:rsidRPr="009663D6">
              <w:rPr>
                <w:rFonts w:ascii="Verdana" w:hAnsi="Verdana"/>
                <w:sz w:val="18"/>
                <w:szCs w:val="20"/>
                <w:lang w:val="ru-RU" w:eastAsia="en-US"/>
              </w:rPr>
              <w:t xml:space="preserve">. </w:t>
            </w:r>
          </w:p>
          <w:p w14:paraId="21987E15" w14:textId="77777777" w:rsidR="00213E48" w:rsidRPr="009663D6" w:rsidRDefault="00213E48" w:rsidP="00E94038">
            <w:pPr>
              <w:spacing w:beforeLines="1" w:before="2" w:afterLines="1" w:after="2"/>
              <w:jc w:val="both"/>
              <w:rPr>
                <w:rFonts w:ascii="Verdana" w:hAnsi="Verdana"/>
                <w:sz w:val="18"/>
                <w:szCs w:val="20"/>
                <w:lang w:val="ru-RU" w:eastAsia="en-US"/>
              </w:rPr>
            </w:pPr>
            <w:r w:rsidRPr="009663D6">
              <w:rPr>
                <w:rFonts w:ascii="Verdana" w:hAnsi="Verdana"/>
                <w:b/>
                <w:sz w:val="18"/>
                <w:szCs w:val="20"/>
                <w:lang w:val="ru-RU" w:eastAsia="en-US"/>
              </w:rPr>
              <w:t>Results.</w:t>
            </w:r>
            <w:r w:rsidRPr="009663D6">
              <w:rPr>
                <w:rFonts w:ascii="Verdana" w:hAnsi="Verdana"/>
                <w:sz w:val="18"/>
                <w:szCs w:val="20"/>
                <w:lang w:val="ru-RU" w:eastAsia="en-US"/>
              </w:rPr>
              <w:t xml:space="preserve"> With adjustment for age, median fPSA levels and percent fPSA were significantly higher (</w:t>
            </w:r>
            <w:r w:rsidRPr="009663D6">
              <w:rPr>
                <w:rFonts w:ascii="Verdana" w:hAnsi="Verdana"/>
                <w:i/>
                <w:sz w:val="18"/>
                <w:szCs w:val="20"/>
                <w:lang w:val="ru-RU" w:eastAsia="en-US"/>
              </w:rPr>
              <w:t>P</w:t>
            </w:r>
            <w:r w:rsidRPr="009663D6">
              <w:rPr>
                <w:rFonts w:ascii="Verdana" w:hAnsi="Verdana"/>
                <w:sz w:val="18"/>
                <w:szCs w:val="20"/>
                <w:lang w:val="ru-RU" w:eastAsia="en-US"/>
              </w:rPr>
              <w:t xml:space="preserve"> &lt; 0.001) in patients with renal dysfunction, 0.45 μg/L and 47.2%, respectively, compared to controls, 0.29 μg/L and 29.9%, respectively. Regression analysis in the study group showed a significant association between GFR and percent fPSA (</w:t>
            </w:r>
            <w:r w:rsidRPr="009663D6">
              <w:rPr>
                <w:rFonts w:ascii="Verdana" w:hAnsi="Verdana"/>
                <w:i/>
                <w:sz w:val="18"/>
                <w:szCs w:val="20"/>
                <w:lang w:val="ru-RU" w:eastAsia="en-US"/>
              </w:rPr>
              <w:t>P</w:t>
            </w:r>
            <w:r w:rsidRPr="009663D6">
              <w:rPr>
                <w:rFonts w:ascii="Verdana" w:hAnsi="Verdana"/>
                <w:sz w:val="18"/>
                <w:szCs w:val="20"/>
                <w:lang w:val="ru-RU" w:eastAsia="en-US"/>
              </w:rPr>
              <w:t xml:space="preserve"> = 0.036). </w:t>
            </w:r>
          </w:p>
          <w:p w14:paraId="42349B63" w14:textId="77777777" w:rsidR="00213E48" w:rsidRPr="001C4933" w:rsidRDefault="00213E48" w:rsidP="00E94038">
            <w:pPr>
              <w:spacing w:beforeLines="1" w:before="2" w:afterLines="1" w:after="2"/>
              <w:jc w:val="both"/>
              <w:rPr>
                <w:rFonts w:ascii="Verdana" w:hAnsi="Verdana"/>
                <w:b/>
                <w:sz w:val="18"/>
                <w:szCs w:val="20"/>
                <w:lang w:val="ru-RU" w:eastAsia="en-US"/>
              </w:rPr>
            </w:pPr>
            <w:r w:rsidRPr="009663D6">
              <w:rPr>
                <w:rFonts w:ascii="Verdana" w:hAnsi="Verdana"/>
                <w:b/>
                <w:sz w:val="18"/>
                <w:szCs w:val="20"/>
                <w:lang w:val="ru-RU" w:eastAsia="en-US"/>
              </w:rPr>
              <w:t>Conclusions.</w:t>
            </w:r>
            <w:r w:rsidRPr="009663D6">
              <w:rPr>
                <w:rFonts w:ascii="Verdana" w:hAnsi="Verdana"/>
                <w:sz w:val="18"/>
                <w:szCs w:val="20"/>
                <w:lang w:val="ru-RU" w:eastAsia="en-US"/>
              </w:rPr>
              <w:t xml:space="preserve"> The percent fPSA is importantly influenced by moderately impaired renal function in men with chronic kidney disease. For such men, use of the current clinical decision limits for percent fPSA could cause some men with prostate cancer to be misdiagnosed as having benign disease, and therefore </w:t>
            </w:r>
            <w:r w:rsidRPr="001C4933">
              <w:rPr>
                <w:rFonts w:ascii="Verdana" w:hAnsi="Verdana"/>
                <w:b/>
                <w:sz w:val="18"/>
                <w:szCs w:val="20"/>
                <w:lang w:val="ru-RU" w:eastAsia="en-US"/>
              </w:rPr>
              <w:t xml:space="preserve">fPSA should not be used to diagnose prostate cancer in these patients. </w:t>
            </w:r>
          </w:p>
          <w:p w14:paraId="055DA190" w14:textId="77777777" w:rsidR="00213E48" w:rsidRPr="007231B0" w:rsidRDefault="00213E48" w:rsidP="005A51BC">
            <w:pPr>
              <w:jc w:val="both"/>
              <w:rPr>
                <w:rFonts w:ascii="Verdana" w:hAnsi="Verdana" w:cs="Arial"/>
                <w:color w:val="17365D"/>
                <w:sz w:val="18"/>
                <w:szCs w:val="18"/>
                <w:lang w:val="en-US"/>
              </w:rPr>
            </w:pPr>
          </w:p>
          <w:p w14:paraId="184D2B4B" w14:textId="77777777" w:rsidR="00213E48" w:rsidRDefault="00881875" w:rsidP="005A51BC">
            <w:pPr>
              <w:rPr>
                <w:rFonts w:ascii="Verdana" w:hAnsi="Verdana" w:cs="Arial"/>
                <w:color w:val="000080"/>
                <w:sz w:val="18"/>
                <w:szCs w:val="18"/>
                <w:lang w:val="en-US"/>
              </w:rPr>
            </w:pPr>
            <w:hyperlink r:id="rId11" w:history="1">
              <w:r w:rsidR="00213E48" w:rsidRPr="00925471">
                <w:rPr>
                  <w:rStyle w:val="Hyperlink"/>
                  <w:rFonts w:ascii="Verdana" w:hAnsi="Verdana" w:cs="Arial"/>
                  <w:sz w:val="18"/>
                  <w:szCs w:val="18"/>
                  <w:lang w:val="en-US"/>
                </w:rPr>
                <w:t>http://ndt.oxfordjournals.org/content/24/4/1238.abstract</w:t>
              </w:r>
            </w:hyperlink>
          </w:p>
          <w:p w14:paraId="4F7A5EA2" w14:textId="77777777" w:rsidR="00213E48" w:rsidRPr="00AC2F0F" w:rsidRDefault="00213E48" w:rsidP="005A51BC">
            <w:pPr>
              <w:rPr>
                <w:rFonts w:ascii="Verdana" w:hAnsi="Verdana" w:cs="Arial"/>
                <w:color w:val="000080"/>
                <w:sz w:val="18"/>
                <w:szCs w:val="18"/>
                <w:lang w:val="en-US"/>
              </w:rPr>
            </w:pPr>
          </w:p>
        </w:tc>
      </w:tr>
      <w:tr w:rsidR="00213E48" w:rsidRPr="00FE17E8" w14:paraId="0415E857" w14:textId="77777777">
        <w:tc>
          <w:tcPr>
            <w:tcW w:w="2694" w:type="dxa"/>
          </w:tcPr>
          <w:p w14:paraId="492A3FCF" w14:textId="77777777" w:rsidR="00213E48" w:rsidRPr="00E676D4" w:rsidRDefault="00213E48" w:rsidP="005A51BC">
            <w:pPr>
              <w:rPr>
                <w:rFonts w:ascii="Verdana" w:hAnsi="Verdana" w:cs="Arial"/>
                <w:b/>
                <w:color w:val="000080"/>
                <w:sz w:val="18"/>
                <w:szCs w:val="18"/>
              </w:rPr>
            </w:pPr>
            <w:r>
              <w:rPr>
                <w:rFonts w:ascii="Verdana" w:hAnsi="Verdana"/>
                <w:b/>
                <w:sz w:val="18"/>
              </w:rPr>
              <w:t xml:space="preserve">3. </w:t>
            </w:r>
            <w:r w:rsidRPr="00E676D4">
              <w:rPr>
                <w:rFonts w:ascii="Verdana" w:hAnsi="Verdana"/>
                <w:b/>
                <w:sz w:val="18"/>
              </w:rPr>
              <w:t>Association Between Glomerular Filtration Rate, Free, Total, and Percent Free Prostate-specific Antigen (2009</w:t>
            </w:r>
            <w:r>
              <w:rPr>
                <w:rFonts w:ascii="Verdana" w:hAnsi="Verdana"/>
                <w:b/>
                <w:sz w:val="18"/>
              </w:rPr>
              <w:t>)</w:t>
            </w:r>
          </w:p>
        </w:tc>
        <w:tc>
          <w:tcPr>
            <w:tcW w:w="8505" w:type="dxa"/>
          </w:tcPr>
          <w:p w14:paraId="067F385A" w14:textId="77777777" w:rsidR="00213E48" w:rsidRPr="0008744A" w:rsidRDefault="00213E48" w:rsidP="005A51BC">
            <w:pPr>
              <w:pStyle w:val="Heading3"/>
              <w:spacing w:before="2" w:after="2"/>
              <w:jc w:val="both"/>
              <w:rPr>
                <w:rFonts w:ascii="Verdana" w:hAnsi="Verdana"/>
                <w:b w:val="0"/>
                <w:sz w:val="18"/>
              </w:rPr>
            </w:pPr>
            <w:r w:rsidRPr="0008744A">
              <w:rPr>
                <w:rFonts w:ascii="Verdana" w:hAnsi="Verdana"/>
                <w:sz w:val="18"/>
              </w:rPr>
              <w:t xml:space="preserve">Objectives </w:t>
            </w:r>
            <w:r w:rsidRPr="0008744A">
              <w:rPr>
                <w:rFonts w:ascii="Verdana" w:hAnsi="Verdana"/>
                <w:b w:val="0"/>
                <w:sz w:val="18"/>
              </w:rPr>
              <w:t xml:space="preserve">To determine the relationship between glomerular filtration rate (GFR) and free prostate-specific antigen (fPSA), percent-free PSA (%fPSA), and total PSA (tPSA) in patients with diminished kidney function not on dialysis, using nationally representative data. </w:t>
            </w:r>
            <w:r w:rsidRPr="0008744A">
              <w:rPr>
                <w:rFonts w:ascii="Verdana" w:hAnsi="Verdana"/>
                <w:sz w:val="18"/>
              </w:rPr>
              <w:t xml:space="preserve">Methods </w:t>
            </w:r>
            <w:r w:rsidRPr="0008744A">
              <w:rPr>
                <w:rFonts w:ascii="Verdana" w:hAnsi="Verdana"/>
                <w:b w:val="0"/>
                <w:sz w:val="18"/>
              </w:rPr>
              <w:t>Cross-sectional study.</w:t>
            </w:r>
            <w:r w:rsidRPr="0008744A">
              <w:rPr>
                <w:sz w:val="18"/>
              </w:rPr>
              <w:t xml:space="preserve"> </w:t>
            </w:r>
            <w:r w:rsidRPr="0008744A">
              <w:rPr>
                <w:rFonts w:ascii="Verdana" w:hAnsi="Verdana"/>
                <w:b w:val="0"/>
                <w:sz w:val="18"/>
              </w:rPr>
              <w:t xml:space="preserve">A total of </w:t>
            </w:r>
            <w:r w:rsidRPr="0008744A">
              <w:rPr>
                <w:rFonts w:ascii="Verdana" w:hAnsi="Verdana"/>
                <w:sz w:val="18"/>
              </w:rPr>
              <w:t xml:space="preserve">3782 </w:t>
            </w:r>
            <w:r w:rsidRPr="0008744A">
              <w:rPr>
                <w:rFonts w:ascii="Verdana" w:hAnsi="Verdana"/>
                <w:b w:val="0"/>
                <w:sz w:val="18"/>
              </w:rPr>
              <w:t>men aged ≥ 40 years who participated in the National Health and Nutrition Examination Survey 2001-2006, and who met eligibility criteria for PSA testing were included in the final study population. GFR (mL/min/1.73 m</w:t>
            </w:r>
            <w:r w:rsidRPr="0008744A">
              <w:rPr>
                <w:rFonts w:ascii="Verdana" w:hAnsi="Verdana"/>
                <w:b w:val="0"/>
                <w:sz w:val="18"/>
                <w:vertAlign w:val="superscript"/>
              </w:rPr>
              <w:t>2</w:t>
            </w:r>
            <w:r w:rsidRPr="0008744A">
              <w:rPr>
                <w:rFonts w:ascii="Verdana" w:hAnsi="Verdana"/>
                <w:b w:val="0"/>
                <w:sz w:val="18"/>
              </w:rPr>
              <w:t>) was calculated using the Modification of Diet in Renal Disease equation 7 and categorized as ≥ 90, 60 to &lt; 90, and 15 to &lt; 60. Distribution of tPSA, fPSA, and %fPSA were estimated by GFR category and by age and race. Multivariate linear regression models were fit to determine the adjusted relationship between GFR and tPSA and %fPSA after adjusting for age, race, and body mass index.</w:t>
            </w:r>
            <w:r w:rsidRPr="0008744A">
              <w:rPr>
                <w:rFonts w:ascii="Verdana" w:hAnsi="Verdana"/>
                <w:sz w:val="18"/>
              </w:rPr>
              <w:t xml:space="preserve"> Results </w:t>
            </w:r>
            <w:r w:rsidRPr="0008744A">
              <w:rPr>
                <w:rFonts w:ascii="Verdana" w:hAnsi="Verdana"/>
                <w:b w:val="0"/>
                <w:sz w:val="18"/>
              </w:rPr>
              <w:t>The multivariate linear regression analysis showed that GFR had a linear relationship with tPSA that was of borderline significance. There was a significant nonlinear relationship between GFR and %fPSA (</w:t>
            </w:r>
            <w:r w:rsidRPr="0008744A">
              <w:rPr>
                <w:rStyle w:val="Emphasis"/>
                <w:rFonts w:ascii="Verdana" w:hAnsi="Verdana"/>
                <w:b w:val="0"/>
                <w:iCs/>
                <w:sz w:val="18"/>
              </w:rPr>
              <w:t>P</w:t>
            </w:r>
            <w:r w:rsidRPr="0008744A">
              <w:rPr>
                <w:rFonts w:ascii="Verdana" w:hAnsi="Verdana"/>
                <w:b w:val="0"/>
                <w:sz w:val="18"/>
              </w:rPr>
              <w:t xml:space="preserve"> &lt;.001): increased GFR was associated with a decrease in %fPSA for GFR levels below 90 [eg, change in %fPSA = −2.67 (95% CI −3.56, −1.77) for a GFR of 85 as compared with 65; </w:t>
            </w:r>
            <w:r w:rsidRPr="0008744A">
              <w:rPr>
                <w:rStyle w:val="Emphasis"/>
                <w:rFonts w:ascii="Verdana" w:hAnsi="Verdana"/>
                <w:b w:val="0"/>
                <w:iCs/>
                <w:sz w:val="18"/>
              </w:rPr>
              <w:t>P</w:t>
            </w:r>
            <w:r w:rsidRPr="0008744A">
              <w:rPr>
                <w:rFonts w:ascii="Verdana" w:hAnsi="Verdana"/>
                <w:b w:val="0"/>
                <w:sz w:val="18"/>
              </w:rPr>
              <w:t xml:space="preserve"> &lt;.001]. The decline in %fPSA with increasing GFR was nonsignificant for GFR levels above 90. </w:t>
            </w:r>
            <w:r w:rsidRPr="0008744A">
              <w:rPr>
                <w:rFonts w:ascii="Verdana" w:hAnsi="Verdana"/>
                <w:sz w:val="18"/>
              </w:rPr>
              <w:t xml:space="preserve">Conclusions </w:t>
            </w:r>
            <w:r w:rsidRPr="0008744A">
              <w:rPr>
                <w:rFonts w:ascii="Verdana" w:hAnsi="Verdana"/>
                <w:b w:val="0"/>
                <w:sz w:val="18"/>
              </w:rPr>
              <w:t xml:space="preserve">Our finding that renal function as measured by GFR is negatively associated with %fPSA has potential implications for use of this test in men with renal disease. The same results are shown in other studies (discussed in comments). Described studies have shown that fPSA and %PSA are elevated in men with ESRD or on </w:t>
            </w:r>
            <w:r w:rsidRPr="0008744A">
              <w:rPr>
                <w:rFonts w:ascii="Verdana" w:hAnsi="Verdana"/>
                <w:b w:val="0"/>
                <w:sz w:val="18"/>
              </w:rPr>
              <w:lastRenderedPageBreak/>
              <w:t xml:space="preserve">dialysis. </w:t>
            </w:r>
          </w:p>
          <w:p w14:paraId="0D340CA6" w14:textId="77777777" w:rsidR="00213E48" w:rsidRDefault="00881875" w:rsidP="005A51BC">
            <w:pPr>
              <w:ind w:right="30"/>
              <w:rPr>
                <w:rFonts w:ascii="Verdana" w:hAnsi="Verdana" w:cs="Arial"/>
                <w:color w:val="000080"/>
                <w:sz w:val="18"/>
                <w:szCs w:val="18"/>
                <w:lang w:val="en-US"/>
              </w:rPr>
            </w:pPr>
            <w:hyperlink r:id="rId12" w:history="1">
              <w:r w:rsidR="00213E48" w:rsidRPr="00925471">
                <w:rPr>
                  <w:rStyle w:val="Hyperlink"/>
                  <w:rFonts w:ascii="Verdana" w:hAnsi="Verdana" w:cs="Arial"/>
                  <w:sz w:val="18"/>
                  <w:szCs w:val="18"/>
                  <w:lang w:val="en-US"/>
                </w:rPr>
                <w:t>http://www.goldjournal.net/article/S00904295%2809%2900934-0/abstract</w:t>
              </w:r>
            </w:hyperlink>
          </w:p>
          <w:p w14:paraId="71E46E13" w14:textId="77777777" w:rsidR="00213E48" w:rsidRPr="00AC2F0F" w:rsidRDefault="00213E48" w:rsidP="005A51BC">
            <w:pPr>
              <w:ind w:right="30"/>
              <w:rPr>
                <w:rFonts w:ascii="Verdana" w:hAnsi="Verdana" w:cs="Arial"/>
                <w:color w:val="000080"/>
                <w:sz w:val="18"/>
                <w:szCs w:val="18"/>
                <w:lang w:val="en-US"/>
              </w:rPr>
            </w:pPr>
          </w:p>
        </w:tc>
      </w:tr>
      <w:tr w:rsidR="00213E48" w:rsidRPr="00FE17E8" w14:paraId="7B6A647A" w14:textId="77777777">
        <w:tc>
          <w:tcPr>
            <w:tcW w:w="2694" w:type="dxa"/>
          </w:tcPr>
          <w:p w14:paraId="5C195223" w14:textId="77777777" w:rsidR="00213E48" w:rsidRPr="0008744A" w:rsidRDefault="00213E48" w:rsidP="005A51BC">
            <w:pPr>
              <w:pStyle w:val="Heading1"/>
              <w:spacing w:before="2" w:after="2"/>
              <w:rPr>
                <w:rFonts w:ascii="Verdana" w:hAnsi="Verdana"/>
                <w:sz w:val="18"/>
              </w:rPr>
            </w:pPr>
            <w:r w:rsidRPr="0008744A">
              <w:rPr>
                <w:rStyle w:val="maintitle"/>
                <w:rFonts w:ascii="Verdana" w:hAnsi="Verdana"/>
                <w:sz w:val="18"/>
              </w:rPr>
              <w:lastRenderedPageBreak/>
              <w:t>4. Prostate-specific antigen screening: A critical review of current research and guidelines (2012)</w:t>
            </w:r>
          </w:p>
          <w:p w14:paraId="79321695" w14:textId="77777777" w:rsidR="00213E48" w:rsidRPr="00925471" w:rsidRDefault="00213E48" w:rsidP="005A51BC">
            <w:pPr>
              <w:rPr>
                <w:rFonts w:ascii="Verdana" w:hAnsi="Verdana" w:cs="SabonLTStd-Roman"/>
                <w:color w:val="000080"/>
                <w:sz w:val="18"/>
                <w:szCs w:val="18"/>
              </w:rPr>
            </w:pPr>
          </w:p>
        </w:tc>
        <w:tc>
          <w:tcPr>
            <w:tcW w:w="8505" w:type="dxa"/>
          </w:tcPr>
          <w:p w14:paraId="11A70A37" w14:textId="77777777" w:rsidR="00213E48" w:rsidRPr="009663D6" w:rsidRDefault="00213E48" w:rsidP="005A51BC">
            <w:pPr>
              <w:jc w:val="both"/>
              <w:rPr>
                <w:rFonts w:ascii="Verdana" w:hAnsi="Verdana" w:cs="SabonLTStd-Roman"/>
                <w:sz w:val="18"/>
                <w:szCs w:val="18"/>
              </w:rPr>
            </w:pPr>
            <w:r w:rsidRPr="009663D6">
              <w:rPr>
                <w:rFonts w:ascii="Verdana" w:hAnsi="Verdana" w:cs="SabonLTStd-Roman"/>
                <w:sz w:val="18"/>
                <w:szCs w:val="18"/>
              </w:rPr>
              <w:t>Süstemaatiline ülevaade kirjandusest (2007-2012), mis käsitleb PSA määramise olulisust (kasu vs</w:t>
            </w:r>
            <w:r>
              <w:rPr>
                <w:rFonts w:ascii="Verdana" w:hAnsi="Verdana" w:cs="SabonLTStd-Roman"/>
                <w:sz w:val="18"/>
                <w:szCs w:val="18"/>
              </w:rPr>
              <w:t xml:space="preserve"> kahju) eesnäärme haiguste (väh</w:t>
            </w:r>
            <w:r w:rsidRPr="009663D6">
              <w:rPr>
                <w:rFonts w:ascii="Verdana" w:hAnsi="Verdana" w:cs="SabonLTStd-Roman"/>
                <w:sz w:val="18"/>
                <w:szCs w:val="18"/>
              </w:rPr>
              <w:t>i) skriini</w:t>
            </w:r>
            <w:r>
              <w:rPr>
                <w:rFonts w:ascii="Verdana" w:hAnsi="Verdana" w:cs="SabonLTStd-Roman"/>
                <w:sz w:val="18"/>
                <w:szCs w:val="18"/>
              </w:rPr>
              <w:t>n</w:t>
            </w:r>
            <w:r w:rsidRPr="009663D6">
              <w:rPr>
                <w:rFonts w:ascii="Verdana" w:hAnsi="Verdana" w:cs="SabonLTStd-Roman"/>
                <w:sz w:val="18"/>
                <w:szCs w:val="18"/>
              </w:rPr>
              <w:t>gmeetodina. Tehtud ülevaade 5-st suurest uuringust (PLCO uuring</w:t>
            </w:r>
            <w:r w:rsidRPr="009663D6">
              <w:rPr>
                <w:rFonts w:cs="SabonLTStd-Roman"/>
                <w:sz w:val="18"/>
                <w:szCs w:val="18"/>
              </w:rPr>
              <w:t>:</w:t>
            </w:r>
            <w:r w:rsidRPr="009663D6">
              <w:rPr>
                <w:rFonts w:ascii="Verdana" w:hAnsi="Verdana" w:cs="SabonLTStd-Roman"/>
                <w:sz w:val="18"/>
                <w:szCs w:val="18"/>
              </w:rPr>
              <w:t xml:space="preserve"> 76,693 pts, Rotterdam uuring</w:t>
            </w:r>
            <w:r w:rsidRPr="009663D6">
              <w:rPr>
                <w:rFonts w:cs="SabonLTStd-Roman"/>
                <w:sz w:val="18"/>
                <w:szCs w:val="18"/>
              </w:rPr>
              <w:t xml:space="preserve">: </w:t>
            </w:r>
            <w:r w:rsidRPr="009663D6">
              <w:rPr>
                <w:rFonts w:ascii="Verdana" w:hAnsi="Verdana" w:cs="SabonLTStd-Roman"/>
                <w:sz w:val="18"/>
                <w:szCs w:val="18"/>
              </w:rPr>
              <w:t>42,376 pts, Göteborg uuring</w:t>
            </w:r>
            <w:r w:rsidRPr="009663D6">
              <w:rPr>
                <w:rFonts w:cs="SabonLTStd-Roman"/>
                <w:sz w:val="18"/>
                <w:szCs w:val="18"/>
              </w:rPr>
              <w:t>:</w:t>
            </w:r>
            <w:r w:rsidRPr="009663D6">
              <w:rPr>
                <w:rFonts w:ascii="Verdana" w:hAnsi="Verdana" w:cs="SabonLTStd-Roman"/>
                <w:sz w:val="18"/>
                <w:szCs w:val="18"/>
              </w:rPr>
              <w:t xml:space="preserve"> 20,000pts, ERSPC</w:t>
            </w:r>
            <w:r w:rsidRPr="009663D6">
              <w:rPr>
                <w:rFonts w:cs="SabonLTStd-Roman"/>
                <w:sz w:val="18"/>
                <w:szCs w:val="18"/>
              </w:rPr>
              <w:t>:</w:t>
            </w:r>
            <w:r w:rsidRPr="009663D6">
              <w:rPr>
                <w:rFonts w:ascii="Verdana" w:hAnsi="Verdana" w:cs="SabonLTStd-Roman"/>
                <w:sz w:val="18"/>
                <w:szCs w:val="18"/>
              </w:rPr>
              <w:t xml:space="preserve"> 162,387 pts, ERSPC adjusted</w:t>
            </w:r>
            <w:r w:rsidRPr="009663D6">
              <w:rPr>
                <w:rFonts w:cs="SabonLTStd-Roman"/>
                <w:sz w:val="18"/>
                <w:szCs w:val="18"/>
              </w:rPr>
              <w:t>:</w:t>
            </w:r>
            <w:r w:rsidRPr="009663D6">
              <w:rPr>
                <w:rFonts w:ascii="Verdana" w:hAnsi="Verdana" w:cs="SabonLTStd-Roman"/>
                <w:sz w:val="18"/>
                <w:szCs w:val="18"/>
              </w:rPr>
              <w:t xml:space="preserve"> 162, 243 pts) ning 6-st ravijuhendist (2008-2011). </w:t>
            </w:r>
          </w:p>
          <w:p w14:paraId="28413255" w14:textId="77777777" w:rsidR="00213E48" w:rsidRPr="009663D6" w:rsidRDefault="00213E48" w:rsidP="005A51BC">
            <w:pPr>
              <w:jc w:val="both"/>
              <w:rPr>
                <w:rFonts w:ascii="Verdana" w:hAnsi="Verdana" w:cs="SabonLTStd-Roman"/>
                <w:sz w:val="18"/>
                <w:szCs w:val="18"/>
              </w:rPr>
            </w:pPr>
            <w:r w:rsidRPr="009663D6">
              <w:rPr>
                <w:rFonts w:ascii="Verdana" w:hAnsi="Verdana" w:cs="SabonLTStd-Roman"/>
                <w:sz w:val="18"/>
                <w:szCs w:val="18"/>
              </w:rPr>
              <w:t>Tulemused: PSA määramine skriiningtestina on näidustatud, vanuseline piir pole täpselt</w:t>
            </w:r>
          </w:p>
          <w:p w14:paraId="603E46CE" w14:textId="77777777" w:rsidR="00213E48" w:rsidRPr="009663D6" w:rsidRDefault="00213E48" w:rsidP="005A51BC">
            <w:pPr>
              <w:jc w:val="both"/>
              <w:rPr>
                <w:rFonts w:ascii="Verdana" w:hAnsi="Verdana" w:cs="SabonLTStd-Roman"/>
                <w:sz w:val="18"/>
                <w:szCs w:val="18"/>
              </w:rPr>
            </w:pPr>
            <w:r w:rsidRPr="009663D6">
              <w:rPr>
                <w:rFonts w:ascii="Verdana" w:hAnsi="Verdana" w:cs="SabonLTStd-Roman"/>
                <w:sz w:val="18"/>
                <w:szCs w:val="18"/>
              </w:rPr>
              <w:t xml:space="preserve">määratletud (suuremate uuringute soovituse alusel alates 40 eluaastat). Kui PSA tase on </w:t>
            </w:r>
          </w:p>
          <w:p w14:paraId="460A1735" w14:textId="77777777" w:rsidR="00213E48" w:rsidRPr="009663D6" w:rsidRDefault="00213E48" w:rsidP="005A51BC">
            <w:pPr>
              <w:numPr>
                <w:ilvl w:val="0"/>
                <w:numId w:val="16"/>
              </w:numPr>
              <w:jc w:val="both"/>
              <w:rPr>
                <w:rFonts w:ascii="Verdana" w:hAnsi="Verdana" w:cs="SabonLTStd-Roman"/>
                <w:sz w:val="18"/>
                <w:szCs w:val="18"/>
              </w:rPr>
            </w:pPr>
            <w:r w:rsidRPr="009663D6">
              <w:rPr>
                <w:rFonts w:ascii="Verdana" w:hAnsi="Verdana" w:cs="SabonLTStd-Roman"/>
                <w:sz w:val="18"/>
                <w:szCs w:val="18"/>
              </w:rPr>
              <w:t>ng/ml või madalam, siis järgmine skreening 45-aastase</w:t>
            </w:r>
            <w:r>
              <w:rPr>
                <w:rFonts w:ascii="Verdana" w:hAnsi="Verdana" w:cs="SabonLTStd-Roman"/>
                <w:sz w:val="18"/>
                <w:szCs w:val="18"/>
              </w:rPr>
              <w:t xml:space="preserve">lt ning al. 50st eluaastast iga </w:t>
            </w:r>
            <w:r w:rsidRPr="009663D6">
              <w:rPr>
                <w:rFonts w:ascii="Verdana" w:hAnsi="Verdana" w:cs="SabonLTStd-Roman"/>
                <w:sz w:val="18"/>
                <w:szCs w:val="18"/>
              </w:rPr>
              <w:t xml:space="preserve">aasta. </w:t>
            </w:r>
          </w:p>
          <w:p w14:paraId="3C52149C" w14:textId="77777777" w:rsidR="00213E48" w:rsidRDefault="00213E48" w:rsidP="005A51BC">
            <w:pPr>
              <w:rPr>
                <w:rFonts w:ascii="Verdana" w:hAnsi="Verdana" w:cs="SabonLTStd-Roman"/>
                <w:sz w:val="18"/>
                <w:szCs w:val="18"/>
              </w:rPr>
            </w:pPr>
            <w:r w:rsidRPr="009663D6">
              <w:rPr>
                <w:rFonts w:ascii="Verdana" w:hAnsi="Verdana" w:cs="SabonLTStd-Roman"/>
                <w:sz w:val="18"/>
                <w:szCs w:val="18"/>
              </w:rPr>
              <w:t>Kui PSA on kõrgem kui 1,0ng/ml siis suunata uroloogile. Eraldi KNH haigetel PSA skriiningu</w:t>
            </w:r>
            <w:r w:rsidRPr="00200DB2">
              <w:rPr>
                <w:rFonts w:ascii="Verdana" w:hAnsi="Verdana" w:cs="SabonLTStd-Roman"/>
                <w:color w:val="000080"/>
                <w:sz w:val="18"/>
                <w:szCs w:val="18"/>
              </w:rPr>
              <w:t xml:space="preserve"> </w:t>
            </w:r>
            <w:r w:rsidRPr="009663D6">
              <w:rPr>
                <w:rFonts w:ascii="Verdana" w:hAnsi="Verdana" w:cs="SabonLTStd-Roman"/>
                <w:sz w:val="18"/>
                <w:szCs w:val="18"/>
              </w:rPr>
              <w:t>kasu ja vajadust selles ülevaates  pole kirjeldatud</w:t>
            </w:r>
            <w:r>
              <w:rPr>
                <w:rFonts w:ascii="Verdana" w:hAnsi="Verdana" w:cs="SabonLTStd-Roman"/>
                <w:sz w:val="18"/>
                <w:szCs w:val="18"/>
              </w:rPr>
              <w:t>.</w:t>
            </w:r>
          </w:p>
          <w:p w14:paraId="58535C95" w14:textId="77777777" w:rsidR="00213E48" w:rsidRDefault="00213E48" w:rsidP="005A51BC">
            <w:pPr>
              <w:rPr>
                <w:rFonts w:ascii="Verdana" w:hAnsi="Verdana" w:cs="SabonLTStd-Roman"/>
                <w:sz w:val="18"/>
                <w:szCs w:val="18"/>
              </w:rPr>
            </w:pPr>
          </w:p>
          <w:p w14:paraId="7F4ECA7F" w14:textId="77777777" w:rsidR="00213E48" w:rsidRDefault="00881875" w:rsidP="005A51BC">
            <w:pPr>
              <w:rPr>
                <w:rFonts w:ascii="Verdana" w:hAnsi="Verdana" w:cs="SabonLTStd-Roman"/>
                <w:color w:val="000080"/>
                <w:sz w:val="18"/>
                <w:szCs w:val="18"/>
              </w:rPr>
            </w:pPr>
            <w:hyperlink r:id="rId13" w:history="1">
              <w:r w:rsidR="00213E48" w:rsidRPr="00D336F6">
                <w:rPr>
                  <w:rStyle w:val="Hyperlink"/>
                  <w:rFonts w:ascii="Verdana" w:hAnsi="Verdana" w:cs="SabonLTStd-Roman"/>
                  <w:sz w:val="18"/>
                  <w:szCs w:val="18"/>
                </w:rPr>
                <w:t>http://onlinelibrary.wiley.com/doi/10.1002/2327-6924.12094/abstract;jsessionid=F527B60BADD1E50C0151D685A30E1860.f02t01</w:t>
              </w:r>
            </w:hyperlink>
          </w:p>
          <w:p w14:paraId="38C0F1B4" w14:textId="77777777" w:rsidR="00213E48" w:rsidRPr="00D336F6" w:rsidRDefault="00213E48" w:rsidP="005A51BC">
            <w:pPr>
              <w:rPr>
                <w:rFonts w:ascii="Verdana" w:hAnsi="Verdana" w:cs="SabonLTStd-Roman"/>
                <w:color w:val="000080"/>
                <w:sz w:val="18"/>
                <w:szCs w:val="18"/>
              </w:rPr>
            </w:pPr>
          </w:p>
        </w:tc>
      </w:tr>
      <w:tr w:rsidR="00213E48" w:rsidRPr="00FE17E8" w14:paraId="7E593C78" w14:textId="77777777">
        <w:tc>
          <w:tcPr>
            <w:tcW w:w="2694" w:type="dxa"/>
          </w:tcPr>
          <w:p w14:paraId="6540714C" w14:textId="77777777" w:rsidR="00213E48" w:rsidRPr="0008744A" w:rsidRDefault="00213E48" w:rsidP="005A51BC">
            <w:pPr>
              <w:pStyle w:val="Heading1"/>
              <w:spacing w:before="2" w:after="2"/>
              <w:rPr>
                <w:rFonts w:ascii="Verdana" w:hAnsi="Verdana"/>
                <w:sz w:val="18"/>
              </w:rPr>
            </w:pPr>
            <w:r w:rsidRPr="0008744A">
              <w:rPr>
                <w:rFonts w:ascii="Verdana" w:hAnsi="Verdana"/>
                <w:sz w:val="18"/>
              </w:rPr>
              <w:t xml:space="preserve">5. Is </w:t>
            </w:r>
            <w:r w:rsidRPr="0008744A">
              <w:rPr>
                <w:rStyle w:val="highlight"/>
                <w:rFonts w:ascii="Verdana" w:hAnsi="Verdana"/>
                <w:sz w:val="18"/>
              </w:rPr>
              <w:t>prostate</w:t>
            </w:r>
            <w:r w:rsidRPr="0008744A">
              <w:rPr>
                <w:rFonts w:ascii="Verdana" w:hAnsi="Verdana"/>
                <w:sz w:val="18"/>
              </w:rPr>
              <w:t>-</w:t>
            </w:r>
            <w:r w:rsidRPr="0008744A">
              <w:rPr>
                <w:rStyle w:val="highlight"/>
                <w:rFonts w:ascii="Verdana" w:hAnsi="Verdana"/>
                <w:sz w:val="18"/>
              </w:rPr>
              <w:t>specific</w:t>
            </w:r>
            <w:r w:rsidRPr="0008744A">
              <w:rPr>
                <w:rFonts w:ascii="Verdana" w:hAnsi="Verdana"/>
                <w:sz w:val="18"/>
              </w:rPr>
              <w:t xml:space="preserve"> </w:t>
            </w:r>
            <w:r w:rsidRPr="0008744A">
              <w:rPr>
                <w:rStyle w:val="highlight"/>
                <w:rFonts w:ascii="Verdana" w:hAnsi="Verdana"/>
                <w:sz w:val="18"/>
              </w:rPr>
              <w:t>antigen</w:t>
            </w:r>
            <w:r w:rsidRPr="0008744A">
              <w:rPr>
                <w:rFonts w:ascii="Verdana" w:hAnsi="Verdana"/>
                <w:sz w:val="18"/>
              </w:rPr>
              <w:t xml:space="preserve"> </w:t>
            </w:r>
            <w:r w:rsidRPr="0008744A">
              <w:rPr>
                <w:rStyle w:val="highlight"/>
                <w:rFonts w:ascii="Verdana" w:hAnsi="Verdana"/>
                <w:sz w:val="18"/>
              </w:rPr>
              <w:t>effective</w:t>
            </w:r>
            <w:r w:rsidRPr="0008744A">
              <w:rPr>
                <w:rFonts w:ascii="Verdana" w:hAnsi="Verdana"/>
                <w:sz w:val="18"/>
              </w:rPr>
              <w:t xml:space="preserve"> for </w:t>
            </w:r>
            <w:r w:rsidRPr="0008744A">
              <w:rPr>
                <w:rStyle w:val="highlight"/>
                <w:rFonts w:ascii="Verdana" w:hAnsi="Verdana"/>
                <w:sz w:val="18"/>
              </w:rPr>
              <w:t>population</w:t>
            </w:r>
            <w:r w:rsidRPr="0008744A">
              <w:rPr>
                <w:rFonts w:ascii="Verdana" w:hAnsi="Verdana"/>
                <w:sz w:val="18"/>
              </w:rPr>
              <w:t xml:space="preserve"> </w:t>
            </w:r>
            <w:r w:rsidRPr="0008744A">
              <w:rPr>
                <w:rStyle w:val="highlight"/>
                <w:rFonts w:ascii="Verdana" w:hAnsi="Verdana"/>
                <w:sz w:val="18"/>
              </w:rPr>
              <w:t>screening</w:t>
            </w:r>
            <w:r w:rsidRPr="0008744A">
              <w:rPr>
                <w:rFonts w:ascii="Verdana" w:hAnsi="Verdana"/>
                <w:sz w:val="18"/>
              </w:rPr>
              <w:t xml:space="preserve"> of </w:t>
            </w:r>
            <w:r w:rsidRPr="0008744A">
              <w:rPr>
                <w:rStyle w:val="highlight"/>
                <w:rFonts w:ascii="Verdana" w:hAnsi="Verdana"/>
                <w:sz w:val="18"/>
              </w:rPr>
              <w:t>prostate</w:t>
            </w:r>
            <w:r w:rsidRPr="0008744A">
              <w:rPr>
                <w:rFonts w:ascii="Verdana" w:hAnsi="Verdana"/>
                <w:sz w:val="18"/>
              </w:rPr>
              <w:t xml:space="preserve"> </w:t>
            </w:r>
            <w:r w:rsidRPr="0008744A">
              <w:rPr>
                <w:rStyle w:val="highlight"/>
                <w:rFonts w:ascii="Verdana" w:hAnsi="Verdana"/>
                <w:sz w:val="18"/>
              </w:rPr>
              <w:t>cancer</w:t>
            </w:r>
            <w:r w:rsidRPr="0008744A">
              <w:rPr>
                <w:rFonts w:ascii="Verdana" w:hAnsi="Verdana"/>
                <w:sz w:val="18"/>
              </w:rPr>
              <w:t>? A systematic review. (2013)</w:t>
            </w:r>
          </w:p>
          <w:p w14:paraId="4C223FEB" w14:textId="77777777" w:rsidR="00213E48" w:rsidRPr="00185231" w:rsidRDefault="00213E48" w:rsidP="005A51BC">
            <w:pPr>
              <w:pStyle w:val="NormalWeb"/>
              <w:shd w:val="clear" w:color="auto" w:fill="FFFFFF"/>
              <w:spacing w:before="0" w:beforeAutospacing="0" w:after="0" w:afterAutospacing="0"/>
              <w:rPr>
                <w:rFonts w:ascii="Verdana" w:hAnsi="Verdana" w:cs="Arial"/>
                <w:color w:val="000080"/>
                <w:sz w:val="18"/>
                <w:szCs w:val="18"/>
              </w:rPr>
            </w:pPr>
          </w:p>
        </w:tc>
        <w:tc>
          <w:tcPr>
            <w:tcW w:w="8505" w:type="dxa"/>
          </w:tcPr>
          <w:p w14:paraId="6BCF6276" w14:textId="77777777" w:rsidR="00213E48" w:rsidRPr="009663D6" w:rsidRDefault="00213E48" w:rsidP="005A51BC">
            <w:pPr>
              <w:jc w:val="both"/>
              <w:rPr>
                <w:rFonts w:ascii="Verdana" w:hAnsi="Verdana" w:cs="Trade Gothic LT Std Light"/>
                <w:sz w:val="18"/>
                <w:szCs w:val="19"/>
                <w:lang w:val="en-US" w:eastAsia="en-US"/>
              </w:rPr>
            </w:pPr>
            <w:r w:rsidRPr="009663D6">
              <w:rPr>
                <w:rFonts w:ascii="Verdana" w:hAnsi="Verdana"/>
                <w:sz w:val="18"/>
                <w:lang w:val="en-US" w:eastAsia="en-US"/>
              </w:rPr>
              <w:t xml:space="preserve">Aim: </w:t>
            </w:r>
            <w:r w:rsidRPr="009663D6">
              <w:rPr>
                <w:rFonts w:ascii="Verdana" w:hAnsi="Verdana" w:cs="Trade Gothic LT Std Light"/>
                <w:sz w:val="18"/>
                <w:szCs w:val="19"/>
                <w:lang w:val="en-US" w:eastAsia="en-US"/>
              </w:rPr>
              <w:t>We investigated the ef</w:t>
            </w:r>
            <w:r w:rsidRPr="009663D6">
              <w:rPr>
                <w:rFonts w:ascii="Verdana" w:hAnsi="Verdana" w:cs="Trade Gothic LT Std Light"/>
                <w:sz w:val="18"/>
                <w:szCs w:val="19"/>
                <w:lang w:val="en-US" w:eastAsia="en-US"/>
              </w:rPr>
              <w:softHyphen/>
              <w:t xml:space="preserve">fectiveness of PSA population screening in a systematic review. </w:t>
            </w:r>
          </w:p>
          <w:p w14:paraId="7E125808" w14:textId="77777777" w:rsidR="00213E48" w:rsidRPr="009663D6" w:rsidRDefault="00213E48" w:rsidP="005A51BC">
            <w:pPr>
              <w:jc w:val="both"/>
              <w:rPr>
                <w:rFonts w:ascii="Verdana" w:hAnsi="Verdana" w:cs="Trade Gothic LT Std Light"/>
                <w:sz w:val="18"/>
                <w:szCs w:val="19"/>
                <w:lang w:val="en-US" w:eastAsia="en-US"/>
              </w:rPr>
            </w:pPr>
            <w:r w:rsidRPr="009663D6">
              <w:rPr>
                <w:rFonts w:ascii="Verdana" w:hAnsi="Verdana" w:cs="Trade Gothic LT Std Light"/>
                <w:sz w:val="18"/>
                <w:szCs w:val="19"/>
                <w:lang w:val="en-US" w:eastAsia="en-US"/>
              </w:rPr>
              <w:t xml:space="preserve">The study was conducted using existing systematic reviews. We searched Ovid MEDLINE, </w:t>
            </w:r>
          </w:p>
          <w:p w14:paraId="0F9D702C" w14:textId="77777777" w:rsidR="00213E48" w:rsidRPr="009663D6" w:rsidRDefault="00213E48" w:rsidP="005A51BC">
            <w:pPr>
              <w:jc w:val="both"/>
              <w:rPr>
                <w:rFonts w:ascii="Verdana" w:hAnsi="Verdana" w:cs="Trade Gothic LT Std Light"/>
                <w:sz w:val="18"/>
                <w:szCs w:val="19"/>
                <w:lang w:val="en-US" w:eastAsia="en-US"/>
              </w:rPr>
            </w:pPr>
            <w:r w:rsidRPr="009663D6">
              <w:rPr>
                <w:rFonts w:ascii="Verdana" w:hAnsi="Verdana" w:cs="Trade Gothic LT Std Light"/>
                <w:sz w:val="18"/>
                <w:szCs w:val="19"/>
                <w:lang w:val="en-US" w:eastAsia="en-US"/>
              </w:rPr>
              <w:t xml:space="preserve">Embase, Cochrane library, and the major Korean databases. The quality of the systematic </w:t>
            </w:r>
          </w:p>
          <w:p w14:paraId="469F85C5" w14:textId="77777777" w:rsidR="00213E48" w:rsidRPr="009663D6" w:rsidRDefault="00213E48" w:rsidP="005A51BC">
            <w:pPr>
              <w:jc w:val="both"/>
              <w:rPr>
                <w:rFonts w:ascii="Verdana" w:hAnsi="Verdana" w:cs="Trade Gothic LT Std Light"/>
                <w:sz w:val="18"/>
                <w:szCs w:val="19"/>
                <w:lang w:val="en-US" w:eastAsia="en-US"/>
              </w:rPr>
            </w:pPr>
            <w:r w:rsidRPr="009663D6">
              <w:rPr>
                <w:rFonts w:ascii="Verdana" w:hAnsi="Verdana" w:cs="Trade Gothic LT Std Light"/>
                <w:sz w:val="18"/>
                <w:szCs w:val="19"/>
                <w:lang w:val="en-US" w:eastAsia="en-US"/>
              </w:rPr>
              <w:t>reviews was assessed by two reviewers independently using AMSTAR. Ran</w:t>
            </w:r>
            <w:r w:rsidRPr="009663D6">
              <w:rPr>
                <w:rFonts w:ascii="Verdana" w:hAnsi="Verdana" w:cs="Trade Gothic LT Std Light"/>
                <w:sz w:val="18"/>
                <w:szCs w:val="19"/>
                <w:lang w:val="en-US" w:eastAsia="en-US"/>
              </w:rPr>
              <w:softHyphen/>
              <w:t>domized controlled trials were assessed using the risk of bias tool in the Cochrane group. Meta-analyses were conducted using Review Manager. The level of evidence of each out</w:t>
            </w:r>
            <w:r w:rsidRPr="009663D6">
              <w:rPr>
                <w:rFonts w:ascii="Verdana" w:hAnsi="Verdana" w:cs="Trade Gothic LT Std Light"/>
                <w:sz w:val="18"/>
                <w:szCs w:val="19"/>
                <w:lang w:val="en-US" w:eastAsia="en-US"/>
              </w:rPr>
              <w:softHyphen/>
              <w:t xml:space="preserve">come was assessed using GRADE. </w:t>
            </w:r>
          </w:p>
          <w:p w14:paraId="49E3279B" w14:textId="77777777" w:rsidR="00213E48" w:rsidRPr="009663D6" w:rsidRDefault="00213E48" w:rsidP="005A51BC">
            <w:pPr>
              <w:jc w:val="both"/>
              <w:rPr>
                <w:rFonts w:ascii="Verdana" w:hAnsi="Verdana" w:cs="Trade Gothic LT Std Light"/>
                <w:sz w:val="18"/>
                <w:szCs w:val="19"/>
                <w:lang w:val="en-US" w:eastAsia="en-US"/>
              </w:rPr>
            </w:pPr>
            <w:r w:rsidRPr="009663D6">
              <w:rPr>
                <w:rFonts w:ascii="Verdana" w:hAnsi="Verdana" w:cs="Trade Gothic LT Std Light"/>
                <w:sz w:val="18"/>
                <w:szCs w:val="19"/>
                <w:lang w:val="en-US" w:eastAsia="en-US"/>
              </w:rPr>
              <w:t xml:space="preserve">Six studies (ERSPC, French ERSPC, Göteborg, PLCO, Quebec, Norrköping), </w:t>
            </w:r>
          </w:p>
          <w:p w14:paraId="142A87FC" w14:textId="77777777" w:rsidR="00213E48" w:rsidRPr="009663D6" w:rsidRDefault="00213E48" w:rsidP="005A51BC">
            <w:pPr>
              <w:jc w:val="both"/>
              <w:rPr>
                <w:rFonts w:ascii="Verdana" w:hAnsi="Verdana" w:cs="Trade Gothic LT Std Light"/>
                <w:sz w:val="18"/>
                <w:szCs w:val="19"/>
              </w:rPr>
            </w:pPr>
            <w:r w:rsidRPr="009663D6">
              <w:rPr>
                <w:rFonts w:ascii="Verdana" w:hAnsi="Verdana" w:cs="Trade Gothic LT Std Light"/>
                <w:sz w:val="18"/>
                <w:szCs w:val="19"/>
              </w:rPr>
              <w:t xml:space="preserve">The levels of evidence as determined by GRADE were from very low to moderate (Table </w:t>
            </w:r>
            <w:r w:rsidRPr="009663D6">
              <w:rPr>
                <w:rFonts w:ascii="Verdana" w:hAnsi="Verdana" w:cs="Trade Gothic LT Std Light"/>
                <w:sz w:val="18"/>
                <w:szCs w:val="17"/>
              </w:rPr>
              <w:t>5</w:t>
            </w:r>
            <w:r w:rsidRPr="009663D6">
              <w:rPr>
                <w:rFonts w:ascii="Verdana" w:hAnsi="Verdana" w:cs="Trade Gothic LT Std Light"/>
                <w:sz w:val="18"/>
                <w:szCs w:val="19"/>
              </w:rPr>
              <w:t>). None of the studies reported the ran</w:t>
            </w:r>
            <w:r w:rsidRPr="009663D6">
              <w:rPr>
                <w:rFonts w:ascii="Verdana" w:hAnsi="Verdana" w:cs="Trade Gothic LT Std Light"/>
                <w:sz w:val="18"/>
                <w:szCs w:val="19"/>
              </w:rPr>
              <w:softHyphen/>
              <w:t xml:space="preserve">domization sequence or allocation concealment </w:t>
            </w:r>
          </w:p>
          <w:p w14:paraId="5DDDA724" w14:textId="77777777" w:rsidR="00213E48" w:rsidRPr="009663D6" w:rsidRDefault="00213E48" w:rsidP="005A51BC">
            <w:pPr>
              <w:jc w:val="both"/>
              <w:rPr>
                <w:rFonts w:ascii="Verdana" w:hAnsi="Verdana" w:cs="Trade Gothic LT Std Light"/>
                <w:sz w:val="18"/>
                <w:szCs w:val="19"/>
                <w:lang w:val="en-US" w:eastAsia="en-US"/>
              </w:rPr>
            </w:pPr>
            <w:r w:rsidRPr="009663D6">
              <w:rPr>
                <w:rFonts w:ascii="Verdana" w:hAnsi="Verdana" w:cs="Trade Gothic LT Std Light"/>
                <w:sz w:val="18"/>
                <w:szCs w:val="19"/>
              </w:rPr>
              <w:t xml:space="preserve">methods, so all outcomes were initially downgraded. </w:t>
            </w:r>
          </w:p>
          <w:p w14:paraId="7837ABB8" w14:textId="77777777" w:rsidR="00213E48" w:rsidRPr="009663D6" w:rsidRDefault="00213E48" w:rsidP="005A51BC">
            <w:pPr>
              <w:pStyle w:val="Pa3"/>
              <w:jc w:val="both"/>
              <w:rPr>
                <w:rFonts w:ascii="Trade Gothic LT Std Light" w:hAnsi="Trade Gothic LT Std Light" w:cs="Trade Gothic LT Std Light"/>
                <w:sz w:val="18"/>
                <w:szCs w:val="18"/>
              </w:rPr>
            </w:pPr>
            <w:r w:rsidRPr="009663D6">
              <w:rPr>
                <w:rFonts w:cs="Trade Gothic LT Std"/>
                <w:b/>
                <w:bCs/>
                <w:sz w:val="18"/>
                <w:szCs w:val="18"/>
              </w:rPr>
              <w:t xml:space="preserve">Table 5. </w:t>
            </w:r>
            <w:r w:rsidRPr="009663D6">
              <w:rPr>
                <w:rFonts w:ascii="Trade Gothic LT Std Light" w:hAnsi="Trade Gothic LT Std Light" w:cs="Trade Gothic LT Std Light"/>
                <w:sz w:val="18"/>
                <w:szCs w:val="18"/>
              </w:rPr>
              <w:t>Level of evidence assessed by GRADE</w:t>
            </w:r>
          </w:p>
          <w:tbl>
            <w:tblPr>
              <w:tblW w:w="0" w:type="auto"/>
              <w:tblLayout w:type="fixed"/>
              <w:tblLook w:val="0000" w:firstRow="0" w:lastRow="0" w:firstColumn="0" w:lastColumn="0" w:noHBand="0" w:noVBand="0"/>
            </w:tblPr>
            <w:tblGrid>
              <w:gridCol w:w="2868"/>
              <w:gridCol w:w="977"/>
            </w:tblGrid>
            <w:tr w:rsidR="00213E48" w:rsidRPr="009663D6" w14:paraId="72C62268" w14:textId="77777777">
              <w:trPr>
                <w:trHeight w:val="110"/>
              </w:trPr>
              <w:tc>
                <w:tcPr>
                  <w:tcW w:w="3845" w:type="dxa"/>
                  <w:gridSpan w:val="2"/>
                </w:tcPr>
                <w:p w14:paraId="2690B44A" w14:textId="77777777" w:rsidR="00213E48" w:rsidRPr="009663D6" w:rsidRDefault="00213E48">
                  <w:pPr>
                    <w:pStyle w:val="Pa17"/>
                    <w:jc w:val="center"/>
                    <w:rPr>
                      <w:rFonts w:ascii="Trade Gothic LT Std Cn" w:hAnsi="Trade Gothic LT Std Cn" w:cs="Trade Gothic LT Std Cn"/>
                      <w:sz w:val="19"/>
                      <w:szCs w:val="19"/>
                    </w:rPr>
                  </w:pPr>
                  <w:r w:rsidRPr="009663D6">
                    <w:rPr>
                      <w:rFonts w:ascii="Trade Gothic LT Std Cn" w:hAnsi="Trade Gothic LT Std Cn" w:cs="Trade Gothic LT Std Cn"/>
                      <w:sz w:val="19"/>
                      <w:szCs w:val="19"/>
                    </w:rPr>
                    <w:t xml:space="preserve">Level of evidence </w:t>
                  </w:r>
                </w:p>
              </w:tc>
            </w:tr>
            <w:tr w:rsidR="00213E48" w:rsidRPr="009663D6" w14:paraId="24132CE4" w14:textId="77777777">
              <w:trPr>
                <w:trHeight w:val="104"/>
              </w:trPr>
              <w:tc>
                <w:tcPr>
                  <w:tcW w:w="2868" w:type="dxa"/>
                </w:tcPr>
                <w:p w14:paraId="39D16FEA" w14:textId="77777777" w:rsidR="00213E48" w:rsidRPr="009663D6" w:rsidRDefault="00213E48">
                  <w:pPr>
                    <w:pStyle w:val="Pa15"/>
                    <w:rPr>
                      <w:rFonts w:ascii="Trade Gothic LT Std Cn" w:hAnsi="Trade Gothic LT Std Cn" w:cs="Trade Gothic LT Std Cn"/>
                      <w:sz w:val="18"/>
                      <w:szCs w:val="18"/>
                    </w:rPr>
                  </w:pPr>
                  <w:r w:rsidRPr="009663D6">
                    <w:rPr>
                      <w:rFonts w:ascii="Trade Gothic LT Std Cn" w:hAnsi="Trade Gothic LT Std Cn" w:cs="Trade Gothic LT Std Cn"/>
                      <w:sz w:val="18"/>
                      <w:szCs w:val="18"/>
                    </w:rPr>
                    <w:t xml:space="preserve">All-cause mortality </w:t>
                  </w:r>
                </w:p>
              </w:tc>
              <w:tc>
                <w:tcPr>
                  <w:tcW w:w="977" w:type="dxa"/>
                </w:tcPr>
                <w:p w14:paraId="6CBEBE77" w14:textId="77777777" w:rsidR="00213E48" w:rsidRPr="009663D6" w:rsidRDefault="00213E48">
                  <w:pPr>
                    <w:pStyle w:val="Pa18"/>
                    <w:jc w:val="center"/>
                    <w:rPr>
                      <w:rFonts w:ascii="Trade Gothic LT Std Cn" w:hAnsi="Trade Gothic LT Std Cn" w:cs="Trade Gothic LT Std Cn"/>
                      <w:sz w:val="18"/>
                      <w:szCs w:val="18"/>
                    </w:rPr>
                  </w:pPr>
                  <w:r w:rsidRPr="009663D6">
                    <w:rPr>
                      <w:rFonts w:ascii="Trade Gothic LT Std Cn" w:hAnsi="Trade Gothic LT Std Cn" w:cs="Trade Gothic LT Std Cn"/>
                      <w:sz w:val="18"/>
                      <w:szCs w:val="18"/>
                    </w:rPr>
                    <w:t xml:space="preserve">Moderate </w:t>
                  </w:r>
                </w:p>
              </w:tc>
            </w:tr>
            <w:tr w:rsidR="00213E48" w:rsidRPr="009663D6" w14:paraId="22CCC758" w14:textId="77777777">
              <w:trPr>
                <w:trHeight w:val="104"/>
              </w:trPr>
              <w:tc>
                <w:tcPr>
                  <w:tcW w:w="2868" w:type="dxa"/>
                </w:tcPr>
                <w:p w14:paraId="46705FEB" w14:textId="77777777" w:rsidR="00213E48" w:rsidRPr="009663D6" w:rsidRDefault="00213E48">
                  <w:pPr>
                    <w:pStyle w:val="Pa15"/>
                    <w:rPr>
                      <w:rFonts w:ascii="Trade Gothic LT Std Cn" w:hAnsi="Trade Gothic LT Std Cn" w:cs="Trade Gothic LT Std Cn"/>
                      <w:sz w:val="18"/>
                      <w:szCs w:val="18"/>
                    </w:rPr>
                  </w:pPr>
                  <w:r w:rsidRPr="009663D6">
                    <w:rPr>
                      <w:rFonts w:ascii="Trade Gothic LT Std Cn" w:hAnsi="Trade Gothic LT Std Cn" w:cs="Trade Gothic LT Std Cn"/>
                      <w:sz w:val="18"/>
                      <w:szCs w:val="18"/>
                    </w:rPr>
                    <w:t xml:space="preserve">Prostate cancer-specific mortality </w:t>
                  </w:r>
                </w:p>
              </w:tc>
              <w:tc>
                <w:tcPr>
                  <w:tcW w:w="977" w:type="dxa"/>
                </w:tcPr>
                <w:p w14:paraId="6C081155" w14:textId="77777777" w:rsidR="00213E48" w:rsidRPr="009663D6" w:rsidRDefault="00213E48">
                  <w:pPr>
                    <w:pStyle w:val="Pa18"/>
                    <w:jc w:val="center"/>
                    <w:rPr>
                      <w:rFonts w:ascii="Trade Gothic LT Std Cn" w:hAnsi="Trade Gothic LT Std Cn" w:cs="Trade Gothic LT Std Cn"/>
                      <w:sz w:val="18"/>
                      <w:szCs w:val="18"/>
                    </w:rPr>
                  </w:pPr>
                  <w:r w:rsidRPr="009663D6">
                    <w:rPr>
                      <w:rFonts w:ascii="Trade Gothic LT Std Cn" w:hAnsi="Trade Gothic LT Std Cn" w:cs="Trade Gothic LT Std Cn"/>
                      <w:sz w:val="18"/>
                      <w:szCs w:val="18"/>
                    </w:rPr>
                    <w:t xml:space="preserve">Moderate </w:t>
                  </w:r>
                </w:p>
              </w:tc>
            </w:tr>
            <w:tr w:rsidR="00213E48" w:rsidRPr="009663D6" w14:paraId="03A2B7D3" w14:textId="77777777">
              <w:trPr>
                <w:trHeight w:val="104"/>
              </w:trPr>
              <w:tc>
                <w:tcPr>
                  <w:tcW w:w="2868" w:type="dxa"/>
                </w:tcPr>
                <w:p w14:paraId="77D79944" w14:textId="77777777" w:rsidR="00213E48" w:rsidRPr="009663D6" w:rsidRDefault="00213E48">
                  <w:pPr>
                    <w:pStyle w:val="Pa15"/>
                    <w:rPr>
                      <w:rFonts w:ascii="Trade Gothic LT Std Cn" w:hAnsi="Trade Gothic LT Std Cn" w:cs="Trade Gothic LT Std Cn"/>
                      <w:sz w:val="18"/>
                      <w:szCs w:val="18"/>
                    </w:rPr>
                  </w:pPr>
                  <w:r w:rsidRPr="009663D6">
                    <w:rPr>
                      <w:rFonts w:ascii="Trade Gothic LT Std Cn" w:hAnsi="Trade Gothic LT Std Cn" w:cs="Trade Gothic LT Std Cn"/>
                      <w:sz w:val="18"/>
                      <w:szCs w:val="18"/>
                    </w:rPr>
                    <w:t xml:space="preserve">Prostate cancer diagnosis </w:t>
                  </w:r>
                </w:p>
              </w:tc>
              <w:tc>
                <w:tcPr>
                  <w:tcW w:w="977" w:type="dxa"/>
                </w:tcPr>
                <w:p w14:paraId="29270B07" w14:textId="77777777" w:rsidR="00213E48" w:rsidRPr="009663D6" w:rsidRDefault="00213E48">
                  <w:pPr>
                    <w:pStyle w:val="Pa18"/>
                    <w:jc w:val="center"/>
                    <w:rPr>
                      <w:rFonts w:ascii="Trade Gothic LT Std Cn" w:hAnsi="Trade Gothic LT Std Cn" w:cs="Trade Gothic LT Std Cn"/>
                      <w:sz w:val="18"/>
                      <w:szCs w:val="18"/>
                    </w:rPr>
                  </w:pPr>
                  <w:r w:rsidRPr="009663D6">
                    <w:rPr>
                      <w:rFonts w:ascii="Trade Gothic LT Std Cn" w:hAnsi="Trade Gothic LT Std Cn" w:cs="Trade Gothic LT Std Cn"/>
                      <w:sz w:val="18"/>
                      <w:szCs w:val="18"/>
                    </w:rPr>
                    <w:t xml:space="preserve">Low </w:t>
                  </w:r>
                </w:p>
              </w:tc>
            </w:tr>
            <w:tr w:rsidR="00213E48" w:rsidRPr="009663D6" w14:paraId="30A127DE" w14:textId="77777777">
              <w:trPr>
                <w:trHeight w:val="104"/>
              </w:trPr>
              <w:tc>
                <w:tcPr>
                  <w:tcW w:w="2868" w:type="dxa"/>
                </w:tcPr>
                <w:p w14:paraId="571F0BCA" w14:textId="77777777" w:rsidR="00213E48" w:rsidRPr="009663D6" w:rsidRDefault="00213E48">
                  <w:pPr>
                    <w:pStyle w:val="Pa15"/>
                    <w:rPr>
                      <w:rFonts w:ascii="Trade Gothic LT Std Cn" w:hAnsi="Trade Gothic LT Std Cn" w:cs="Trade Gothic LT Std Cn"/>
                      <w:sz w:val="18"/>
                      <w:szCs w:val="18"/>
                    </w:rPr>
                  </w:pPr>
                  <w:r w:rsidRPr="009663D6">
                    <w:rPr>
                      <w:rFonts w:ascii="Trade Gothic LT Std Cn" w:hAnsi="Trade Gothic LT Std Cn" w:cs="Trade Gothic LT Std Cn"/>
                      <w:sz w:val="18"/>
                      <w:szCs w:val="18"/>
                    </w:rPr>
                    <w:t xml:space="preserve">Diagnosis of Pca on stage 1 </w:t>
                  </w:r>
                </w:p>
              </w:tc>
              <w:tc>
                <w:tcPr>
                  <w:tcW w:w="977" w:type="dxa"/>
                </w:tcPr>
                <w:p w14:paraId="00A8AB15" w14:textId="77777777" w:rsidR="00213E48" w:rsidRPr="009663D6" w:rsidRDefault="00213E48">
                  <w:pPr>
                    <w:pStyle w:val="Pa18"/>
                    <w:jc w:val="center"/>
                    <w:rPr>
                      <w:rFonts w:ascii="Trade Gothic LT Std Cn" w:hAnsi="Trade Gothic LT Std Cn" w:cs="Trade Gothic LT Std Cn"/>
                      <w:sz w:val="18"/>
                      <w:szCs w:val="18"/>
                    </w:rPr>
                  </w:pPr>
                  <w:r w:rsidRPr="009663D6">
                    <w:rPr>
                      <w:rFonts w:ascii="Trade Gothic LT Std Cn" w:hAnsi="Trade Gothic LT Std Cn" w:cs="Trade Gothic LT Std Cn"/>
                      <w:sz w:val="18"/>
                      <w:szCs w:val="18"/>
                    </w:rPr>
                    <w:t xml:space="preserve">Low </w:t>
                  </w:r>
                </w:p>
              </w:tc>
            </w:tr>
            <w:tr w:rsidR="00213E48" w:rsidRPr="009663D6" w14:paraId="25391061" w14:textId="77777777">
              <w:trPr>
                <w:trHeight w:val="104"/>
              </w:trPr>
              <w:tc>
                <w:tcPr>
                  <w:tcW w:w="2868" w:type="dxa"/>
                </w:tcPr>
                <w:p w14:paraId="033B64FB" w14:textId="77777777" w:rsidR="00213E48" w:rsidRPr="009663D6" w:rsidRDefault="00213E48">
                  <w:pPr>
                    <w:pStyle w:val="Pa15"/>
                    <w:rPr>
                      <w:rFonts w:ascii="Trade Gothic LT Std Cn" w:hAnsi="Trade Gothic LT Std Cn" w:cs="Trade Gothic LT Std Cn"/>
                      <w:sz w:val="18"/>
                      <w:szCs w:val="18"/>
                    </w:rPr>
                  </w:pPr>
                  <w:r w:rsidRPr="009663D6">
                    <w:rPr>
                      <w:rFonts w:ascii="Trade Gothic LT Std Cn" w:hAnsi="Trade Gothic LT Std Cn" w:cs="Trade Gothic LT Std Cn"/>
                      <w:sz w:val="18"/>
                      <w:szCs w:val="18"/>
                    </w:rPr>
                    <w:t xml:space="preserve">Diagnosis of Pca on stage 2 </w:t>
                  </w:r>
                </w:p>
              </w:tc>
              <w:tc>
                <w:tcPr>
                  <w:tcW w:w="977" w:type="dxa"/>
                </w:tcPr>
                <w:p w14:paraId="547B0001" w14:textId="77777777" w:rsidR="00213E48" w:rsidRPr="009663D6" w:rsidRDefault="00213E48">
                  <w:pPr>
                    <w:pStyle w:val="Pa18"/>
                    <w:jc w:val="center"/>
                    <w:rPr>
                      <w:rFonts w:ascii="Trade Gothic LT Std Cn" w:hAnsi="Trade Gothic LT Std Cn" w:cs="Trade Gothic LT Std Cn"/>
                      <w:sz w:val="18"/>
                      <w:szCs w:val="18"/>
                    </w:rPr>
                  </w:pPr>
                  <w:r w:rsidRPr="009663D6">
                    <w:rPr>
                      <w:rFonts w:ascii="Trade Gothic LT Std Cn" w:hAnsi="Trade Gothic LT Std Cn" w:cs="Trade Gothic LT Std Cn"/>
                      <w:sz w:val="18"/>
                      <w:szCs w:val="18"/>
                    </w:rPr>
                    <w:t xml:space="preserve">Very low </w:t>
                  </w:r>
                </w:p>
              </w:tc>
            </w:tr>
            <w:tr w:rsidR="00213E48" w:rsidRPr="009663D6" w14:paraId="137D2875" w14:textId="77777777">
              <w:trPr>
                <w:trHeight w:val="104"/>
              </w:trPr>
              <w:tc>
                <w:tcPr>
                  <w:tcW w:w="2868" w:type="dxa"/>
                </w:tcPr>
                <w:p w14:paraId="4FD42BA4" w14:textId="77777777" w:rsidR="00213E48" w:rsidRPr="009663D6" w:rsidRDefault="00213E48">
                  <w:pPr>
                    <w:pStyle w:val="Pa15"/>
                    <w:rPr>
                      <w:rFonts w:ascii="Trade Gothic LT Std Cn" w:hAnsi="Trade Gothic LT Std Cn" w:cs="Trade Gothic LT Std Cn"/>
                      <w:sz w:val="18"/>
                      <w:szCs w:val="18"/>
                    </w:rPr>
                  </w:pPr>
                  <w:r w:rsidRPr="009663D6">
                    <w:rPr>
                      <w:rFonts w:ascii="Trade Gothic LT Std Cn" w:hAnsi="Trade Gothic LT Std Cn" w:cs="Trade Gothic LT Std Cn"/>
                      <w:sz w:val="18"/>
                      <w:szCs w:val="18"/>
                    </w:rPr>
                    <w:t xml:space="preserve">Diagnosis of Pca on stages 3-4 </w:t>
                  </w:r>
                </w:p>
              </w:tc>
              <w:tc>
                <w:tcPr>
                  <w:tcW w:w="977" w:type="dxa"/>
                </w:tcPr>
                <w:p w14:paraId="7C2368F2" w14:textId="77777777" w:rsidR="00213E48" w:rsidRPr="009663D6" w:rsidRDefault="00213E48">
                  <w:pPr>
                    <w:pStyle w:val="Pa18"/>
                    <w:jc w:val="center"/>
                    <w:rPr>
                      <w:rFonts w:ascii="Trade Gothic LT Std Cn" w:hAnsi="Trade Gothic LT Std Cn" w:cs="Trade Gothic LT Std Cn"/>
                      <w:sz w:val="18"/>
                      <w:szCs w:val="18"/>
                    </w:rPr>
                  </w:pPr>
                  <w:r w:rsidRPr="009663D6">
                    <w:rPr>
                      <w:rFonts w:ascii="Trade Gothic LT Std Cn" w:hAnsi="Trade Gothic LT Std Cn" w:cs="Trade Gothic LT Std Cn"/>
                      <w:sz w:val="18"/>
                      <w:szCs w:val="18"/>
                    </w:rPr>
                    <w:t xml:space="preserve">Moderate </w:t>
                  </w:r>
                </w:p>
              </w:tc>
            </w:tr>
          </w:tbl>
          <w:p w14:paraId="712CF77F" w14:textId="77777777" w:rsidR="00213E48" w:rsidRPr="009663D6" w:rsidRDefault="00213E48" w:rsidP="005A51BC">
            <w:pPr>
              <w:jc w:val="both"/>
              <w:rPr>
                <w:rFonts w:ascii="Verdana" w:hAnsi="Verdana" w:cs="SabonLTStd-Roman"/>
                <w:sz w:val="18"/>
                <w:szCs w:val="18"/>
              </w:rPr>
            </w:pPr>
          </w:p>
          <w:p w14:paraId="090CD7DD" w14:textId="77777777" w:rsidR="00213E48" w:rsidRPr="009663D6" w:rsidRDefault="00213E48" w:rsidP="005A51BC">
            <w:pPr>
              <w:pStyle w:val="Default"/>
              <w:rPr>
                <w:rFonts w:ascii="Trade Gothic LT Std Light" w:hAnsi="Trade Gothic LT Std Light" w:cs="Trade Gothic LT Std Light"/>
                <w:color w:val="auto"/>
              </w:rPr>
            </w:pPr>
            <w:r w:rsidRPr="009663D6">
              <w:rPr>
                <w:rFonts w:ascii="Verdana" w:hAnsi="Verdana" w:cs="SabonLTStd-Roman"/>
                <w:color w:val="auto"/>
                <w:sz w:val="18"/>
                <w:szCs w:val="18"/>
              </w:rPr>
              <w:t>Results and conclusion</w:t>
            </w:r>
            <w:r w:rsidRPr="009663D6">
              <w:rPr>
                <w:rFonts w:cs="SabonLTStd-Roman"/>
                <w:color w:val="auto"/>
                <w:sz w:val="18"/>
                <w:szCs w:val="18"/>
              </w:rPr>
              <w:t xml:space="preserve">: </w:t>
            </w:r>
          </w:p>
          <w:p w14:paraId="4F8606C5" w14:textId="77777777" w:rsidR="00213E48" w:rsidRPr="009663D6" w:rsidRDefault="00213E48" w:rsidP="005A51BC">
            <w:pPr>
              <w:widowControl w:val="0"/>
              <w:autoSpaceDE w:val="0"/>
              <w:autoSpaceDN w:val="0"/>
              <w:adjustRightInd w:val="0"/>
              <w:spacing w:after="40" w:line="191" w:lineRule="atLeast"/>
              <w:jc w:val="both"/>
              <w:rPr>
                <w:rFonts w:ascii="Verdana" w:hAnsi="Verdana" w:cs="Trade Gothic LT Std Light"/>
                <w:sz w:val="18"/>
                <w:szCs w:val="19"/>
                <w:lang w:val="en-US" w:eastAsia="en-US"/>
              </w:rPr>
            </w:pPr>
            <w:r w:rsidRPr="009663D6">
              <w:rPr>
                <w:rFonts w:ascii="Verdana" w:hAnsi="Verdana" w:cs="Trade Gothic LT Std Light"/>
                <w:sz w:val="18"/>
                <w:szCs w:val="19"/>
                <w:lang w:val="en-US" w:eastAsia="en-US"/>
              </w:rPr>
              <w:t>No difference in all-cause mortality was ob</w:t>
            </w:r>
            <w:r w:rsidRPr="009663D6">
              <w:rPr>
                <w:rFonts w:ascii="Verdana" w:hAnsi="Verdana" w:cs="Trade Gothic LT Std Light"/>
                <w:sz w:val="18"/>
                <w:szCs w:val="19"/>
                <w:lang w:val="en-US" w:eastAsia="en-US"/>
              </w:rPr>
              <w:softHyphen/>
              <w:t xml:space="preserve">served between the screening and control groups (RR, </w:t>
            </w:r>
            <w:r w:rsidRPr="009663D6">
              <w:rPr>
                <w:rFonts w:ascii="Verdana" w:hAnsi="Verdana" w:cs="Trade Gothic LT Std Light"/>
                <w:sz w:val="18"/>
                <w:szCs w:val="17"/>
                <w:lang w:val="en-US" w:eastAsia="en-US"/>
              </w:rPr>
              <w:t>0</w:t>
            </w:r>
            <w:r w:rsidRPr="009663D6">
              <w:rPr>
                <w:rFonts w:ascii="Verdana" w:hAnsi="Verdana" w:cs="Trade Gothic LT Std Light"/>
                <w:sz w:val="18"/>
                <w:szCs w:val="19"/>
                <w:lang w:val="en-US" w:eastAsia="en-US"/>
              </w:rPr>
              <w:t>.</w:t>
            </w:r>
            <w:r w:rsidRPr="009663D6">
              <w:rPr>
                <w:rFonts w:ascii="Verdana" w:hAnsi="Verdana" w:cs="Trade Gothic LT Std Light"/>
                <w:sz w:val="18"/>
                <w:szCs w:val="17"/>
                <w:lang w:val="en-US" w:eastAsia="en-US"/>
              </w:rPr>
              <w:t>99</w:t>
            </w:r>
            <w:r w:rsidRPr="009663D6">
              <w:rPr>
                <w:rFonts w:ascii="Verdana" w:hAnsi="Verdana" w:cs="Trade Gothic LT Std Light"/>
                <w:sz w:val="18"/>
                <w:szCs w:val="19"/>
                <w:lang w:val="en-US" w:eastAsia="en-US"/>
              </w:rPr>
              <w:t xml:space="preserve">; </w:t>
            </w:r>
            <w:r w:rsidRPr="009663D6">
              <w:rPr>
                <w:rFonts w:ascii="Verdana" w:hAnsi="Verdana" w:cs="Trade Gothic LT Std Light"/>
                <w:sz w:val="18"/>
                <w:szCs w:val="17"/>
                <w:lang w:val="en-US" w:eastAsia="en-US"/>
              </w:rPr>
              <w:t>95</w:t>
            </w:r>
            <w:r w:rsidRPr="009663D6">
              <w:rPr>
                <w:rFonts w:ascii="Verdana" w:hAnsi="Verdana" w:cs="Trade Gothic LT Std Light"/>
                <w:sz w:val="18"/>
                <w:szCs w:val="19"/>
                <w:lang w:val="en-US" w:eastAsia="en-US"/>
              </w:rPr>
              <w:t xml:space="preserve">% CI, </w:t>
            </w:r>
            <w:r w:rsidRPr="009663D6">
              <w:rPr>
                <w:rFonts w:ascii="Verdana" w:hAnsi="Verdana" w:cs="Trade Gothic LT Std Light"/>
                <w:sz w:val="18"/>
                <w:szCs w:val="17"/>
                <w:lang w:val="en-US" w:eastAsia="en-US"/>
              </w:rPr>
              <w:t>0</w:t>
            </w:r>
            <w:r w:rsidRPr="009663D6">
              <w:rPr>
                <w:rFonts w:ascii="Verdana" w:hAnsi="Verdana" w:cs="Trade Gothic LT Std Light"/>
                <w:sz w:val="18"/>
                <w:szCs w:val="19"/>
                <w:lang w:val="en-US" w:eastAsia="en-US"/>
              </w:rPr>
              <w:t>.</w:t>
            </w:r>
            <w:r w:rsidRPr="009663D6">
              <w:rPr>
                <w:rFonts w:ascii="Verdana" w:hAnsi="Verdana" w:cs="Trade Gothic LT Std Light"/>
                <w:sz w:val="18"/>
                <w:szCs w:val="17"/>
                <w:lang w:val="en-US" w:eastAsia="en-US"/>
              </w:rPr>
              <w:t>98</w:t>
            </w:r>
            <w:r w:rsidRPr="009663D6">
              <w:rPr>
                <w:rFonts w:ascii="Verdana" w:hAnsi="Verdana" w:cs="Trade Gothic LT Std Light"/>
                <w:sz w:val="18"/>
                <w:szCs w:val="19"/>
                <w:lang w:val="en-US" w:eastAsia="en-US"/>
              </w:rPr>
              <w:t>-</w:t>
            </w:r>
            <w:r w:rsidRPr="009663D6">
              <w:rPr>
                <w:rFonts w:ascii="Verdana" w:hAnsi="Verdana" w:cs="Trade Gothic LT Std Light"/>
                <w:sz w:val="18"/>
                <w:szCs w:val="17"/>
                <w:lang w:val="en-US" w:eastAsia="en-US"/>
              </w:rPr>
              <w:t>1</w:t>
            </w:r>
            <w:r w:rsidRPr="009663D6">
              <w:rPr>
                <w:rFonts w:ascii="Verdana" w:hAnsi="Verdana" w:cs="Trade Gothic LT Std Light"/>
                <w:sz w:val="18"/>
                <w:szCs w:val="19"/>
                <w:lang w:val="en-US" w:eastAsia="en-US"/>
              </w:rPr>
              <w:t>.</w:t>
            </w:r>
            <w:r w:rsidRPr="009663D6">
              <w:rPr>
                <w:rFonts w:ascii="Verdana" w:hAnsi="Verdana" w:cs="Trade Gothic LT Std Light"/>
                <w:sz w:val="18"/>
                <w:szCs w:val="17"/>
                <w:lang w:val="en-US" w:eastAsia="en-US"/>
              </w:rPr>
              <w:t>01</w:t>
            </w:r>
            <w:r w:rsidRPr="009663D6">
              <w:rPr>
                <w:rFonts w:ascii="Verdana" w:hAnsi="Verdana" w:cs="Trade Gothic LT Std Light"/>
                <w:sz w:val="18"/>
                <w:szCs w:val="19"/>
                <w:lang w:val="en-US" w:eastAsia="en-US"/>
              </w:rPr>
              <w:t>, P =</w:t>
            </w:r>
            <w:r w:rsidRPr="009663D6">
              <w:rPr>
                <w:rFonts w:ascii="Verdana" w:hAnsi="Verdana" w:cs="Trade Gothic LT Std Light"/>
                <w:sz w:val="18"/>
                <w:szCs w:val="17"/>
                <w:lang w:val="en-US" w:eastAsia="en-US"/>
              </w:rPr>
              <w:t>0</w:t>
            </w:r>
            <w:r w:rsidRPr="009663D6">
              <w:rPr>
                <w:rFonts w:ascii="Verdana" w:hAnsi="Verdana" w:cs="Trade Gothic LT Std Light"/>
                <w:sz w:val="18"/>
                <w:szCs w:val="19"/>
                <w:lang w:val="en-US" w:eastAsia="en-US"/>
              </w:rPr>
              <w:t>.</w:t>
            </w:r>
            <w:r w:rsidRPr="009663D6">
              <w:rPr>
                <w:rFonts w:ascii="Verdana" w:hAnsi="Verdana" w:cs="Trade Gothic LT Std Light"/>
                <w:sz w:val="18"/>
                <w:szCs w:val="17"/>
                <w:lang w:val="en-US" w:eastAsia="en-US"/>
              </w:rPr>
              <w:t>50</w:t>
            </w:r>
            <w:r w:rsidRPr="009663D6">
              <w:rPr>
                <w:rFonts w:ascii="Verdana" w:hAnsi="Verdana" w:cs="Trade Gothic LT Std Light"/>
                <w:sz w:val="18"/>
                <w:szCs w:val="19"/>
                <w:lang w:val="en-US" w:eastAsia="en-US"/>
              </w:rPr>
              <w:t xml:space="preserve">). Prostate-cancer-specific mortality, all-cause mortality, and diagnosis of prostate cancer at stages </w:t>
            </w:r>
            <w:r w:rsidRPr="009663D6">
              <w:rPr>
                <w:rFonts w:ascii="Verdana" w:hAnsi="Verdana" w:cs="Trade Gothic LT Std Light"/>
                <w:sz w:val="18"/>
                <w:szCs w:val="17"/>
                <w:lang w:val="en-US" w:eastAsia="en-US"/>
              </w:rPr>
              <w:t>3</w:t>
            </w:r>
            <w:r w:rsidRPr="009663D6">
              <w:rPr>
                <w:rFonts w:ascii="Verdana" w:hAnsi="Verdana" w:cs="Trade Gothic LT Std Light"/>
                <w:sz w:val="18"/>
                <w:szCs w:val="19"/>
                <w:lang w:val="en-US" w:eastAsia="en-US"/>
              </w:rPr>
              <w:t>-</w:t>
            </w:r>
            <w:r w:rsidRPr="009663D6">
              <w:rPr>
                <w:rFonts w:ascii="Verdana" w:hAnsi="Verdana" w:cs="Trade Gothic LT Std Light"/>
                <w:sz w:val="18"/>
                <w:szCs w:val="17"/>
                <w:lang w:val="en-US" w:eastAsia="en-US"/>
              </w:rPr>
              <w:t xml:space="preserve">4 </w:t>
            </w:r>
            <w:r w:rsidRPr="009663D6">
              <w:rPr>
                <w:rFonts w:ascii="Verdana" w:hAnsi="Verdana" w:cs="Trade Gothic LT Std Light"/>
                <w:sz w:val="18"/>
                <w:szCs w:val="19"/>
                <w:lang w:val="en-US" w:eastAsia="en-US"/>
              </w:rPr>
              <w:t xml:space="preserve">showed moderate levels of evidence. Differently from prior studies, our review included updated Norrköping data and assessed the sole effect of PSA testing for prostate cancer screening. PSA screening alone did not increase early stage prostate cancer detection and did not lower mortality. </w:t>
            </w:r>
          </w:p>
          <w:p w14:paraId="233F419C" w14:textId="77777777" w:rsidR="00213E48" w:rsidRPr="009663D6" w:rsidRDefault="00213E48" w:rsidP="005A51BC">
            <w:pPr>
              <w:jc w:val="both"/>
              <w:rPr>
                <w:rFonts w:ascii="Verdana" w:hAnsi="Verdana" w:cs="SabonLTStd-Roman"/>
                <w:sz w:val="18"/>
                <w:szCs w:val="18"/>
              </w:rPr>
            </w:pPr>
            <w:r w:rsidRPr="009663D6">
              <w:rPr>
                <w:rFonts w:ascii="Verdana" w:hAnsi="Verdana" w:cs="SabonLTStd-Roman"/>
                <w:sz w:val="18"/>
                <w:szCs w:val="18"/>
              </w:rPr>
              <w:t>KNH haigetel PSA skriiningu kasu ja vajadust selles ülevaates  pole kirjeldatud.</w:t>
            </w:r>
          </w:p>
          <w:p w14:paraId="5CF42A16" w14:textId="77777777" w:rsidR="00213E48" w:rsidRPr="007231B0" w:rsidRDefault="00213E48" w:rsidP="005A51BC">
            <w:pPr>
              <w:rPr>
                <w:rFonts w:ascii="Verdana" w:hAnsi="Verdana" w:cs="Trade Gothic LT Std Light"/>
                <w:color w:val="17365D"/>
                <w:sz w:val="18"/>
                <w:szCs w:val="19"/>
                <w:lang w:val="en-US" w:eastAsia="en-US"/>
              </w:rPr>
            </w:pPr>
          </w:p>
          <w:p w14:paraId="393B61A4" w14:textId="77777777" w:rsidR="00213E48" w:rsidRDefault="00881875" w:rsidP="005A51BC">
            <w:pPr>
              <w:rPr>
                <w:rFonts w:ascii="Verdana" w:hAnsi="Verdana" w:cs="SabonLTStd-Roman"/>
                <w:color w:val="000080"/>
                <w:sz w:val="18"/>
                <w:szCs w:val="18"/>
              </w:rPr>
            </w:pPr>
            <w:hyperlink r:id="rId14" w:history="1">
              <w:r w:rsidR="00213E48" w:rsidRPr="00925471">
                <w:rPr>
                  <w:rStyle w:val="Hyperlink"/>
                  <w:rFonts w:ascii="Verdana" w:hAnsi="Verdana" w:cs="SabonLTStd-Roman"/>
                  <w:sz w:val="18"/>
                  <w:szCs w:val="18"/>
                </w:rPr>
                <w:t>http://www.annlabmed.org/journal/viewJournal.html?year=2013&amp;vol=33&amp;page=233</w:t>
              </w:r>
            </w:hyperlink>
          </w:p>
          <w:p w14:paraId="2C7DC8D4" w14:textId="77777777" w:rsidR="00213E48" w:rsidRPr="00185231" w:rsidRDefault="00213E48" w:rsidP="005A51BC">
            <w:pPr>
              <w:rPr>
                <w:rFonts w:ascii="Verdana" w:hAnsi="Verdana" w:cs="SabonLTStd-Roman"/>
                <w:color w:val="000080"/>
                <w:sz w:val="18"/>
                <w:szCs w:val="18"/>
              </w:rPr>
            </w:pPr>
          </w:p>
        </w:tc>
      </w:tr>
      <w:tr w:rsidR="00213E48" w:rsidRPr="00FE17E8" w14:paraId="51680699" w14:textId="77777777">
        <w:tc>
          <w:tcPr>
            <w:tcW w:w="2694" w:type="dxa"/>
          </w:tcPr>
          <w:p w14:paraId="7478782A" w14:textId="77777777" w:rsidR="00213E48" w:rsidRPr="0008744A" w:rsidRDefault="00213E48" w:rsidP="005A51BC">
            <w:pPr>
              <w:pStyle w:val="Heading1"/>
              <w:spacing w:before="2" w:after="2"/>
              <w:jc w:val="both"/>
              <w:rPr>
                <w:rFonts w:ascii="Verdana" w:hAnsi="Verdana"/>
                <w:sz w:val="18"/>
              </w:rPr>
            </w:pPr>
            <w:r w:rsidRPr="0008744A">
              <w:rPr>
                <w:rStyle w:val="highlight"/>
                <w:rFonts w:ascii="Verdana" w:hAnsi="Verdana"/>
                <w:sz w:val="18"/>
              </w:rPr>
              <w:t>6. Screening</w:t>
            </w:r>
            <w:r w:rsidRPr="0008744A">
              <w:rPr>
                <w:rFonts w:ascii="Verdana" w:hAnsi="Verdana"/>
                <w:sz w:val="18"/>
              </w:rPr>
              <w:t xml:space="preserve"> for </w:t>
            </w:r>
            <w:r w:rsidRPr="0008744A">
              <w:rPr>
                <w:rStyle w:val="highlight"/>
                <w:rFonts w:ascii="Verdana" w:hAnsi="Verdana"/>
                <w:sz w:val="18"/>
              </w:rPr>
              <w:t>prostate cancer</w:t>
            </w:r>
            <w:r w:rsidRPr="0008744A">
              <w:rPr>
                <w:rFonts w:ascii="Verdana" w:hAnsi="Verdana"/>
                <w:sz w:val="18"/>
              </w:rPr>
              <w:t xml:space="preserve"> with </w:t>
            </w:r>
            <w:r w:rsidRPr="0008744A">
              <w:rPr>
                <w:rStyle w:val="highlight"/>
                <w:rFonts w:ascii="Verdana" w:hAnsi="Verdana"/>
                <w:sz w:val="18"/>
              </w:rPr>
              <w:t>the prostate</w:t>
            </w:r>
            <w:r w:rsidRPr="0008744A">
              <w:rPr>
                <w:rFonts w:ascii="Verdana" w:hAnsi="Verdana"/>
                <w:sz w:val="18"/>
              </w:rPr>
              <w:t>-</w:t>
            </w:r>
            <w:r w:rsidRPr="0008744A">
              <w:rPr>
                <w:rStyle w:val="highlight"/>
                <w:rFonts w:ascii="Verdana" w:hAnsi="Verdana"/>
                <w:sz w:val="18"/>
              </w:rPr>
              <w:t>specific</w:t>
            </w:r>
            <w:r w:rsidRPr="0008744A">
              <w:rPr>
                <w:rFonts w:ascii="Verdana" w:hAnsi="Verdana"/>
                <w:sz w:val="18"/>
              </w:rPr>
              <w:t xml:space="preserve"> </w:t>
            </w:r>
            <w:r w:rsidRPr="0008744A">
              <w:rPr>
                <w:rStyle w:val="highlight"/>
                <w:rFonts w:ascii="Verdana" w:hAnsi="Verdana"/>
                <w:sz w:val="18"/>
              </w:rPr>
              <w:t>antigen</w:t>
            </w:r>
            <w:r w:rsidRPr="0008744A">
              <w:rPr>
                <w:rFonts w:ascii="Verdana" w:hAnsi="Verdana"/>
                <w:sz w:val="18"/>
              </w:rPr>
              <w:t xml:space="preserve"> </w:t>
            </w:r>
            <w:r w:rsidRPr="0008744A">
              <w:rPr>
                <w:rStyle w:val="highlight"/>
                <w:rFonts w:ascii="Verdana" w:hAnsi="Verdana"/>
                <w:sz w:val="18"/>
              </w:rPr>
              <w:t>test</w:t>
            </w:r>
            <w:r w:rsidRPr="0008744A">
              <w:rPr>
                <w:rFonts w:ascii="Verdana" w:hAnsi="Verdana"/>
                <w:sz w:val="18"/>
              </w:rPr>
              <w:t xml:space="preserve">: a </w:t>
            </w:r>
            <w:r w:rsidRPr="0008744A">
              <w:rPr>
                <w:rStyle w:val="highlight"/>
                <w:rFonts w:ascii="Verdana" w:hAnsi="Verdana"/>
                <w:sz w:val="18"/>
              </w:rPr>
              <w:t>review</w:t>
            </w:r>
            <w:r w:rsidRPr="0008744A">
              <w:rPr>
                <w:rFonts w:ascii="Verdana" w:hAnsi="Verdana"/>
                <w:sz w:val="18"/>
              </w:rPr>
              <w:t xml:space="preserve"> of current evidence.(2014)</w:t>
            </w:r>
          </w:p>
          <w:p w14:paraId="028ABA0A" w14:textId="77777777" w:rsidR="00213E48" w:rsidRPr="00185231" w:rsidRDefault="00213E48" w:rsidP="005A51BC">
            <w:pPr>
              <w:rPr>
                <w:rFonts w:ascii="Verdana" w:hAnsi="Verdana" w:cs="SabonLTStd-Roman"/>
                <w:color w:val="000080"/>
                <w:sz w:val="18"/>
                <w:szCs w:val="18"/>
              </w:rPr>
            </w:pPr>
          </w:p>
        </w:tc>
        <w:tc>
          <w:tcPr>
            <w:tcW w:w="8505" w:type="dxa"/>
          </w:tcPr>
          <w:p w14:paraId="3C9C10BE" w14:textId="77777777" w:rsidR="00213E48" w:rsidRPr="009663D6" w:rsidRDefault="00213E48" w:rsidP="005A51BC">
            <w:pPr>
              <w:jc w:val="both"/>
              <w:rPr>
                <w:rFonts w:ascii="Verdana" w:hAnsi="Verdana" w:cs="SabonLTStd-Roman"/>
                <w:sz w:val="18"/>
                <w:szCs w:val="18"/>
              </w:rPr>
            </w:pPr>
            <w:r w:rsidRPr="009663D6">
              <w:rPr>
                <w:rFonts w:ascii="Verdana" w:hAnsi="Verdana" w:cs="SabonLTStd-Roman"/>
                <w:sz w:val="18"/>
                <w:szCs w:val="18"/>
              </w:rPr>
              <w:t xml:space="preserve">Ülevaade käsitleb 2 suure randomiseeritud uuringu tulemusi (ERSPC jälgimisperioodiga 11 aastat ja PLCO jälgimisperioodiga 13 aastat). </w:t>
            </w:r>
            <w:r w:rsidRPr="009663D6">
              <w:rPr>
                <w:rFonts w:ascii="Verdana" w:hAnsi="Verdana"/>
                <w:b/>
                <w:sz w:val="18"/>
                <w:szCs w:val="20"/>
                <w:lang w:val="ru-RU" w:eastAsia="en-US"/>
              </w:rPr>
              <w:t>Results</w:t>
            </w:r>
            <w:r w:rsidRPr="009663D6">
              <w:rPr>
                <w:rFonts w:ascii="Verdana" w:hAnsi="Verdana"/>
                <w:sz w:val="18"/>
                <w:szCs w:val="20"/>
                <w:lang w:val="ru-RU" w:eastAsia="en-US"/>
              </w:rPr>
              <w:t>  Two trials—the Prostate, Lung, Colorectal and Ovarian (PLCO) screening trial and the</w:t>
            </w:r>
            <w:r w:rsidRPr="009663D6">
              <w:rPr>
                <w:rFonts w:ascii="Verdana" w:hAnsi="Verdana" w:cs="SabonLTStd-Roman"/>
                <w:sz w:val="18"/>
                <w:szCs w:val="18"/>
              </w:rPr>
              <w:t xml:space="preserve"> </w:t>
            </w:r>
            <w:r w:rsidRPr="009663D6">
              <w:rPr>
                <w:rFonts w:ascii="Verdana" w:hAnsi="Verdana"/>
                <w:sz w:val="18"/>
                <w:szCs w:val="20"/>
                <w:lang w:val="ru-RU" w:eastAsia="en-US"/>
              </w:rPr>
              <w:t>European Randomized Study of Screening for Prostate Cancer (ERSPC)—dominate the evidence</w:t>
            </w:r>
            <w:r w:rsidRPr="009663D6">
              <w:rPr>
                <w:rFonts w:ascii="Verdana" w:hAnsi="Verdana"/>
                <w:sz w:val="18"/>
                <w:szCs w:val="20"/>
                <w:lang w:eastAsia="en-US"/>
              </w:rPr>
              <w:t xml:space="preserve"> </w:t>
            </w:r>
            <w:r w:rsidRPr="009663D6">
              <w:rPr>
                <w:rFonts w:ascii="Verdana" w:hAnsi="Verdana"/>
                <w:sz w:val="18"/>
                <w:szCs w:val="20"/>
                <w:lang w:val="ru-RU" w:eastAsia="en-US"/>
              </w:rPr>
              <w:t xml:space="preserve">regarding PSA screening. The former trial demonstrated an increase in cancer incidence in the </w:t>
            </w:r>
            <w:r w:rsidRPr="009663D6">
              <w:rPr>
                <w:rFonts w:ascii="Verdana" w:hAnsi="Verdana"/>
                <w:sz w:val="18"/>
                <w:szCs w:val="20"/>
                <w:lang w:eastAsia="en-US"/>
              </w:rPr>
              <w:t xml:space="preserve"> </w:t>
            </w:r>
            <w:r w:rsidRPr="009663D6">
              <w:rPr>
                <w:rFonts w:ascii="Verdana" w:hAnsi="Verdana"/>
                <w:sz w:val="18"/>
                <w:szCs w:val="20"/>
                <w:lang w:val="ru-RU" w:eastAsia="en-US"/>
              </w:rPr>
              <w:t xml:space="preserve">screening group (relative risk [RR], 1.12; 95% CI, 1.07-1.17) but no cancer-specific mortality </w:t>
            </w:r>
            <w:r w:rsidRPr="009663D6">
              <w:rPr>
                <w:rFonts w:ascii="Verdana" w:hAnsi="Verdana"/>
                <w:sz w:val="18"/>
                <w:szCs w:val="20"/>
                <w:lang w:eastAsia="en-US"/>
              </w:rPr>
              <w:t xml:space="preserve"> </w:t>
            </w:r>
            <w:r w:rsidRPr="009663D6">
              <w:rPr>
                <w:rFonts w:ascii="Verdana" w:hAnsi="Verdana"/>
                <w:sz w:val="18"/>
                <w:szCs w:val="20"/>
                <w:lang w:val="ru-RU" w:eastAsia="en-US"/>
              </w:rPr>
              <w:t>benefit to PSA screening after 13-year follow-up (RR, 1.09; 95% CI, 0.87-1.36). The ERSPC demonstrated an increase in cancer incidence with screening (RR, 1.63; 95% CI, 1.57-1.69) and an improvement in the risk of prostate cancer–specific death after 11 years (RR, 0.79; 95% CI, 0.68-0.91). The ERSPC documented that 37 additional men needed to receive a diagnosis</w:t>
            </w:r>
            <w:r w:rsidRPr="009663D6">
              <w:rPr>
                <w:rFonts w:ascii="Verdana" w:hAnsi="Verdana"/>
                <w:sz w:val="18"/>
                <w:szCs w:val="20"/>
                <w:lang w:eastAsia="en-US"/>
              </w:rPr>
              <w:t xml:space="preserve"> </w:t>
            </w:r>
            <w:r w:rsidRPr="009663D6">
              <w:rPr>
                <w:rFonts w:ascii="Verdana" w:hAnsi="Verdana"/>
                <w:sz w:val="18"/>
                <w:szCs w:val="20"/>
                <w:lang w:val="ru-RU" w:eastAsia="en-US"/>
              </w:rPr>
              <w:t xml:space="preserve">through screening for every 1 fewer prostate cancer death after 11 years of follow-up among </w:t>
            </w:r>
            <w:r w:rsidRPr="009663D6">
              <w:rPr>
                <w:rFonts w:ascii="Verdana" w:hAnsi="Verdana"/>
                <w:sz w:val="18"/>
                <w:szCs w:val="20"/>
                <w:lang w:eastAsia="en-US"/>
              </w:rPr>
              <w:t xml:space="preserve"> </w:t>
            </w:r>
            <w:r w:rsidRPr="009663D6">
              <w:rPr>
                <w:rFonts w:ascii="Verdana" w:hAnsi="Verdana"/>
                <w:sz w:val="18"/>
                <w:szCs w:val="20"/>
                <w:lang w:val="ru-RU" w:eastAsia="en-US"/>
              </w:rPr>
              <w:t xml:space="preserve">men aged 55 to 69 years (level B evidence for prostate cancer </w:t>
            </w:r>
            <w:r w:rsidRPr="009663D6">
              <w:rPr>
                <w:rFonts w:ascii="Verdana" w:hAnsi="Verdana"/>
                <w:sz w:val="18"/>
                <w:szCs w:val="20"/>
                <w:lang w:val="ru-RU" w:eastAsia="en-US"/>
              </w:rPr>
              <w:lastRenderedPageBreak/>
              <w:t>mortality reduction). Harms associated with screening include false-positive results and complications of biopsy and treatment. Modeling studies suggest that this high ratio of additional men receiving diagnoses to prostate cancer deaths prevented will decrease during a longer follow-up (level B evidence).</w:t>
            </w:r>
          </w:p>
          <w:p w14:paraId="790984A9" w14:textId="77777777" w:rsidR="00213E48" w:rsidRPr="009663D6" w:rsidRDefault="00213E48" w:rsidP="005A51BC">
            <w:pPr>
              <w:jc w:val="both"/>
              <w:rPr>
                <w:rFonts w:ascii="Verdana" w:hAnsi="Verdana" w:cs="SabonLTStd-Roman"/>
                <w:sz w:val="18"/>
                <w:szCs w:val="18"/>
              </w:rPr>
            </w:pPr>
            <w:r w:rsidRPr="009663D6">
              <w:rPr>
                <w:rStyle w:val="abstract0"/>
                <w:rFonts w:ascii="Verdana" w:hAnsi="Verdana"/>
                <w:b/>
                <w:sz w:val="18"/>
              </w:rPr>
              <w:t>Conclusion</w:t>
            </w:r>
            <w:r w:rsidRPr="009663D6">
              <w:rPr>
                <w:rStyle w:val="abstract0"/>
                <w:rFonts w:ascii="Verdana" w:hAnsi="Verdana"/>
                <w:sz w:val="18"/>
              </w:rPr>
              <w:t xml:space="preserve"> Only men who express a definite preference for screening should have PSA testing. Other strategies to mitigate the potential harms of screening include considering biennial screening, a higher PSA threshold for biopsy, and conservative therapy for men receiving a new diagnosis of prostate cancer.</w:t>
            </w:r>
          </w:p>
          <w:p w14:paraId="1406C6EF" w14:textId="77777777" w:rsidR="00213E48" w:rsidRDefault="00213E48" w:rsidP="005A51BC">
            <w:pPr>
              <w:rPr>
                <w:rFonts w:ascii="Verdana" w:hAnsi="Verdana" w:cs="SabonLTStd-Roman"/>
                <w:color w:val="000080"/>
                <w:sz w:val="18"/>
                <w:szCs w:val="18"/>
              </w:rPr>
            </w:pPr>
          </w:p>
          <w:p w14:paraId="0332B8C2" w14:textId="77777777" w:rsidR="00213E48" w:rsidRDefault="00881875" w:rsidP="005A51BC">
            <w:pPr>
              <w:rPr>
                <w:rFonts w:ascii="Verdana" w:hAnsi="Verdana" w:cs="SabonLTStd-Roman"/>
                <w:color w:val="000080"/>
                <w:sz w:val="18"/>
                <w:szCs w:val="18"/>
              </w:rPr>
            </w:pPr>
            <w:hyperlink r:id="rId15" w:history="1">
              <w:r w:rsidR="00213E48" w:rsidRPr="00925471">
                <w:rPr>
                  <w:rStyle w:val="Hyperlink"/>
                  <w:rFonts w:ascii="Verdana" w:hAnsi="Verdana" w:cs="SabonLTStd-Roman"/>
                  <w:sz w:val="18"/>
                  <w:szCs w:val="18"/>
                </w:rPr>
                <w:t>http://jama.jamanetwork.com/article.aspx?articleid=1841972</w:t>
              </w:r>
            </w:hyperlink>
          </w:p>
          <w:p w14:paraId="69532FBA" w14:textId="77777777" w:rsidR="00213E48" w:rsidRPr="00185231" w:rsidRDefault="00213E48" w:rsidP="005A51BC">
            <w:pPr>
              <w:rPr>
                <w:rFonts w:ascii="Verdana" w:hAnsi="Verdana" w:cs="SabonLTStd-Roman"/>
                <w:color w:val="000080"/>
                <w:sz w:val="18"/>
                <w:szCs w:val="18"/>
              </w:rPr>
            </w:pPr>
          </w:p>
        </w:tc>
      </w:tr>
      <w:tr w:rsidR="00213E48" w:rsidRPr="00FE17E8" w14:paraId="52A1624B" w14:textId="77777777">
        <w:tc>
          <w:tcPr>
            <w:tcW w:w="2694" w:type="dxa"/>
          </w:tcPr>
          <w:p w14:paraId="6D93DD52" w14:textId="77777777" w:rsidR="00213E48" w:rsidRPr="0008744A" w:rsidRDefault="00213E48" w:rsidP="005A51BC">
            <w:pPr>
              <w:pStyle w:val="Heading1"/>
              <w:spacing w:before="2" w:after="2"/>
              <w:rPr>
                <w:rStyle w:val="highlight"/>
                <w:b w:val="0"/>
                <w:bCs w:val="0"/>
                <w:kern w:val="0"/>
                <w:sz w:val="24"/>
                <w:szCs w:val="24"/>
              </w:rPr>
            </w:pPr>
            <w:r w:rsidRPr="0008744A">
              <w:rPr>
                <w:rStyle w:val="highlight"/>
                <w:rFonts w:ascii="Verdana" w:hAnsi="Verdana"/>
                <w:sz w:val="18"/>
              </w:rPr>
              <w:lastRenderedPageBreak/>
              <w:t>7. Association</w:t>
            </w:r>
            <w:r w:rsidRPr="0008744A">
              <w:rPr>
                <w:rFonts w:ascii="Verdana" w:hAnsi="Verdana"/>
                <w:sz w:val="18"/>
              </w:rPr>
              <w:t xml:space="preserve"> between </w:t>
            </w:r>
            <w:r w:rsidRPr="0008744A">
              <w:rPr>
                <w:rStyle w:val="highlight"/>
                <w:rFonts w:ascii="Verdana" w:hAnsi="Verdana"/>
                <w:sz w:val="18"/>
              </w:rPr>
              <w:t>chronic</w:t>
            </w:r>
            <w:r w:rsidRPr="0008744A">
              <w:rPr>
                <w:rFonts w:ascii="Verdana" w:hAnsi="Verdana"/>
                <w:sz w:val="18"/>
              </w:rPr>
              <w:t xml:space="preserve"> </w:t>
            </w:r>
            <w:r w:rsidRPr="0008744A">
              <w:rPr>
                <w:rStyle w:val="highlight"/>
                <w:rFonts w:ascii="Verdana" w:hAnsi="Verdana"/>
                <w:sz w:val="18"/>
              </w:rPr>
              <w:t>kidney</w:t>
            </w:r>
            <w:r w:rsidRPr="0008744A">
              <w:rPr>
                <w:rFonts w:ascii="Verdana" w:hAnsi="Verdana"/>
                <w:sz w:val="18"/>
              </w:rPr>
              <w:t xml:space="preserve"> </w:t>
            </w:r>
            <w:r w:rsidRPr="0008744A">
              <w:rPr>
                <w:rStyle w:val="highlight"/>
                <w:rFonts w:ascii="Verdana" w:hAnsi="Verdana"/>
                <w:sz w:val="18"/>
              </w:rPr>
              <w:t>disease</w:t>
            </w:r>
            <w:r w:rsidRPr="0008744A">
              <w:rPr>
                <w:rFonts w:ascii="Verdana" w:hAnsi="Verdana"/>
                <w:sz w:val="18"/>
              </w:rPr>
              <w:t xml:space="preserve"> and </w:t>
            </w:r>
            <w:r w:rsidRPr="0008744A">
              <w:rPr>
                <w:rStyle w:val="highlight"/>
                <w:rFonts w:ascii="Verdana" w:hAnsi="Verdana"/>
                <w:sz w:val="18"/>
              </w:rPr>
              <w:t>small</w:t>
            </w:r>
            <w:r w:rsidRPr="0008744A">
              <w:rPr>
                <w:rFonts w:ascii="Verdana" w:hAnsi="Verdana"/>
                <w:sz w:val="18"/>
              </w:rPr>
              <w:t xml:space="preserve"> </w:t>
            </w:r>
            <w:r w:rsidRPr="0008744A">
              <w:rPr>
                <w:rStyle w:val="highlight"/>
                <w:rFonts w:ascii="Verdana" w:hAnsi="Verdana"/>
                <w:sz w:val="18"/>
              </w:rPr>
              <w:t>residual</w:t>
            </w:r>
            <w:r w:rsidRPr="0008744A">
              <w:rPr>
                <w:rFonts w:ascii="Verdana" w:hAnsi="Verdana"/>
                <w:sz w:val="18"/>
              </w:rPr>
              <w:t xml:space="preserve"> </w:t>
            </w:r>
            <w:r w:rsidRPr="0008744A">
              <w:rPr>
                <w:rStyle w:val="highlight"/>
                <w:rFonts w:ascii="Verdana" w:hAnsi="Verdana"/>
                <w:sz w:val="18"/>
              </w:rPr>
              <w:t>urine</w:t>
            </w:r>
            <w:r w:rsidRPr="0008744A">
              <w:rPr>
                <w:rFonts w:ascii="Verdana" w:hAnsi="Verdana"/>
                <w:sz w:val="18"/>
              </w:rPr>
              <w:t xml:space="preserve"> </w:t>
            </w:r>
            <w:r w:rsidRPr="0008744A">
              <w:rPr>
                <w:rStyle w:val="highlight"/>
                <w:rFonts w:ascii="Verdana" w:hAnsi="Verdana"/>
                <w:sz w:val="18"/>
              </w:rPr>
              <w:t>volumes</w:t>
            </w:r>
            <w:r w:rsidRPr="0008744A">
              <w:rPr>
                <w:rFonts w:ascii="Verdana" w:hAnsi="Verdana"/>
                <w:sz w:val="18"/>
              </w:rPr>
              <w:t xml:space="preserve"> in patients with benign prostatic hyperplasia.(2011)</w:t>
            </w:r>
          </w:p>
        </w:tc>
        <w:tc>
          <w:tcPr>
            <w:tcW w:w="8505" w:type="dxa"/>
          </w:tcPr>
          <w:p w14:paraId="6E6FC26A" w14:textId="77777777" w:rsidR="00213E48" w:rsidRPr="00CC285E" w:rsidRDefault="00213E48" w:rsidP="00E94038">
            <w:pPr>
              <w:spacing w:beforeLines="1" w:before="2" w:afterLines="1" w:after="2"/>
              <w:jc w:val="both"/>
              <w:rPr>
                <w:rFonts w:ascii="Verdana" w:hAnsi="Verdana"/>
                <w:sz w:val="18"/>
                <w:szCs w:val="20"/>
                <w:lang w:val="ru-RU" w:eastAsia="en-US"/>
              </w:rPr>
            </w:pPr>
            <w:r w:rsidRPr="00CC285E">
              <w:rPr>
                <w:rFonts w:ascii="Verdana" w:hAnsi="Verdana"/>
                <w:b/>
                <w:sz w:val="18"/>
                <w:szCs w:val="20"/>
                <w:lang w:val="ru-RU" w:eastAsia="en-US"/>
              </w:rPr>
              <w:t>Aim: </w:t>
            </w:r>
            <w:r w:rsidRPr="00CC285E">
              <w:rPr>
                <w:rFonts w:ascii="Verdana" w:hAnsi="Verdana"/>
                <w:sz w:val="18"/>
                <w:szCs w:val="20"/>
                <w:lang w:val="ru-RU" w:eastAsia="en-US"/>
              </w:rPr>
              <w:t xml:space="preserve"> It has been well described that large residual urine volumes (≥300 mL) affect renal function in advanced benign prostatic hyperplasia (BPH). However, it is not clear whether small residual urine volumes (&lt;100 mL) are related to renal function. The present study was performed to examine the association between chronic kidney disease (CKD) and the post-void residual urine volume (PVR) in BPH patients.</w:t>
            </w:r>
          </w:p>
          <w:p w14:paraId="737F8856" w14:textId="77777777" w:rsidR="00213E48" w:rsidRPr="00CC285E" w:rsidRDefault="00213E48" w:rsidP="00E94038">
            <w:pPr>
              <w:spacing w:beforeLines="1" w:before="2" w:afterLines="1" w:after="2"/>
              <w:jc w:val="both"/>
              <w:rPr>
                <w:rFonts w:ascii="Verdana" w:hAnsi="Verdana"/>
                <w:sz w:val="18"/>
                <w:szCs w:val="20"/>
                <w:lang w:val="ru-RU" w:eastAsia="en-US"/>
              </w:rPr>
            </w:pPr>
            <w:r w:rsidRPr="00CC285E">
              <w:rPr>
                <w:rFonts w:ascii="Verdana" w:hAnsi="Verdana"/>
                <w:b/>
                <w:sz w:val="18"/>
                <w:szCs w:val="20"/>
                <w:lang w:val="ru-RU" w:eastAsia="en-US"/>
              </w:rPr>
              <w:t>Methods: </w:t>
            </w:r>
            <w:r w:rsidRPr="00CC285E">
              <w:rPr>
                <w:rFonts w:ascii="Verdana" w:hAnsi="Verdana"/>
                <w:sz w:val="18"/>
                <w:szCs w:val="20"/>
                <w:lang w:val="ru-RU" w:eastAsia="en-US"/>
              </w:rPr>
              <w:t xml:space="preserve"> A cross-sectional study was performed in 160 consecutive BPH patients with PVR of less than 100 mL. We first determined the stage of CKD and compared the PVR in subjects with/without CKD. Next, we divided the subjects into three groups according to the extent of PVR (PVR &lt; 12 mL, 12 mL ≤ PVR &lt; 50 mL, 50 mL ≤ PVR &lt; 100 mL) and compared the estimated glomerular filtration rate (eGFR) among these groups. Moreover, risk factors associated with CKD, including the presence of post-void residual urine, were explored by multiple logistic regression analysis.</w:t>
            </w:r>
          </w:p>
          <w:p w14:paraId="233D4FDD" w14:textId="77777777" w:rsidR="00213E48" w:rsidRPr="003E47F8" w:rsidRDefault="00213E48" w:rsidP="00E94038">
            <w:pPr>
              <w:spacing w:beforeLines="1" w:before="2" w:afterLines="1" w:after="2"/>
              <w:jc w:val="both"/>
              <w:rPr>
                <w:rFonts w:ascii="Verdana" w:hAnsi="Verdana"/>
                <w:b/>
                <w:sz w:val="18"/>
                <w:szCs w:val="20"/>
                <w:lang w:val="ru-RU" w:eastAsia="en-US"/>
              </w:rPr>
            </w:pPr>
            <w:r w:rsidRPr="00CC285E">
              <w:rPr>
                <w:rFonts w:ascii="Verdana" w:hAnsi="Verdana"/>
                <w:b/>
                <w:sz w:val="18"/>
                <w:szCs w:val="20"/>
                <w:lang w:val="ru-RU" w:eastAsia="en-US"/>
              </w:rPr>
              <w:t>Results: </w:t>
            </w:r>
            <w:r w:rsidRPr="00CC285E">
              <w:rPr>
                <w:rFonts w:ascii="Verdana" w:hAnsi="Verdana"/>
                <w:sz w:val="18"/>
                <w:szCs w:val="20"/>
                <w:lang w:val="ru-RU" w:eastAsia="en-US"/>
              </w:rPr>
              <w:t xml:space="preserve"> The PVR of the patients with CKD was significantly greater than that of the patients without CKD. The group with the normal PVR (group PVR &lt; 12 mL) had a significantly higher eGFR compared with the other two groups. </w:t>
            </w:r>
            <w:r w:rsidRPr="003E47F8">
              <w:rPr>
                <w:rFonts w:ascii="Verdana" w:hAnsi="Verdana"/>
                <w:b/>
                <w:sz w:val="18"/>
                <w:szCs w:val="20"/>
                <w:lang w:val="ru-RU" w:eastAsia="en-US"/>
              </w:rPr>
              <w:t>Multivariate analysis demonstrated that the presence of post-void residual urine (PVR ≥12 mL) was a significant and independent risk factor associated with the presence of CKD.</w:t>
            </w:r>
          </w:p>
          <w:p w14:paraId="75E1B4B0" w14:textId="77777777" w:rsidR="00213E48" w:rsidRDefault="00213E48" w:rsidP="00E94038">
            <w:pPr>
              <w:spacing w:beforeLines="1" w:before="2" w:afterLines="1" w:after="2"/>
              <w:jc w:val="both"/>
              <w:rPr>
                <w:rFonts w:ascii="Verdana" w:hAnsi="Verdana"/>
                <w:sz w:val="18"/>
                <w:szCs w:val="20"/>
                <w:lang w:val="ru-RU" w:eastAsia="en-US"/>
              </w:rPr>
            </w:pPr>
            <w:r w:rsidRPr="00CC285E">
              <w:rPr>
                <w:rFonts w:ascii="Verdana" w:hAnsi="Verdana"/>
                <w:b/>
                <w:sz w:val="18"/>
                <w:szCs w:val="20"/>
                <w:lang w:val="ru-RU" w:eastAsia="en-US"/>
              </w:rPr>
              <w:t>Conclusion: </w:t>
            </w:r>
            <w:r w:rsidRPr="00CC285E">
              <w:rPr>
                <w:rFonts w:ascii="Verdana" w:hAnsi="Verdana"/>
                <w:sz w:val="18"/>
                <w:szCs w:val="20"/>
                <w:lang w:val="ru-RU" w:eastAsia="en-US"/>
              </w:rPr>
              <w:t xml:space="preserve"> In BPH patients, the PVR of the patients with CKD was significantly greater than that of the patients without CKD and the presence of post-void residual urine (PVR ≥12 mL) was independently associated with CKD, indicating a close association between CKD and small residual urine volumes.</w:t>
            </w:r>
          </w:p>
          <w:p w14:paraId="6C4B4B3F" w14:textId="77777777" w:rsidR="00213E48" w:rsidRPr="000E3E34" w:rsidRDefault="00213E48" w:rsidP="00E94038">
            <w:pPr>
              <w:spacing w:beforeLines="1" w:before="2" w:afterLines="1" w:after="2"/>
              <w:jc w:val="both"/>
              <w:rPr>
                <w:rFonts w:ascii="Verdana" w:hAnsi="Verdana"/>
                <w:sz w:val="18"/>
                <w:szCs w:val="20"/>
                <w:lang w:val="ru-RU" w:eastAsia="en-US"/>
              </w:rPr>
            </w:pPr>
            <w:r w:rsidRPr="00EA656B">
              <w:rPr>
                <w:rFonts w:ascii="Verdana" w:hAnsi="Verdana"/>
                <w:b/>
                <w:sz w:val="18"/>
                <w:szCs w:val="20"/>
                <w:lang w:val="ru-RU" w:eastAsia="en-US"/>
              </w:rPr>
              <w:t>Limitations:</w:t>
            </w:r>
            <w:r>
              <w:rPr>
                <w:b/>
                <w:sz w:val="18"/>
                <w:szCs w:val="20"/>
                <w:lang w:val="ru-RU" w:eastAsia="en-US"/>
              </w:rPr>
              <w:t xml:space="preserve"> </w:t>
            </w:r>
            <w:r w:rsidRPr="000E3E34">
              <w:rPr>
                <w:rFonts w:ascii="Verdana" w:hAnsi="Verdana"/>
                <w:sz w:val="18"/>
                <w:szCs w:val="20"/>
                <w:lang w:val="ru-RU" w:eastAsia="en-US"/>
              </w:rPr>
              <w:t>cross-sectional design; proteinuria dipstick test, might have underestimated the number of albuminuria pts aming CKD stage 1 and 2; renal ultrasound were not done on all of the patients, so that it ispossible that the number of CKD stage 1 and 2 patients was underestimated</w:t>
            </w:r>
          </w:p>
          <w:p w14:paraId="7BAC12AC" w14:textId="77777777" w:rsidR="00213E48" w:rsidRDefault="00213E48" w:rsidP="005A51BC">
            <w:pPr>
              <w:rPr>
                <w:rFonts w:ascii="Verdana" w:hAnsi="Verdana" w:cs="SabonLTStd-Roman"/>
                <w:color w:val="000080"/>
                <w:sz w:val="18"/>
                <w:szCs w:val="18"/>
              </w:rPr>
            </w:pPr>
          </w:p>
          <w:p w14:paraId="40E9586F" w14:textId="77777777" w:rsidR="00213E48" w:rsidRDefault="00881875" w:rsidP="005A51BC">
            <w:pPr>
              <w:jc w:val="both"/>
              <w:rPr>
                <w:rFonts w:ascii="Verdana" w:hAnsi="Verdana" w:cs="SabonLTStd-Roman"/>
                <w:color w:val="000080"/>
                <w:sz w:val="18"/>
                <w:szCs w:val="18"/>
              </w:rPr>
            </w:pPr>
            <w:hyperlink r:id="rId16" w:history="1">
              <w:r w:rsidR="00213E48" w:rsidRPr="00925471">
                <w:rPr>
                  <w:rStyle w:val="Hyperlink"/>
                  <w:rFonts w:ascii="Verdana" w:hAnsi="Verdana" w:cs="SabonLTStd-Roman"/>
                  <w:sz w:val="18"/>
                  <w:szCs w:val="18"/>
                </w:rPr>
                <w:t>http://onlinelibrary.wiley.com/doi/10.1111/j.1440-1797.2010.01430.x/abstract</w:t>
              </w:r>
            </w:hyperlink>
          </w:p>
          <w:p w14:paraId="55323171" w14:textId="77777777" w:rsidR="00213E48" w:rsidRPr="009663D6" w:rsidRDefault="00213E48" w:rsidP="005A51BC">
            <w:pPr>
              <w:jc w:val="both"/>
              <w:rPr>
                <w:rFonts w:ascii="Verdana" w:hAnsi="Verdana" w:cs="SabonLTStd-Roman"/>
                <w:sz w:val="18"/>
                <w:szCs w:val="18"/>
              </w:rPr>
            </w:pPr>
          </w:p>
        </w:tc>
      </w:tr>
      <w:tr w:rsidR="00213E48" w:rsidRPr="00FE17E8" w14:paraId="349F496E" w14:textId="77777777">
        <w:tc>
          <w:tcPr>
            <w:tcW w:w="2694" w:type="dxa"/>
          </w:tcPr>
          <w:p w14:paraId="75033420" w14:textId="77777777" w:rsidR="00213E48" w:rsidRPr="0008744A" w:rsidRDefault="00213E48" w:rsidP="005A51BC">
            <w:pPr>
              <w:pStyle w:val="Heading1"/>
              <w:spacing w:before="2" w:after="2"/>
              <w:rPr>
                <w:rStyle w:val="highlight"/>
                <w:b w:val="0"/>
                <w:bCs w:val="0"/>
                <w:kern w:val="0"/>
                <w:sz w:val="24"/>
                <w:szCs w:val="24"/>
              </w:rPr>
            </w:pPr>
            <w:r w:rsidRPr="0008744A">
              <w:rPr>
                <w:rStyle w:val="highlight"/>
                <w:rFonts w:ascii="Verdana" w:hAnsi="Verdana"/>
                <w:sz w:val="18"/>
              </w:rPr>
              <w:t>8. Relationship</w:t>
            </w:r>
            <w:r w:rsidRPr="0008744A">
              <w:rPr>
                <w:rFonts w:ascii="Verdana" w:hAnsi="Verdana"/>
                <w:sz w:val="18"/>
              </w:rPr>
              <w:t xml:space="preserve"> of </w:t>
            </w:r>
            <w:r w:rsidRPr="0008744A">
              <w:rPr>
                <w:rStyle w:val="highlight"/>
                <w:rFonts w:ascii="Verdana" w:hAnsi="Verdana"/>
                <w:sz w:val="18"/>
              </w:rPr>
              <w:t>estimated</w:t>
            </w:r>
            <w:r w:rsidRPr="0008744A">
              <w:rPr>
                <w:rFonts w:ascii="Verdana" w:hAnsi="Verdana"/>
                <w:sz w:val="18"/>
              </w:rPr>
              <w:t xml:space="preserve"> </w:t>
            </w:r>
            <w:r w:rsidRPr="0008744A">
              <w:rPr>
                <w:rStyle w:val="highlight"/>
                <w:rFonts w:ascii="Verdana" w:hAnsi="Verdana"/>
                <w:sz w:val="18"/>
              </w:rPr>
              <w:t>glomerular filtration rate</w:t>
            </w:r>
            <w:r w:rsidRPr="0008744A">
              <w:rPr>
                <w:rFonts w:ascii="Verdana" w:hAnsi="Verdana"/>
                <w:sz w:val="18"/>
              </w:rPr>
              <w:t xml:space="preserve"> with </w:t>
            </w:r>
            <w:r w:rsidRPr="0008744A">
              <w:rPr>
                <w:rStyle w:val="highlight"/>
                <w:rFonts w:ascii="Verdana" w:hAnsi="Verdana"/>
                <w:sz w:val="18"/>
              </w:rPr>
              <w:t>lower urinary tract symptoms</w:t>
            </w:r>
            <w:r w:rsidRPr="0008744A">
              <w:rPr>
                <w:rFonts w:ascii="Verdana" w:hAnsi="Verdana"/>
                <w:sz w:val="18"/>
              </w:rPr>
              <w:t xml:space="preserve">/benign prostatic hyperplasia measures in middle-aged men with moderate to severe </w:t>
            </w:r>
            <w:r w:rsidRPr="0008744A">
              <w:rPr>
                <w:rStyle w:val="highlight"/>
                <w:rFonts w:ascii="Verdana" w:hAnsi="Verdana"/>
                <w:sz w:val="18"/>
              </w:rPr>
              <w:t>lower urinary tract symptoms</w:t>
            </w:r>
            <w:r w:rsidRPr="0008744A">
              <w:rPr>
                <w:rFonts w:ascii="Verdana" w:hAnsi="Verdana"/>
                <w:sz w:val="18"/>
              </w:rPr>
              <w:t>. (2013)</w:t>
            </w:r>
          </w:p>
        </w:tc>
        <w:tc>
          <w:tcPr>
            <w:tcW w:w="8505" w:type="dxa"/>
          </w:tcPr>
          <w:p w14:paraId="6B26B761" w14:textId="77777777" w:rsidR="00213E48" w:rsidRPr="0008744A" w:rsidRDefault="00213E48" w:rsidP="005A51BC">
            <w:pPr>
              <w:pStyle w:val="Heading3"/>
              <w:spacing w:before="2" w:after="2"/>
              <w:jc w:val="both"/>
              <w:rPr>
                <w:rFonts w:ascii="Verdana" w:hAnsi="Verdana"/>
                <w:b w:val="0"/>
                <w:sz w:val="18"/>
              </w:rPr>
            </w:pPr>
            <w:r w:rsidRPr="0008744A">
              <w:rPr>
                <w:rFonts w:ascii="Verdana" w:hAnsi="Verdana"/>
                <w:sz w:val="18"/>
              </w:rPr>
              <w:t>Objective:</w:t>
            </w:r>
            <w:r w:rsidRPr="0008744A">
              <w:rPr>
                <w:rFonts w:ascii="Verdana" w:hAnsi="Verdana"/>
                <w:b w:val="0"/>
                <w:sz w:val="18"/>
              </w:rPr>
              <w:t xml:space="preserve"> To evaluate the relationship of the glomerular filtration rate (GFR) and lower urinary tract symptoms (LUTS)/benign prostatic hyperplasia measures in middle-aged men.</w:t>
            </w:r>
          </w:p>
          <w:p w14:paraId="58D947A7" w14:textId="77777777" w:rsidR="00213E48" w:rsidRPr="0008744A" w:rsidRDefault="00213E48" w:rsidP="005A51BC">
            <w:pPr>
              <w:pStyle w:val="Heading3"/>
              <w:spacing w:before="2" w:after="2"/>
              <w:jc w:val="both"/>
              <w:rPr>
                <w:rFonts w:ascii="Verdana" w:hAnsi="Verdana"/>
                <w:b w:val="0"/>
                <w:sz w:val="18"/>
              </w:rPr>
            </w:pPr>
            <w:r w:rsidRPr="0008744A">
              <w:rPr>
                <w:rFonts w:ascii="Verdana" w:hAnsi="Verdana"/>
                <w:sz w:val="18"/>
              </w:rPr>
              <w:t>Methods:</w:t>
            </w:r>
            <w:r w:rsidRPr="0008744A">
              <w:rPr>
                <w:rFonts w:ascii="Verdana" w:hAnsi="Verdana"/>
                <w:b w:val="0"/>
                <w:sz w:val="18"/>
              </w:rPr>
              <w:t xml:space="preserve"> A total of 1400 male police officers with moderate and severe LUTS (international prostate symptoms score [IPSS] &gt;7) and aged 40-59 years who had participated in a health examination were included. LUTS/benign prostatic hyperplasia was measured with IPSS, transrectal ultrasonography, uroflowmetry, and postvoid residual urine volume. We estimated the GFR using the Chronic Kidney Disease Epidemiology Collaboration equation. Spearman correlation tests and multiple linear regression tests were used to evaluate the relationship.</w:t>
            </w:r>
          </w:p>
          <w:p w14:paraId="0C620B31" w14:textId="77777777" w:rsidR="00213E48" w:rsidRPr="0008744A" w:rsidRDefault="00213E48" w:rsidP="005A51BC">
            <w:pPr>
              <w:pStyle w:val="Heading3"/>
              <w:spacing w:before="2" w:after="2"/>
              <w:jc w:val="both"/>
              <w:rPr>
                <w:rFonts w:ascii="Verdana" w:hAnsi="Verdana"/>
                <w:b w:val="0"/>
                <w:sz w:val="18"/>
              </w:rPr>
            </w:pPr>
            <w:r w:rsidRPr="0008744A">
              <w:rPr>
                <w:rFonts w:ascii="Verdana" w:hAnsi="Verdana"/>
                <w:sz w:val="18"/>
              </w:rPr>
              <w:t>Results:</w:t>
            </w:r>
            <w:r w:rsidRPr="0008744A">
              <w:rPr>
                <w:rFonts w:ascii="Verdana" w:hAnsi="Verdana"/>
                <w:b w:val="0"/>
                <w:sz w:val="18"/>
              </w:rPr>
              <w:t xml:space="preserve"> The median age was 50.0 years, and the median GFR was 85.3 mL/min/1.73 m</w:t>
            </w:r>
            <w:r w:rsidRPr="0008744A">
              <w:rPr>
                <w:rFonts w:ascii="Verdana" w:hAnsi="Verdana"/>
                <w:b w:val="0"/>
                <w:sz w:val="18"/>
                <w:vertAlign w:val="superscript"/>
              </w:rPr>
              <w:t>2</w:t>
            </w:r>
            <w:r w:rsidRPr="0008744A">
              <w:rPr>
                <w:rFonts w:ascii="Verdana" w:hAnsi="Verdana"/>
                <w:b w:val="0"/>
                <w:sz w:val="18"/>
              </w:rPr>
              <w:t xml:space="preserve">. The GFR showed a significant positive correlation with the maximal flow rate (Qmax; r = .112; </w:t>
            </w:r>
            <w:r w:rsidRPr="0008744A">
              <w:rPr>
                <w:rStyle w:val="Emphasis"/>
                <w:rFonts w:ascii="Verdana" w:hAnsi="Verdana"/>
                <w:b w:val="0"/>
                <w:iCs/>
                <w:sz w:val="18"/>
              </w:rPr>
              <w:t>P</w:t>
            </w:r>
            <w:r w:rsidRPr="0008744A">
              <w:rPr>
                <w:rFonts w:ascii="Verdana" w:hAnsi="Verdana"/>
                <w:b w:val="0"/>
                <w:sz w:val="18"/>
              </w:rPr>
              <w:t xml:space="preserve"> &lt;.001). However, there was no significant correlation of GFR with IPSS (r = −.018; </w:t>
            </w:r>
            <w:r w:rsidRPr="0008744A">
              <w:rPr>
                <w:rStyle w:val="Emphasis"/>
                <w:rFonts w:ascii="Verdana" w:hAnsi="Verdana"/>
                <w:b w:val="0"/>
                <w:iCs/>
                <w:sz w:val="18"/>
              </w:rPr>
              <w:t>P</w:t>
            </w:r>
            <w:r w:rsidRPr="0008744A">
              <w:rPr>
                <w:rFonts w:ascii="Verdana" w:hAnsi="Verdana"/>
                <w:b w:val="0"/>
                <w:sz w:val="18"/>
              </w:rPr>
              <w:t xml:space="preserve"> = .493), total prostate volume (r = −.032; </w:t>
            </w:r>
            <w:r w:rsidRPr="0008744A">
              <w:rPr>
                <w:rStyle w:val="Emphasis"/>
                <w:rFonts w:ascii="Verdana" w:hAnsi="Verdana"/>
                <w:b w:val="0"/>
                <w:iCs/>
                <w:sz w:val="18"/>
              </w:rPr>
              <w:t>P</w:t>
            </w:r>
            <w:r w:rsidRPr="0008744A">
              <w:rPr>
                <w:rFonts w:ascii="Verdana" w:hAnsi="Verdana"/>
                <w:b w:val="0"/>
                <w:sz w:val="18"/>
              </w:rPr>
              <w:t xml:space="preserve"> = .237), and postvoid residual (r = −.066; </w:t>
            </w:r>
            <w:r w:rsidRPr="0008744A">
              <w:rPr>
                <w:rStyle w:val="Emphasis"/>
                <w:rFonts w:ascii="Verdana" w:hAnsi="Verdana"/>
                <w:b w:val="0"/>
                <w:iCs/>
                <w:sz w:val="18"/>
              </w:rPr>
              <w:t>P</w:t>
            </w:r>
            <w:r w:rsidRPr="0008744A">
              <w:rPr>
                <w:rFonts w:ascii="Verdana" w:hAnsi="Verdana"/>
                <w:b w:val="0"/>
                <w:sz w:val="18"/>
              </w:rPr>
              <w:t xml:space="preserve"> = .051). After adjusting for age, body mass index (BMI), and metabolic syndrome, only Qmax showed a positive correlation with GFR (beta = .114; </w:t>
            </w:r>
            <w:r w:rsidRPr="0008744A">
              <w:rPr>
                <w:rStyle w:val="Emphasis"/>
                <w:rFonts w:ascii="Verdana" w:hAnsi="Verdana"/>
                <w:b w:val="0"/>
                <w:iCs/>
                <w:sz w:val="18"/>
              </w:rPr>
              <w:t>P</w:t>
            </w:r>
            <w:r w:rsidRPr="0008744A">
              <w:rPr>
                <w:rFonts w:ascii="Verdana" w:hAnsi="Verdana"/>
                <w:b w:val="0"/>
                <w:sz w:val="18"/>
              </w:rPr>
              <w:t> = .003).</w:t>
            </w:r>
          </w:p>
          <w:p w14:paraId="722485C3" w14:textId="77777777" w:rsidR="00213E48" w:rsidRPr="0008744A" w:rsidRDefault="00213E48" w:rsidP="005A51BC">
            <w:pPr>
              <w:pStyle w:val="Heading3"/>
              <w:spacing w:before="2" w:after="2"/>
              <w:jc w:val="both"/>
              <w:rPr>
                <w:rFonts w:ascii="Verdana" w:hAnsi="Verdana"/>
                <w:b w:val="0"/>
                <w:sz w:val="18"/>
              </w:rPr>
            </w:pPr>
            <w:r w:rsidRPr="0008744A">
              <w:rPr>
                <w:rFonts w:ascii="Verdana" w:hAnsi="Verdana"/>
                <w:sz w:val="18"/>
              </w:rPr>
              <w:t>Conclusion:</w:t>
            </w:r>
            <w:r w:rsidRPr="0008744A">
              <w:rPr>
                <w:rFonts w:ascii="Verdana" w:hAnsi="Verdana"/>
                <w:b w:val="0"/>
                <w:sz w:val="18"/>
              </w:rPr>
              <w:t xml:space="preserve"> Qmax demonstrated a significant correlation with GFR in middle-aged men with moderate to severe LUTS in this study. Our data suggest that improved clinical attention is required for patients with LUTS and a low Qmax.</w:t>
            </w:r>
          </w:p>
          <w:p w14:paraId="3665FF26" w14:textId="77777777" w:rsidR="00213E48" w:rsidRPr="0008744A" w:rsidRDefault="00213E48" w:rsidP="005A51BC">
            <w:pPr>
              <w:pStyle w:val="Heading3"/>
              <w:spacing w:before="2" w:after="2"/>
              <w:jc w:val="both"/>
              <w:rPr>
                <w:rFonts w:ascii="Verdana" w:hAnsi="Verdana"/>
                <w:b w:val="0"/>
                <w:sz w:val="18"/>
              </w:rPr>
            </w:pPr>
            <w:r w:rsidRPr="0008744A">
              <w:rPr>
                <w:rFonts w:ascii="Verdana" w:hAnsi="Verdana"/>
                <w:sz w:val="18"/>
              </w:rPr>
              <w:lastRenderedPageBreak/>
              <w:t>Limitations</w:t>
            </w:r>
            <w:r w:rsidRPr="0008744A">
              <w:rPr>
                <w:sz w:val="18"/>
              </w:rPr>
              <w:t xml:space="preserve">: </w:t>
            </w:r>
            <w:r w:rsidRPr="0008744A">
              <w:rPr>
                <w:rFonts w:ascii="Verdana" w:hAnsi="Verdana"/>
                <w:b w:val="0"/>
                <w:sz w:val="18"/>
              </w:rPr>
              <w:t>cross-sectional nature, single institution (potential selection bias)</w:t>
            </w:r>
          </w:p>
          <w:p w14:paraId="44565C57" w14:textId="77777777" w:rsidR="00213E48" w:rsidRPr="009663D6" w:rsidRDefault="00881875" w:rsidP="005A51BC">
            <w:pPr>
              <w:jc w:val="both"/>
              <w:rPr>
                <w:rFonts w:ascii="Verdana" w:hAnsi="Verdana" w:cs="SabonLTStd-Roman"/>
                <w:sz w:val="18"/>
                <w:szCs w:val="18"/>
              </w:rPr>
            </w:pPr>
            <w:hyperlink r:id="rId17" w:history="1">
              <w:r w:rsidR="00213E48" w:rsidRPr="00925471">
                <w:rPr>
                  <w:rStyle w:val="Hyperlink"/>
                  <w:rFonts w:ascii="Verdana" w:hAnsi="Verdana" w:cs="SabonLTStd-Roman"/>
                  <w:sz w:val="18"/>
                  <w:szCs w:val="18"/>
                </w:rPr>
                <w:t>http://www.goldjournal.net/article/S0090-4295%2813%2901041-8/abstract</w:t>
              </w:r>
            </w:hyperlink>
          </w:p>
        </w:tc>
      </w:tr>
      <w:tr w:rsidR="00213E48" w:rsidRPr="00FE17E8" w14:paraId="61BA3E31" w14:textId="77777777">
        <w:tc>
          <w:tcPr>
            <w:tcW w:w="2694" w:type="dxa"/>
          </w:tcPr>
          <w:p w14:paraId="070AB439" w14:textId="77777777" w:rsidR="00213E48" w:rsidRPr="0008744A" w:rsidRDefault="00213E48" w:rsidP="005A51BC">
            <w:pPr>
              <w:pStyle w:val="Heading1"/>
              <w:spacing w:before="2" w:after="2"/>
              <w:rPr>
                <w:rStyle w:val="highlight"/>
                <w:b w:val="0"/>
                <w:bCs w:val="0"/>
                <w:kern w:val="0"/>
                <w:sz w:val="24"/>
                <w:szCs w:val="24"/>
              </w:rPr>
            </w:pPr>
            <w:r w:rsidRPr="0008744A">
              <w:rPr>
                <w:rFonts w:ascii="Verdana" w:hAnsi="Verdana"/>
                <w:sz w:val="18"/>
              </w:rPr>
              <w:lastRenderedPageBreak/>
              <w:t>9. ACR Appropriateness Criteria® lower urinary tract symptoms: suspicion of benign prostatic hyperplasia. (2014)</w:t>
            </w:r>
          </w:p>
        </w:tc>
        <w:tc>
          <w:tcPr>
            <w:tcW w:w="8505" w:type="dxa"/>
          </w:tcPr>
          <w:p w14:paraId="69B94A8B" w14:textId="77777777" w:rsidR="00213E48" w:rsidRPr="009663D6" w:rsidRDefault="00213E48" w:rsidP="005A51BC">
            <w:pPr>
              <w:jc w:val="both"/>
              <w:rPr>
                <w:rFonts w:ascii="Verdana" w:hAnsi="Verdana"/>
                <w:sz w:val="18"/>
              </w:rPr>
            </w:pPr>
            <w:r w:rsidRPr="009663D6">
              <w:rPr>
                <w:rFonts w:ascii="Verdana" w:hAnsi="Verdana"/>
                <w:sz w:val="18"/>
              </w:rPr>
              <w:t>American College of Radiology guideline</w:t>
            </w:r>
          </w:p>
          <w:p w14:paraId="570AAD84" w14:textId="77777777" w:rsidR="00213E48" w:rsidRPr="009663D6" w:rsidRDefault="00213E48" w:rsidP="005A51BC">
            <w:pPr>
              <w:jc w:val="both"/>
              <w:rPr>
                <w:rFonts w:ascii="Verdana" w:hAnsi="Verdana"/>
                <w:sz w:val="18"/>
                <w:szCs w:val="20"/>
                <w:lang w:val="ru-RU" w:eastAsia="en-US"/>
              </w:rPr>
            </w:pPr>
            <w:r w:rsidRPr="009663D6">
              <w:rPr>
                <w:rFonts w:ascii="Verdana" w:hAnsi="Verdana"/>
                <w:sz w:val="18"/>
                <w:szCs w:val="20"/>
                <w:lang w:val="ru-RU" w:eastAsia="en-US"/>
              </w:rPr>
              <w:t xml:space="preserve">Guideline Objective(s) </w:t>
            </w:r>
          </w:p>
          <w:p w14:paraId="00D3EB48" w14:textId="77777777" w:rsidR="00213E48" w:rsidRPr="009663D6" w:rsidRDefault="00213E48" w:rsidP="00E94038">
            <w:pPr>
              <w:spacing w:beforeLines="1" w:before="2" w:afterLines="1" w:after="2"/>
              <w:jc w:val="both"/>
              <w:rPr>
                <w:rFonts w:ascii="Verdana" w:hAnsi="Verdana"/>
                <w:sz w:val="18"/>
                <w:szCs w:val="20"/>
                <w:lang w:val="ru-RU" w:eastAsia="en-US"/>
              </w:rPr>
            </w:pPr>
            <w:r w:rsidRPr="009663D6">
              <w:rPr>
                <w:rFonts w:ascii="Verdana" w:hAnsi="Verdana"/>
                <w:sz w:val="18"/>
                <w:szCs w:val="20"/>
                <w:lang w:val="ru-RU" w:eastAsia="en-US"/>
              </w:rPr>
              <w:t xml:space="preserve">To evaluate the appropriateness of radiologic examinations in investigating lower urinary tract symptoms and suspected benign prostatic hyperplasia (BPH) </w:t>
            </w:r>
          </w:p>
          <w:p w14:paraId="5CDD45D3" w14:textId="77777777" w:rsidR="00213E48" w:rsidRPr="009663D6" w:rsidRDefault="00213E48" w:rsidP="005A51BC">
            <w:pPr>
              <w:jc w:val="both"/>
              <w:rPr>
                <w:rFonts w:ascii="Verdana" w:hAnsi="Verdana"/>
                <w:sz w:val="18"/>
                <w:szCs w:val="20"/>
                <w:lang w:val="ru-RU" w:eastAsia="en-US"/>
              </w:rPr>
            </w:pPr>
            <w:r w:rsidRPr="009663D6">
              <w:rPr>
                <w:rFonts w:ascii="Verdana" w:hAnsi="Verdana"/>
                <w:sz w:val="18"/>
                <w:szCs w:val="20"/>
                <w:lang w:val="ru-RU" w:eastAsia="en-US"/>
              </w:rPr>
              <w:t xml:space="preserve">Target Population </w:t>
            </w:r>
          </w:p>
          <w:p w14:paraId="33835CD3" w14:textId="77777777" w:rsidR="00213E48" w:rsidRPr="009663D6" w:rsidRDefault="00213E48" w:rsidP="00E94038">
            <w:pPr>
              <w:spacing w:beforeLines="1" w:before="2" w:afterLines="1" w:after="2"/>
              <w:jc w:val="both"/>
              <w:rPr>
                <w:rFonts w:ascii="Verdana" w:hAnsi="Verdana"/>
                <w:sz w:val="18"/>
                <w:szCs w:val="20"/>
                <w:lang w:val="ru-RU" w:eastAsia="en-US"/>
              </w:rPr>
            </w:pPr>
            <w:r w:rsidRPr="009663D6">
              <w:rPr>
                <w:rFonts w:ascii="Verdana" w:hAnsi="Verdana"/>
                <w:sz w:val="18"/>
                <w:szCs w:val="20"/>
                <w:lang w:val="ru-RU" w:eastAsia="en-US"/>
              </w:rPr>
              <w:t xml:space="preserve">Male patients with lower urinary tract symptoms and suspicion of benign prostatic hyperplasia (BPH) </w:t>
            </w:r>
          </w:p>
          <w:p w14:paraId="764EFE83" w14:textId="77777777" w:rsidR="00213E48" w:rsidRPr="009663D6" w:rsidRDefault="00213E48" w:rsidP="005A51BC">
            <w:pPr>
              <w:jc w:val="both"/>
              <w:rPr>
                <w:rFonts w:ascii="Verdana" w:hAnsi="Verdana"/>
                <w:b/>
                <w:sz w:val="18"/>
              </w:rPr>
            </w:pPr>
            <w:r w:rsidRPr="009663D6">
              <w:rPr>
                <w:rFonts w:ascii="Verdana" w:hAnsi="Verdana"/>
                <w:b/>
                <w:sz w:val="18"/>
              </w:rPr>
              <w:t xml:space="preserve">In patients with azotemia or a high postvoid residual rate, the collecting system of the </w:t>
            </w:r>
            <w:r w:rsidRPr="009663D6">
              <w:rPr>
                <w:rStyle w:val="fthighlight"/>
                <w:rFonts w:ascii="Verdana" w:hAnsi="Verdana"/>
                <w:b/>
                <w:sz w:val="18"/>
              </w:rPr>
              <w:t>kidney</w:t>
            </w:r>
            <w:r w:rsidRPr="009663D6">
              <w:rPr>
                <w:rFonts w:ascii="Verdana" w:hAnsi="Verdana"/>
                <w:b/>
                <w:sz w:val="18"/>
              </w:rPr>
              <w:t>s should be imaged for evidence of hydronephrosis.</w:t>
            </w:r>
          </w:p>
          <w:p w14:paraId="75085951" w14:textId="77777777" w:rsidR="00213E48" w:rsidRDefault="00213E48" w:rsidP="005A51BC"/>
          <w:p w14:paraId="778F992A" w14:textId="77777777" w:rsidR="00213E48" w:rsidRDefault="00881875" w:rsidP="005A51BC">
            <w:pPr>
              <w:jc w:val="both"/>
              <w:rPr>
                <w:rFonts w:ascii="Verdana" w:hAnsi="Verdana" w:cs="SabonLTStd-Roman"/>
                <w:sz w:val="18"/>
                <w:szCs w:val="18"/>
              </w:rPr>
            </w:pPr>
            <w:hyperlink r:id="rId18" w:history="1">
              <w:r w:rsidR="00213E48" w:rsidRPr="00A31209">
                <w:rPr>
                  <w:rStyle w:val="Hyperlink"/>
                  <w:rFonts w:ascii="Verdana" w:hAnsi="Verdana" w:cs="SabonLTStd-Roman"/>
                  <w:sz w:val="18"/>
                  <w:szCs w:val="18"/>
                </w:rPr>
                <w:t>http://www.guideline.gov/content.aspx?id=48292&amp;search=prostate+ultrasound+AND+chronic+kidney+disease</w:t>
              </w:r>
            </w:hyperlink>
          </w:p>
          <w:p w14:paraId="0117FDC9" w14:textId="77777777" w:rsidR="00213E48" w:rsidRPr="00A31209" w:rsidRDefault="00213E48" w:rsidP="005A51BC">
            <w:pPr>
              <w:jc w:val="both"/>
              <w:rPr>
                <w:rFonts w:ascii="Verdana" w:hAnsi="Verdana" w:cs="SabonLTStd-Roman"/>
                <w:sz w:val="18"/>
                <w:szCs w:val="18"/>
              </w:rPr>
            </w:pPr>
          </w:p>
        </w:tc>
      </w:tr>
      <w:tr w:rsidR="00213E48" w:rsidRPr="00FE17E8" w14:paraId="3B3B8886" w14:textId="77777777">
        <w:tc>
          <w:tcPr>
            <w:tcW w:w="2694" w:type="dxa"/>
          </w:tcPr>
          <w:p w14:paraId="301D865D" w14:textId="77777777" w:rsidR="00213E48" w:rsidRPr="00925471" w:rsidRDefault="00213E48" w:rsidP="005A51BC">
            <w:pPr>
              <w:widowControl w:val="0"/>
              <w:autoSpaceDE w:val="0"/>
              <w:autoSpaceDN w:val="0"/>
              <w:adjustRightInd w:val="0"/>
              <w:rPr>
                <w:rFonts w:ascii="Verdana" w:hAnsi="Verdana"/>
                <w:b/>
                <w:sz w:val="18"/>
                <w:szCs w:val="36"/>
                <w:lang w:val="en-US" w:eastAsia="en-US"/>
              </w:rPr>
            </w:pPr>
            <w:r>
              <w:rPr>
                <w:rFonts w:ascii="Verdana" w:hAnsi="Verdana"/>
                <w:b/>
                <w:sz w:val="18"/>
                <w:szCs w:val="36"/>
                <w:lang w:val="en-US" w:eastAsia="en-US"/>
              </w:rPr>
              <w:t xml:space="preserve">10. </w:t>
            </w:r>
            <w:r w:rsidRPr="00925471">
              <w:rPr>
                <w:rFonts w:ascii="Verdana" w:hAnsi="Verdana"/>
                <w:b/>
                <w:sz w:val="18"/>
                <w:szCs w:val="36"/>
                <w:lang w:val="en-US" w:eastAsia="en-US"/>
              </w:rPr>
              <w:t>Renal Relevant Radiology: Use of Ultrasound in Kidney</w:t>
            </w:r>
          </w:p>
          <w:p w14:paraId="1C9A60EF" w14:textId="77777777" w:rsidR="00213E48" w:rsidRPr="00925471" w:rsidRDefault="00213E48" w:rsidP="005A51BC">
            <w:pPr>
              <w:spacing w:before="75" w:after="225"/>
              <w:rPr>
                <w:rFonts w:ascii="Verdana" w:hAnsi="Verdana" w:cs="Arial"/>
                <w:b/>
                <w:color w:val="000080"/>
                <w:sz w:val="18"/>
                <w:szCs w:val="18"/>
                <w:lang w:val="fi-FI"/>
              </w:rPr>
            </w:pPr>
            <w:r w:rsidRPr="00925471">
              <w:rPr>
                <w:rFonts w:ascii="Verdana" w:hAnsi="Verdana"/>
                <w:b/>
                <w:sz w:val="18"/>
                <w:szCs w:val="36"/>
                <w:lang w:val="en-US" w:eastAsia="en-US"/>
              </w:rPr>
              <w:t>Disease and Nephrology Procedures (2014)</w:t>
            </w:r>
          </w:p>
        </w:tc>
        <w:tc>
          <w:tcPr>
            <w:tcW w:w="8505" w:type="dxa"/>
          </w:tcPr>
          <w:p w14:paraId="53EC5308" w14:textId="77777777" w:rsidR="00213E48" w:rsidRPr="009663D6" w:rsidRDefault="00213E48" w:rsidP="005A51BC">
            <w:r w:rsidRPr="009663D6">
              <w:t>Artiklis kirjeldatud ultraheli kasutusvõimalusi nefroloogias.</w:t>
            </w:r>
          </w:p>
          <w:p w14:paraId="17557B5A" w14:textId="77777777" w:rsidR="00213E48" w:rsidRPr="009663D6" w:rsidRDefault="00213E48" w:rsidP="005A51BC">
            <w:r w:rsidRPr="009663D6">
              <w:t>CKD</w:t>
            </w:r>
          </w:p>
          <w:p w14:paraId="5297AE15" w14:textId="77777777" w:rsidR="00213E48" w:rsidRDefault="00213E48" w:rsidP="005A51BC">
            <w:pPr>
              <w:widowControl w:val="0"/>
              <w:autoSpaceDE w:val="0"/>
              <w:autoSpaceDN w:val="0"/>
              <w:adjustRightInd w:val="0"/>
              <w:jc w:val="both"/>
              <w:rPr>
                <w:rFonts w:ascii="Verdana" w:hAnsi="Verdana"/>
                <w:sz w:val="18"/>
                <w:szCs w:val="18"/>
                <w:lang w:val="en-US" w:eastAsia="en-US"/>
              </w:rPr>
            </w:pPr>
            <w:r w:rsidRPr="009663D6">
              <w:rPr>
                <w:rFonts w:ascii="Verdana" w:hAnsi="Verdana"/>
                <w:sz w:val="18"/>
                <w:szCs w:val="18"/>
                <w:lang w:val="en-US" w:eastAsia="en-US"/>
              </w:rPr>
              <w:t>Sonography should be performed in all patients with CKD primarily to recognize advanced, irreversible kidney disease that would obviate any additional workup, including biopsy (11). Signs include small size, thin cortex, and cysts, but one must be cautious in making the diagnosis based solely on size in the 9- to 10-cm range when the kidneys are otherwise normal. Although cortical echogenicity is often increased in CKD, normal echogenicity is not unusual, and echogenicity can increase in reversible disease. Thus, echogenicity alone is not a reliable indicator of CKD. Sonography can also identify specific causes, such as urinary obstruction, polycystic kidney disease, reflux nephropathy, and interstitial nephritis.</w:t>
            </w:r>
          </w:p>
          <w:p w14:paraId="15A787A8" w14:textId="77777777" w:rsidR="00213E48" w:rsidRPr="009663D6" w:rsidRDefault="00213E48" w:rsidP="005A51BC">
            <w:pPr>
              <w:widowControl w:val="0"/>
              <w:autoSpaceDE w:val="0"/>
              <w:autoSpaceDN w:val="0"/>
              <w:adjustRightInd w:val="0"/>
              <w:jc w:val="both"/>
              <w:rPr>
                <w:rFonts w:ascii="Verdana" w:hAnsi="Verdana"/>
                <w:sz w:val="18"/>
                <w:szCs w:val="18"/>
                <w:lang w:val="en-US" w:eastAsia="en-US"/>
              </w:rPr>
            </w:pPr>
          </w:p>
          <w:p w14:paraId="660B3D96" w14:textId="77777777" w:rsidR="00213E48" w:rsidRDefault="00881875" w:rsidP="005A51BC">
            <w:pPr>
              <w:jc w:val="both"/>
            </w:pPr>
            <w:hyperlink r:id="rId19" w:history="1">
              <w:r w:rsidR="00213E48" w:rsidRPr="00925471">
                <w:rPr>
                  <w:rStyle w:val="Hyperlink"/>
                  <w:lang w:val="en-US"/>
                </w:rPr>
                <w:t>http://cjasn.asnjournals.org/content/9/2/373.full.pdf+html</w:t>
              </w:r>
            </w:hyperlink>
          </w:p>
          <w:p w14:paraId="1FFDA01E" w14:textId="77777777" w:rsidR="00213E48" w:rsidRPr="009663D6" w:rsidRDefault="00213E48" w:rsidP="005A51BC">
            <w:pPr>
              <w:jc w:val="both"/>
              <w:rPr>
                <w:rFonts w:ascii="Verdana" w:hAnsi="Verdana"/>
                <w:sz w:val="18"/>
              </w:rPr>
            </w:pPr>
          </w:p>
        </w:tc>
      </w:tr>
      <w:tr w:rsidR="00213E48" w:rsidRPr="00FE17E8" w14:paraId="2C96DBC7" w14:textId="77777777">
        <w:tc>
          <w:tcPr>
            <w:tcW w:w="2694" w:type="dxa"/>
          </w:tcPr>
          <w:p w14:paraId="0641B442" w14:textId="77777777" w:rsidR="00213E48" w:rsidRPr="0008744A" w:rsidRDefault="00213E48" w:rsidP="005A51BC">
            <w:pPr>
              <w:pStyle w:val="Heading1"/>
              <w:spacing w:before="2" w:after="2"/>
              <w:jc w:val="both"/>
              <w:rPr>
                <w:rFonts w:ascii="Verdana" w:hAnsi="Verdana"/>
                <w:sz w:val="18"/>
              </w:rPr>
            </w:pPr>
            <w:r w:rsidRPr="0008744A">
              <w:rPr>
                <w:rFonts w:ascii="Verdana" w:hAnsi="Verdana"/>
                <w:sz w:val="18"/>
              </w:rPr>
              <w:t>11. Screening Pelvic Examination in Adult Women: A Clinical Practice Guideline From the American College of Physicians (2014)</w:t>
            </w:r>
          </w:p>
        </w:tc>
        <w:tc>
          <w:tcPr>
            <w:tcW w:w="8505" w:type="dxa"/>
          </w:tcPr>
          <w:p w14:paraId="04E1AC40" w14:textId="77777777" w:rsidR="00213E48" w:rsidRPr="003B4B45" w:rsidRDefault="00213E48" w:rsidP="005A51BC">
            <w:pPr>
              <w:jc w:val="both"/>
              <w:rPr>
                <w:rFonts w:ascii="Verdana" w:hAnsi="Verdana" w:cs="SabonLTStd-Roman"/>
                <w:color w:val="000080"/>
                <w:sz w:val="18"/>
                <w:szCs w:val="18"/>
              </w:rPr>
            </w:pPr>
            <w:r w:rsidRPr="009663D6">
              <w:rPr>
                <w:rFonts w:ascii="Verdana" w:hAnsi="Verdana" w:cs="SabonLTStd-Roman"/>
                <w:sz w:val="18"/>
                <w:szCs w:val="18"/>
              </w:rPr>
              <w:t>Uus ravijuhend günekoloogilise läbivaatuse kohta üldpopulatsioonis. Eraldi KNH patsiendid pole käsitletud</w:t>
            </w:r>
            <w:r w:rsidRPr="003B4B45">
              <w:rPr>
                <w:rFonts w:ascii="Verdana" w:hAnsi="Verdana" w:cs="SabonLTStd-Roman"/>
                <w:color w:val="000080"/>
                <w:sz w:val="18"/>
                <w:szCs w:val="18"/>
              </w:rPr>
              <w:t>.</w:t>
            </w:r>
          </w:p>
          <w:p w14:paraId="0D60C530" w14:textId="77777777" w:rsidR="00213E48" w:rsidRPr="003B4B45" w:rsidRDefault="00213E48" w:rsidP="005A51BC">
            <w:pPr>
              <w:jc w:val="both"/>
              <w:rPr>
                <w:rFonts w:ascii="Verdana" w:hAnsi="Verdana" w:cs="SabonLTStd-Roman"/>
                <w:color w:val="000080"/>
                <w:sz w:val="18"/>
                <w:szCs w:val="18"/>
              </w:rPr>
            </w:pPr>
          </w:p>
          <w:p w14:paraId="0E9CAE56" w14:textId="77777777" w:rsidR="00213E48" w:rsidRPr="009663D6" w:rsidRDefault="00881875" w:rsidP="005A51BC">
            <w:pPr>
              <w:jc w:val="both"/>
              <w:rPr>
                <w:rFonts w:ascii="Verdana" w:hAnsi="Verdana"/>
                <w:sz w:val="18"/>
              </w:rPr>
            </w:pPr>
            <w:hyperlink r:id="rId20" w:history="1">
              <w:r w:rsidR="00213E48" w:rsidRPr="00925471">
                <w:rPr>
                  <w:rStyle w:val="Hyperlink"/>
                  <w:rFonts w:ascii="Verdana" w:hAnsi="Verdana" w:cs="SabonLTStd-Roman"/>
                  <w:sz w:val="18"/>
                  <w:szCs w:val="18"/>
                </w:rPr>
                <w:t>http://annals.org/article.aspx?articleid=1884537</w:t>
              </w:r>
            </w:hyperlink>
          </w:p>
        </w:tc>
      </w:tr>
    </w:tbl>
    <w:p w14:paraId="4E0D102A" w14:textId="77777777" w:rsidR="00213E48" w:rsidRDefault="00213E48" w:rsidP="005A51BC">
      <w:pPr>
        <w:rPr>
          <w:lang w:val="en-US"/>
        </w:rPr>
      </w:pPr>
    </w:p>
    <w:p w14:paraId="2854E0A8" w14:textId="77777777" w:rsidR="00213E48" w:rsidRDefault="00213E48" w:rsidP="005A51BC">
      <w:pPr>
        <w:rPr>
          <w:lang w:val="en-US"/>
        </w:rPr>
      </w:pPr>
    </w:p>
    <w:p w14:paraId="44382D83" w14:textId="77777777" w:rsidR="00213E48" w:rsidRDefault="00213E48" w:rsidP="005A51BC">
      <w:pPr>
        <w:jc w:val="both"/>
        <w:rPr>
          <w:rFonts w:ascii="Verdana" w:hAnsi="Verdana"/>
          <w:b/>
          <w:color w:val="000080"/>
          <w:sz w:val="18"/>
          <w:szCs w:val="18"/>
        </w:rPr>
      </w:pPr>
    </w:p>
    <w:p w14:paraId="41571172" w14:textId="77777777" w:rsidR="00213E48" w:rsidRPr="00042FF2" w:rsidRDefault="00213E48" w:rsidP="005A51BC">
      <w:pPr>
        <w:jc w:val="both"/>
        <w:rPr>
          <w:rFonts w:ascii="Verdana" w:hAnsi="Verdana"/>
          <w:b/>
          <w:color w:val="000080"/>
          <w:sz w:val="18"/>
          <w:szCs w:val="18"/>
        </w:rPr>
      </w:pPr>
      <w:r w:rsidRPr="00042FF2">
        <w:rPr>
          <w:rFonts w:ascii="Verdana" w:hAnsi="Verdana"/>
          <w:b/>
          <w:color w:val="000080"/>
          <w:sz w:val="18"/>
          <w:szCs w:val="18"/>
        </w:rPr>
        <w:t>Ravijuhendid</w:t>
      </w:r>
    </w:p>
    <w:p w14:paraId="788EBEF1" w14:textId="77777777" w:rsidR="00213E48" w:rsidRPr="00FE50FA" w:rsidRDefault="00213E48" w:rsidP="005A51BC">
      <w:pPr>
        <w:pBdr>
          <w:top w:val="single" w:sz="4" w:space="31" w:color="auto"/>
          <w:left w:val="single" w:sz="4" w:space="4" w:color="auto"/>
          <w:bottom w:val="single" w:sz="4" w:space="1" w:color="auto"/>
          <w:right w:val="single" w:sz="4" w:space="4" w:color="auto"/>
        </w:pBdr>
        <w:shd w:val="clear" w:color="auto" w:fill="FFFFFF"/>
        <w:spacing w:after="120"/>
        <w:ind w:right="240"/>
        <w:rPr>
          <w:rFonts w:ascii="Verdana" w:hAnsi="Verdana" w:cs="ArialMT"/>
          <w:sz w:val="18"/>
          <w:szCs w:val="18"/>
          <w:lang w:val="fi-FI" w:eastAsia="en-US"/>
        </w:rPr>
      </w:pPr>
      <w:r w:rsidRPr="00FE50FA">
        <w:rPr>
          <w:rFonts w:ascii="Verdana" w:hAnsi="Verdana" w:cs="ArialMT"/>
          <w:sz w:val="18"/>
          <w:szCs w:val="18"/>
          <w:lang w:val="fi-FI" w:eastAsia="en-US"/>
        </w:rPr>
        <w:t xml:space="preserve">Neljas ravijuhendis (KDIGO, NICE, MALAYSIA CKD MANAGEMENT, CHA-KARI) leidub infot eGFR ja kreatiniini kordusmääramise ning neerude ultraheli kohta. Soovitused on </w:t>
      </w:r>
      <w:r w:rsidRPr="00FE50FA">
        <w:rPr>
          <w:rFonts w:ascii="Verdana" w:hAnsi="Verdana" w:cs="ArialMT"/>
          <w:i/>
          <w:sz w:val="18"/>
          <w:szCs w:val="18"/>
          <w:lang w:val="fi-FI" w:eastAsia="en-US"/>
        </w:rPr>
        <w:t xml:space="preserve">not graded. </w:t>
      </w:r>
    </w:p>
    <w:p w14:paraId="68166CF9" w14:textId="77777777" w:rsidR="00213E48" w:rsidRPr="00FE50FA" w:rsidRDefault="00213E48" w:rsidP="005A51BC">
      <w:pPr>
        <w:pBdr>
          <w:top w:val="single" w:sz="4" w:space="31" w:color="auto"/>
          <w:left w:val="single" w:sz="4" w:space="4" w:color="auto"/>
          <w:bottom w:val="single" w:sz="4" w:space="1" w:color="auto"/>
          <w:right w:val="single" w:sz="4" w:space="4" w:color="auto"/>
        </w:pBdr>
        <w:shd w:val="clear" w:color="auto" w:fill="FFFFFF"/>
        <w:spacing w:after="120"/>
        <w:ind w:right="240"/>
        <w:rPr>
          <w:rFonts w:ascii="Verdana" w:hAnsi="Verdana" w:cs="ArialMT"/>
          <w:sz w:val="18"/>
          <w:szCs w:val="18"/>
          <w:lang w:val="fi-FI" w:eastAsia="en-US"/>
        </w:rPr>
      </w:pPr>
      <w:r w:rsidRPr="00FE50FA">
        <w:rPr>
          <w:rFonts w:cs="ArialMT"/>
          <w:sz w:val="18"/>
          <w:szCs w:val="18"/>
          <w:lang w:val="fi-FI" w:eastAsia="en-US"/>
        </w:rPr>
        <w:t>*</w:t>
      </w:r>
      <w:r w:rsidRPr="00FE50FA">
        <w:rPr>
          <w:rFonts w:ascii="Verdana" w:hAnsi="Verdana" w:cs="ArialMT"/>
          <w:b/>
          <w:sz w:val="18"/>
          <w:szCs w:val="18"/>
          <w:lang w:val="fi-FI" w:eastAsia="en-US"/>
        </w:rPr>
        <w:t>KDIGO</w:t>
      </w:r>
      <w:r w:rsidRPr="00FE50FA">
        <w:rPr>
          <w:rFonts w:ascii="Verdana" w:hAnsi="Verdana" w:cs="ArialMT"/>
          <w:sz w:val="18"/>
          <w:szCs w:val="18"/>
          <w:lang w:val="fi-FI" w:eastAsia="en-US"/>
        </w:rPr>
        <w:t xml:space="preserve"> ravi</w:t>
      </w:r>
      <w:r>
        <w:rPr>
          <w:rFonts w:ascii="Verdana" w:hAnsi="Verdana" w:cs="ArialMT"/>
          <w:sz w:val="18"/>
          <w:szCs w:val="18"/>
          <w:lang w:val="fi-FI" w:eastAsia="en-US"/>
        </w:rPr>
        <w:t xml:space="preserve">juhendis on soovitatud esmaselt </w:t>
      </w:r>
      <w:r w:rsidRPr="00FE50FA">
        <w:rPr>
          <w:rFonts w:ascii="Verdana" w:hAnsi="Verdana" w:cs="ArialMT"/>
          <w:sz w:val="18"/>
          <w:szCs w:val="18"/>
          <w:lang w:val="fi-FI" w:eastAsia="en-US"/>
        </w:rPr>
        <w:t xml:space="preserve">diagnoositud CKD korral uurida eelmisi </w:t>
      </w:r>
      <w:r>
        <w:rPr>
          <w:rFonts w:ascii="Verdana" w:hAnsi="Verdana" w:cs="ArialMT"/>
          <w:sz w:val="18"/>
          <w:szCs w:val="18"/>
          <w:lang w:val="fi-FI" w:eastAsia="en-US"/>
        </w:rPr>
        <w:t>e</w:t>
      </w:r>
      <w:r w:rsidRPr="00FE50FA">
        <w:rPr>
          <w:rFonts w:ascii="Verdana" w:hAnsi="Verdana" w:cs="ArialMT"/>
          <w:sz w:val="18"/>
          <w:szCs w:val="18"/>
          <w:lang w:val="fi-FI" w:eastAsia="en-US"/>
        </w:rPr>
        <w:t xml:space="preserve">GFR väärtusi, korrata </w:t>
      </w:r>
      <w:r>
        <w:rPr>
          <w:rFonts w:ascii="Verdana" w:hAnsi="Verdana" w:cs="ArialMT"/>
          <w:sz w:val="18"/>
          <w:szCs w:val="18"/>
          <w:lang w:val="fi-FI" w:eastAsia="en-US"/>
        </w:rPr>
        <w:t>e</w:t>
      </w:r>
      <w:r w:rsidRPr="00FE50FA">
        <w:rPr>
          <w:rFonts w:ascii="Verdana" w:hAnsi="Verdana" w:cs="ArialMT"/>
          <w:sz w:val="18"/>
          <w:szCs w:val="18"/>
          <w:lang w:val="fi-FI" w:eastAsia="en-US"/>
        </w:rPr>
        <w:t xml:space="preserve">GFR, albuminuuriat/proteinuuriat, uriini analüüsi ning teostada radioloogilisi uuringuid, et hinnata neerude olemasolu, asetust, suurust, parenhüümi paksust. Korrata analüüse ja uuringuid 3 kuu jooksul ning 3 kuu möödudes.  </w:t>
      </w:r>
    </w:p>
    <w:p w14:paraId="10663446" w14:textId="77777777" w:rsidR="00213E48" w:rsidRPr="00FE50FA" w:rsidRDefault="00213E48" w:rsidP="005A51BC">
      <w:pPr>
        <w:pBdr>
          <w:top w:val="single" w:sz="4" w:space="31" w:color="auto"/>
          <w:left w:val="single" w:sz="4" w:space="4" w:color="auto"/>
          <w:bottom w:val="single" w:sz="4" w:space="1" w:color="auto"/>
          <w:right w:val="single" w:sz="4" w:space="4" w:color="auto"/>
        </w:pBdr>
        <w:shd w:val="clear" w:color="auto" w:fill="FFFFFF"/>
        <w:spacing w:after="120"/>
        <w:ind w:right="240"/>
        <w:rPr>
          <w:rFonts w:cs="ArialMT"/>
          <w:sz w:val="18"/>
          <w:szCs w:val="18"/>
          <w:lang w:val="fi-FI" w:eastAsia="en-US"/>
        </w:rPr>
      </w:pPr>
      <w:r w:rsidRPr="00FE50FA">
        <w:rPr>
          <w:rFonts w:cs="ArialMT"/>
          <w:sz w:val="18"/>
          <w:szCs w:val="18"/>
          <w:lang w:val="fi-FI" w:eastAsia="en-US"/>
        </w:rPr>
        <w:t>*</w:t>
      </w:r>
      <w:r w:rsidRPr="00FE50FA">
        <w:rPr>
          <w:rFonts w:ascii="Verdana" w:hAnsi="Verdana" w:cs="ArialMT"/>
          <w:b/>
          <w:sz w:val="18"/>
          <w:szCs w:val="18"/>
          <w:lang w:val="fi-FI" w:eastAsia="en-US"/>
        </w:rPr>
        <w:t>Malaysia ja NICE CKD</w:t>
      </w:r>
      <w:r w:rsidRPr="00FE50FA">
        <w:rPr>
          <w:rFonts w:ascii="Verdana" w:hAnsi="Verdana" w:cs="ArialMT"/>
          <w:sz w:val="18"/>
          <w:szCs w:val="18"/>
          <w:lang w:val="fi-FI" w:eastAsia="en-US"/>
        </w:rPr>
        <w:t xml:space="preserve"> ravijuhendites leidub infot neerude ultraheli kohta</w:t>
      </w:r>
      <w:r w:rsidRPr="00FE50FA">
        <w:rPr>
          <w:rFonts w:cs="ArialMT"/>
          <w:sz w:val="18"/>
          <w:szCs w:val="18"/>
          <w:lang w:val="fi-FI" w:eastAsia="en-US"/>
        </w:rPr>
        <w:t xml:space="preserve">. </w:t>
      </w:r>
      <w:r w:rsidRPr="00FE50FA">
        <w:rPr>
          <w:rFonts w:ascii="Verdana" w:hAnsi="Verdana" w:cs="ArialMT"/>
          <w:sz w:val="18"/>
          <w:szCs w:val="18"/>
          <w:lang w:val="fi-FI" w:eastAsia="en-US"/>
        </w:rPr>
        <w:t>Soovitused põhinevad koostajate kogemusel, teaduspõhist kirjandust pole leitud.</w:t>
      </w:r>
    </w:p>
    <w:p w14:paraId="06361198" w14:textId="77777777" w:rsidR="00213E48" w:rsidRPr="00FE50FA" w:rsidRDefault="00213E48" w:rsidP="005A51BC">
      <w:pPr>
        <w:pBdr>
          <w:top w:val="single" w:sz="4" w:space="31" w:color="auto"/>
          <w:left w:val="single" w:sz="4" w:space="4" w:color="auto"/>
          <w:bottom w:val="single" w:sz="4" w:space="1" w:color="auto"/>
          <w:right w:val="single" w:sz="4" w:space="4" w:color="auto"/>
        </w:pBdr>
        <w:shd w:val="clear" w:color="auto" w:fill="FFFFFF"/>
        <w:spacing w:after="120"/>
        <w:ind w:right="240"/>
        <w:rPr>
          <w:rFonts w:ascii="Verdana" w:hAnsi="Verdana" w:cs="ArialMT"/>
          <w:sz w:val="18"/>
          <w:szCs w:val="18"/>
          <w:lang w:val="fi-FI" w:eastAsia="en-US"/>
        </w:rPr>
      </w:pPr>
      <w:r w:rsidRPr="00FE50FA">
        <w:rPr>
          <w:rFonts w:ascii="Verdana" w:hAnsi="Verdana" w:cs="ArialMT"/>
          <w:sz w:val="18"/>
          <w:szCs w:val="18"/>
          <w:lang w:val="fi-FI" w:eastAsia="en-US"/>
        </w:rPr>
        <w:t xml:space="preserve">Soovitused: </w:t>
      </w:r>
    </w:p>
    <w:p w14:paraId="34B32852" w14:textId="77777777" w:rsidR="00213E48" w:rsidRPr="00FE50FA" w:rsidRDefault="00213E48" w:rsidP="005A51BC">
      <w:pPr>
        <w:pBdr>
          <w:top w:val="single" w:sz="4" w:space="31" w:color="auto"/>
          <w:left w:val="single" w:sz="4" w:space="4" w:color="auto"/>
          <w:bottom w:val="single" w:sz="4" w:space="1" w:color="auto"/>
          <w:right w:val="single" w:sz="4" w:space="4" w:color="auto"/>
        </w:pBdr>
        <w:shd w:val="clear" w:color="auto" w:fill="FFFFFF"/>
        <w:spacing w:after="120"/>
        <w:ind w:right="240"/>
        <w:rPr>
          <w:rFonts w:cs="ArialMT"/>
          <w:sz w:val="18"/>
          <w:szCs w:val="18"/>
          <w:lang w:val="fi-FI" w:eastAsia="en-US"/>
        </w:rPr>
      </w:pPr>
      <w:r w:rsidRPr="00FE50FA">
        <w:rPr>
          <w:rFonts w:cs="ArialMT"/>
          <w:sz w:val="18"/>
          <w:szCs w:val="18"/>
          <w:lang w:val="fi-FI" w:eastAsia="en-US"/>
        </w:rPr>
        <w:t xml:space="preserve"> </w:t>
      </w:r>
      <w:r w:rsidRPr="00FE50FA">
        <w:rPr>
          <w:rFonts w:ascii="Verdana" w:hAnsi="Verdana" w:cs="ArialMT"/>
          <w:sz w:val="18"/>
          <w:szCs w:val="18"/>
          <w:lang w:val="fi-FI" w:eastAsia="en-US"/>
        </w:rPr>
        <w:t>Neerude sonograafia on esimene valikmeetod neerude visualiseerimiseks, mille abil on võimalik diagnoosida obstruktiivset uropaatiat, hinnata neerude suurust, asetust, struktuuri (polütsüstilised neerud, parenhüümi atroofia).</w:t>
      </w:r>
    </w:p>
    <w:p w14:paraId="324C88BD" w14:textId="77777777" w:rsidR="00213E48" w:rsidRPr="00FE50FA" w:rsidRDefault="00213E48" w:rsidP="005A51BC">
      <w:pPr>
        <w:pBdr>
          <w:top w:val="single" w:sz="4" w:space="31" w:color="auto"/>
          <w:left w:val="single" w:sz="4" w:space="4" w:color="auto"/>
          <w:bottom w:val="single" w:sz="4" w:space="1" w:color="auto"/>
          <w:right w:val="single" w:sz="4" w:space="4" w:color="auto"/>
        </w:pBdr>
        <w:shd w:val="clear" w:color="auto" w:fill="FFFFFF"/>
        <w:spacing w:after="120"/>
        <w:ind w:right="240"/>
        <w:rPr>
          <w:rFonts w:ascii="Verdana" w:hAnsi="Verdana" w:cs="ArialMT"/>
          <w:sz w:val="18"/>
          <w:szCs w:val="18"/>
          <w:lang w:val="fi-FI" w:eastAsia="en-US"/>
        </w:rPr>
      </w:pPr>
      <w:r w:rsidRPr="00FE50FA">
        <w:rPr>
          <w:rFonts w:ascii="Verdana" w:hAnsi="Verdana" w:cs="ArialMT"/>
          <w:sz w:val="18"/>
          <w:szCs w:val="18"/>
          <w:lang w:val="fi-FI" w:eastAsia="en-US"/>
        </w:rPr>
        <w:t>Neerude ultraheli näidustusteks on:</w:t>
      </w:r>
    </w:p>
    <w:p w14:paraId="7C280488" w14:textId="77777777" w:rsidR="00213E48" w:rsidRPr="00FE50FA" w:rsidRDefault="00213E48" w:rsidP="005A51BC">
      <w:pPr>
        <w:pBdr>
          <w:top w:val="single" w:sz="4" w:space="31" w:color="auto"/>
          <w:left w:val="single" w:sz="4" w:space="4" w:color="auto"/>
          <w:bottom w:val="single" w:sz="4" w:space="1" w:color="auto"/>
          <w:right w:val="single" w:sz="4" w:space="4" w:color="auto"/>
        </w:pBdr>
        <w:shd w:val="clear" w:color="auto" w:fill="FFFFFF"/>
        <w:spacing w:after="120"/>
        <w:ind w:right="240"/>
        <w:rPr>
          <w:rFonts w:ascii="Verdana" w:hAnsi="Verdana" w:cs="ArialMT"/>
          <w:sz w:val="18"/>
          <w:szCs w:val="18"/>
          <w:lang w:val="fi-FI" w:eastAsia="en-US"/>
        </w:rPr>
      </w:pPr>
      <w:r w:rsidRPr="00FE50FA">
        <w:rPr>
          <w:rFonts w:cs="ArialMT"/>
          <w:sz w:val="18"/>
          <w:szCs w:val="18"/>
          <w:lang w:val="fi-FI" w:eastAsia="en-US"/>
        </w:rPr>
        <w:t>-</w:t>
      </w:r>
      <w:r w:rsidRPr="00FE50FA">
        <w:rPr>
          <w:rFonts w:ascii="Verdana" w:hAnsi="Verdana" w:cs="ArialMT"/>
          <w:sz w:val="18"/>
          <w:szCs w:val="18"/>
          <w:lang w:val="fi-FI" w:eastAsia="en-US"/>
        </w:rPr>
        <w:t xml:space="preserve">Kiire neerufunktsiooni langus </w:t>
      </w:r>
    </w:p>
    <w:p w14:paraId="7F99E52E" w14:textId="77777777" w:rsidR="00213E48" w:rsidRPr="00FE50FA" w:rsidRDefault="00213E48" w:rsidP="005A51BC">
      <w:pPr>
        <w:pBdr>
          <w:top w:val="single" w:sz="4" w:space="31" w:color="auto"/>
          <w:left w:val="single" w:sz="4" w:space="4" w:color="auto"/>
          <w:bottom w:val="single" w:sz="4" w:space="1" w:color="auto"/>
          <w:right w:val="single" w:sz="4" w:space="4" w:color="auto"/>
        </w:pBdr>
        <w:shd w:val="clear" w:color="auto" w:fill="FFFFFF"/>
        <w:spacing w:after="120"/>
        <w:ind w:right="240"/>
        <w:rPr>
          <w:rFonts w:ascii="Verdana" w:hAnsi="Verdana" w:cs="ArialMT"/>
          <w:sz w:val="18"/>
          <w:szCs w:val="18"/>
          <w:lang w:val="fi-FI" w:eastAsia="en-US"/>
        </w:rPr>
      </w:pPr>
      <w:r w:rsidRPr="00FE50FA">
        <w:rPr>
          <w:rFonts w:cs="ArialMT"/>
          <w:sz w:val="18"/>
          <w:szCs w:val="18"/>
          <w:lang w:val="fi-FI" w:eastAsia="en-US"/>
        </w:rPr>
        <w:lastRenderedPageBreak/>
        <w:t>-</w:t>
      </w:r>
      <w:r w:rsidRPr="00FE50FA">
        <w:rPr>
          <w:rFonts w:ascii="Verdana" w:hAnsi="Verdana" w:cs="ArialMT"/>
          <w:sz w:val="18"/>
          <w:szCs w:val="18"/>
          <w:lang w:val="fi-FI" w:eastAsia="en-US"/>
        </w:rPr>
        <w:t>Mikro- või makrohematuuria</w:t>
      </w:r>
    </w:p>
    <w:p w14:paraId="7B96B4C6" w14:textId="77777777" w:rsidR="00213E48" w:rsidRPr="00FE50FA" w:rsidRDefault="00213E48" w:rsidP="005A51BC">
      <w:pPr>
        <w:pBdr>
          <w:top w:val="single" w:sz="4" w:space="31" w:color="auto"/>
          <w:left w:val="single" w:sz="4" w:space="4" w:color="auto"/>
          <w:bottom w:val="single" w:sz="4" w:space="1" w:color="auto"/>
          <w:right w:val="single" w:sz="4" w:space="4" w:color="auto"/>
        </w:pBdr>
        <w:shd w:val="clear" w:color="auto" w:fill="FFFFFF"/>
        <w:spacing w:after="120"/>
        <w:ind w:right="240"/>
        <w:rPr>
          <w:rFonts w:ascii="Verdana" w:hAnsi="Verdana" w:cs="ArialMT"/>
          <w:sz w:val="18"/>
          <w:szCs w:val="18"/>
          <w:lang w:val="fi-FI" w:eastAsia="en-US"/>
        </w:rPr>
      </w:pPr>
      <w:r w:rsidRPr="00FE50FA">
        <w:rPr>
          <w:rFonts w:cs="ArialMT"/>
          <w:sz w:val="18"/>
          <w:szCs w:val="18"/>
          <w:lang w:val="fi-FI" w:eastAsia="en-US"/>
        </w:rPr>
        <w:t>-</w:t>
      </w:r>
      <w:r w:rsidRPr="00FE50FA">
        <w:rPr>
          <w:rFonts w:ascii="Verdana" w:hAnsi="Verdana" w:cs="ArialMT"/>
          <w:sz w:val="18"/>
          <w:szCs w:val="18"/>
          <w:lang w:val="fi-FI" w:eastAsia="en-US"/>
        </w:rPr>
        <w:t>Kuseteede obstruktsiooni sümptomid või anamnees</w:t>
      </w:r>
    </w:p>
    <w:p w14:paraId="6CBFF20A" w14:textId="77777777" w:rsidR="00213E48" w:rsidRPr="00FE50FA" w:rsidRDefault="00213E48" w:rsidP="005A51BC">
      <w:pPr>
        <w:pBdr>
          <w:top w:val="single" w:sz="4" w:space="31" w:color="auto"/>
          <w:left w:val="single" w:sz="4" w:space="4" w:color="auto"/>
          <w:bottom w:val="single" w:sz="4" w:space="1" w:color="auto"/>
          <w:right w:val="single" w:sz="4" w:space="4" w:color="auto"/>
        </w:pBdr>
        <w:shd w:val="clear" w:color="auto" w:fill="FFFFFF"/>
        <w:spacing w:after="120"/>
        <w:ind w:right="240"/>
        <w:rPr>
          <w:rFonts w:ascii="Verdana" w:hAnsi="Verdana" w:cs="ArialMT"/>
          <w:sz w:val="18"/>
          <w:szCs w:val="18"/>
          <w:lang w:val="fi-FI" w:eastAsia="en-US"/>
        </w:rPr>
      </w:pPr>
      <w:r w:rsidRPr="00FE50FA">
        <w:rPr>
          <w:rFonts w:cs="ArialMT"/>
          <w:sz w:val="18"/>
          <w:szCs w:val="18"/>
          <w:lang w:val="fi-FI" w:eastAsia="en-US"/>
        </w:rPr>
        <w:t>-</w:t>
      </w:r>
      <w:r w:rsidRPr="00FE50FA">
        <w:rPr>
          <w:rFonts w:ascii="Verdana" w:hAnsi="Verdana" w:cs="ArialMT"/>
          <w:sz w:val="18"/>
          <w:szCs w:val="18"/>
          <w:lang w:val="fi-FI" w:eastAsia="en-US"/>
        </w:rPr>
        <w:t xml:space="preserve">Neerude polütsüstoosi pereanamnees ja </w:t>
      </w:r>
      <w:r>
        <w:rPr>
          <w:rFonts w:ascii="Verdana" w:hAnsi="Verdana" w:cs="ArialMT"/>
          <w:sz w:val="18"/>
          <w:szCs w:val="18"/>
          <w:lang w:val="fi-FI" w:eastAsia="en-US"/>
        </w:rPr>
        <w:t xml:space="preserve">patsiendi </w:t>
      </w:r>
      <w:r w:rsidRPr="00FE50FA">
        <w:rPr>
          <w:rFonts w:ascii="Verdana" w:hAnsi="Verdana" w:cs="ArialMT"/>
          <w:sz w:val="18"/>
          <w:szCs w:val="18"/>
          <w:lang w:val="fi-FI" w:eastAsia="en-US"/>
        </w:rPr>
        <w:t>vanus &gt;20 aastat</w:t>
      </w:r>
    </w:p>
    <w:p w14:paraId="11927C97" w14:textId="77777777" w:rsidR="00213E48" w:rsidRPr="00FE50FA" w:rsidRDefault="00213E48" w:rsidP="005A51BC">
      <w:pPr>
        <w:pBdr>
          <w:top w:val="single" w:sz="4" w:space="31" w:color="auto"/>
          <w:left w:val="single" w:sz="4" w:space="4" w:color="auto"/>
          <w:bottom w:val="single" w:sz="4" w:space="1" w:color="auto"/>
          <w:right w:val="single" w:sz="4" w:space="4" w:color="auto"/>
        </w:pBdr>
        <w:shd w:val="clear" w:color="auto" w:fill="FFFFFF"/>
        <w:spacing w:after="120"/>
        <w:ind w:right="240"/>
        <w:rPr>
          <w:rFonts w:ascii="Verdana" w:hAnsi="Verdana" w:cs="ArialMT"/>
          <w:sz w:val="18"/>
          <w:szCs w:val="18"/>
          <w:lang w:val="fi-FI" w:eastAsia="en-US"/>
        </w:rPr>
      </w:pPr>
      <w:r w:rsidRPr="00FE50FA">
        <w:rPr>
          <w:rFonts w:cs="ArialMT"/>
          <w:sz w:val="18"/>
          <w:szCs w:val="18"/>
          <w:lang w:val="fi-FI" w:eastAsia="en-US"/>
        </w:rPr>
        <w:t>-</w:t>
      </w:r>
      <w:r w:rsidRPr="00FE50FA">
        <w:rPr>
          <w:rFonts w:ascii="Verdana" w:hAnsi="Verdana" w:cs="ArialMT"/>
          <w:sz w:val="18"/>
          <w:szCs w:val="18"/>
          <w:lang w:val="fi-FI" w:eastAsia="en-US"/>
        </w:rPr>
        <w:t>CKD 4. ja 5. staadium</w:t>
      </w:r>
    </w:p>
    <w:p w14:paraId="3FFC2B83" w14:textId="77777777" w:rsidR="00213E48" w:rsidRPr="001D07CD" w:rsidRDefault="00213E48" w:rsidP="005A51BC">
      <w:pPr>
        <w:pBdr>
          <w:top w:val="single" w:sz="4" w:space="31" w:color="auto"/>
          <w:left w:val="single" w:sz="4" w:space="4" w:color="auto"/>
          <w:bottom w:val="single" w:sz="4" w:space="1" w:color="auto"/>
          <w:right w:val="single" w:sz="4" w:space="4" w:color="auto"/>
        </w:pBdr>
        <w:shd w:val="clear" w:color="auto" w:fill="FFFFFF"/>
        <w:spacing w:after="120"/>
        <w:ind w:right="240"/>
        <w:rPr>
          <w:rFonts w:cs="ArialMT"/>
          <w:color w:val="000080"/>
          <w:sz w:val="18"/>
          <w:szCs w:val="18"/>
          <w:lang w:val="fi-FI" w:eastAsia="en-US"/>
        </w:rPr>
      </w:pPr>
      <w:r w:rsidRPr="00FE50FA">
        <w:rPr>
          <w:rFonts w:cs="ArialMT"/>
          <w:sz w:val="18"/>
          <w:szCs w:val="18"/>
          <w:lang w:val="fi-FI" w:eastAsia="en-US"/>
        </w:rPr>
        <w:t>-</w:t>
      </w:r>
      <w:r w:rsidRPr="00FE50FA">
        <w:rPr>
          <w:rFonts w:ascii="Verdana" w:hAnsi="Verdana" w:cs="ArialMT"/>
          <w:sz w:val="18"/>
          <w:szCs w:val="18"/>
          <w:lang w:val="fi-FI" w:eastAsia="en-US"/>
        </w:rPr>
        <w:t>Neerubiopsia teostamine ultraheli kontrolli al</w:t>
      </w:r>
      <w:r w:rsidRPr="001D07CD">
        <w:rPr>
          <w:rFonts w:ascii="Verdana" w:hAnsi="Verdana" w:cs="ArialMT"/>
          <w:color w:val="000080"/>
          <w:sz w:val="18"/>
          <w:szCs w:val="18"/>
          <w:lang w:val="fi-FI" w:eastAsia="en-US"/>
        </w:rPr>
        <w:t>l</w:t>
      </w:r>
    </w:p>
    <w:p w14:paraId="2CEE5159" w14:textId="77777777" w:rsidR="00213E48" w:rsidRDefault="00213E48" w:rsidP="005A51BC">
      <w:pPr>
        <w:pBdr>
          <w:top w:val="single" w:sz="4" w:space="3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sz w:val="18"/>
          <w:szCs w:val="18"/>
          <w:lang w:val="fi-FI" w:eastAsia="en-US"/>
        </w:rPr>
      </w:pPr>
      <w:r w:rsidRPr="00FE50FA">
        <w:rPr>
          <w:rFonts w:cs="ArialMT"/>
          <w:sz w:val="18"/>
          <w:szCs w:val="18"/>
          <w:lang w:val="fi-FI" w:eastAsia="en-US"/>
        </w:rPr>
        <w:t>*</w:t>
      </w:r>
      <w:r w:rsidRPr="00FE50FA">
        <w:rPr>
          <w:rFonts w:ascii="Verdana" w:hAnsi="Verdana" w:cs="ArialMT"/>
          <w:b/>
          <w:sz w:val="18"/>
          <w:szCs w:val="18"/>
          <w:lang w:val="fi-FI" w:eastAsia="en-US"/>
        </w:rPr>
        <w:t>CHA-KARI</w:t>
      </w:r>
      <w:r w:rsidRPr="00FE50FA">
        <w:rPr>
          <w:rFonts w:ascii="Verdana" w:hAnsi="Verdana" w:cs="ArialMT"/>
          <w:sz w:val="18"/>
          <w:szCs w:val="18"/>
          <w:lang w:val="fi-FI" w:eastAsia="en-US"/>
        </w:rPr>
        <w:t xml:space="preserve"> ravijuhendis on antud soovitused (ungraded) GFR/kreatiniini/uurea/albumiini kordamise  (1 nädalase intervalliga) ja neerude sonograafia kohta CKD diagnoosimisel. </w:t>
      </w:r>
    </w:p>
    <w:p w14:paraId="00D95B5F" w14:textId="77777777" w:rsidR="00213E48" w:rsidRPr="009005FF" w:rsidRDefault="00213E48" w:rsidP="005A51BC">
      <w:pPr>
        <w:pBdr>
          <w:top w:val="single" w:sz="4" w:space="3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sz w:val="18"/>
          <w:szCs w:val="18"/>
          <w:lang w:val="fi-FI" w:eastAsia="en-US"/>
        </w:rPr>
      </w:pPr>
      <w:bookmarkStart w:id="0" w:name="_GoBack"/>
      <w:commentRangeStart w:id="1"/>
      <w:r w:rsidRPr="00FE50FA">
        <w:rPr>
          <w:rFonts w:ascii="Verdana" w:hAnsi="Verdana" w:cs="ArialMT"/>
          <w:b/>
          <w:sz w:val="18"/>
          <w:szCs w:val="18"/>
          <w:lang w:val="fi-FI" w:eastAsia="en-US"/>
        </w:rPr>
        <w:t>Kokkuvõte: KNH diagnoosi täpsustamiseks tuleb uurida eelmisi GFR väärtusi, korrata kreatiniini, eGFR, albuminuuriat/proteinuuriat ja uriini analüüsi 1 nädala pärast ning edaspidi korrata 3 kuu jooksul. Kui 3 kuu möödudes neerufunktsiooni näitajad jäävad kõrge</w:t>
      </w:r>
      <w:r>
        <w:rPr>
          <w:rFonts w:ascii="Verdana" w:hAnsi="Verdana" w:cs="ArialMT"/>
          <w:b/>
          <w:sz w:val="18"/>
          <w:szCs w:val="18"/>
          <w:lang w:val="fi-FI" w:eastAsia="en-US"/>
        </w:rPr>
        <w:t>nenu</w:t>
      </w:r>
      <w:r w:rsidRPr="00FE50FA">
        <w:rPr>
          <w:rFonts w:ascii="Verdana" w:hAnsi="Verdana" w:cs="ArialMT"/>
          <w:b/>
          <w:sz w:val="18"/>
          <w:szCs w:val="18"/>
          <w:lang w:val="fi-FI" w:eastAsia="en-US"/>
        </w:rPr>
        <w:t>ks, siis võib diagnoosida KNH. Samuti diagnoosi täpsustamiseks tuleb teostada neerude ultraheli uuring, et hinnata neerude asetust, suurust ja struktuuri. Infot eesnäärme lisauuringute (PSA, ultraheli, jääkuriin) ja günekoloogil</w:t>
      </w:r>
      <w:r>
        <w:rPr>
          <w:rFonts w:ascii="Verdana" w:hAnsi="Verdana" w:cs="ArialMT"/>
          <w:b/>
          <w:sz w:val="18"/>
          <w:szCs w:val="18"/>
          <w:lang w:val="fi-FI" w:eastAsia="en-US"/>
        </w:rPr>
        <w:t>ise kontrolli kohta KNH haigete</w:t>
      </w:r>
      <w:r w:rsidRPr="00FE50FA">
        <w:rPr>
          <w:rFonts w:ascii="Verdana" w:hAnsi="Verdana" w:cs="ArialMT"/>
          <w:b/>
          <w:sz w:val="18"/>
          <w:szCs w:val="18"/>
          <w:lang w:val="fi-FI" w:eastAsia="en-US"/>
        </w:rPr>
        <w:t xml:space="preserve"> ravijuhendites ei ole. </w:t>
      </w:r>
      <w:bookmarkEnd w:id="0"/>
      <w:commentRangeEnd w:id="1"/>
      <w:r w:rsidR="00881875">
        <w:rPr>
          <w:rStyle w:val="CommentReference"/>
        </w:rPr>
        <w:commentReference w:id="1"/>
      </w:r>
    </w:p>
    <w:p w14:paraId="74BBB214" w14:textId="77777777" w:rsidR="00213E48" w:rsidRPr="009663D6" w:rsidRDefault="00213E48" w:rsidP="005A51BC">
      <w:pPr>
        <w:pBdr>
          <w:top w:val="single" w:sz="4" w:space="3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b/>
          <w:color w:val="000080"/>
          <w:sz w:val="18"/>
          <w:szCs w:val="18"/>
          <w:lang w:val="fi-FI" w:eastAsia="en-US"/>
        </w:rPr>
      </w:pPr>
    </w:p>
    <w:p w14:paraId="7A9414E3" w14:textId="77777777" w:rsidR="00213E48" w:rsidRPr="006340D4"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b/>
          <w:sz w:val="18"/>
          <w:szCs w:val="18"/>
          <w:lang w:val="en-US" w:eastAsia="en-US"/>
        </w:rPr>
      </w:pPr>
      <w:r w:rsidRPr="006340D4">
        <w:rPr>
          <w:rFonts w:ascii="Verdana" w:hAnsi="Verdana" w:cs="ArialMT"/>
          <w:b/>
          <w:sz w:val="18"/>
          <w:szCs w:val="18"/>
          <w:lang w:val="en-US" w:eastAsia="en-US"/>
        </w:rPr>
        <w:t>KDIGO CKD evaluation and management (p.65)</w:t>
      </w:r>
    </w:p>
    <w:p w14:paraId="05ADCFE9" w14:textId="77777777" w:rsidR="00213E48" w:rsidRPr="006340D4"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sz w:val="18"/>
          <w:szCs w:val="18"/>
          <w:lang w:val="en-US" w:eastAsia="en-US"/>
        </w:rPr>
      </w:pPr>
      <w:r w:rsidRPr="006340D4">
        <w:rPr>
          <w:rFonts w:ascii="Verdana" w:hAnsi="Verdana" w:cs="ArialMT"/>
          <w:sz w:val="18"/>
          <w:szCs w:val="18"/>
          <w:lang w:val="en-US" w:eastAsia="en-US"/>
        </w:rPr>
        <w:t>1.4: EVALUATION OF CKD</w:t>
      </w:r>
    </w:p>
    <w:p w14:paraId="2514AB14" w14:textId="77777777" w:rsidR="00213E48" w:rsidRPr="006340D4"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sz w:val="18"/>
          <w:szCs w:val="18"/>
          <w:lang w:val="en-US" w:eastAsia="en-US"/>
        </w:rPr>
      </w:pPr>
      <w:r w:rsidRPr="006340D4">
        <w:rPr>
          <w:rFonts w:ascii="Verdana" w:hAnsi="Verdana" w:cs="ArialMT"/>
          <w:sz w:val="18"/>
          <w:szCs w:val="18"/>
          <w:lang w:val="en-US" w:eastAsia="en-US"/>
        </w:rPr>
        <w:t>1.4.1: Evaluation of chronicity</w:t>
      </w:r>
    </w:p>
    <w:p w14:paraId="1804E87F" w14:textId="77777777" w:rsidR="00213E48" w:rsidRPr="006340D4"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sz w:val="18"/>
          <w:szCs w:val="18"/>
          <w:lang w:val="en-US" w:eastAsia="en-US"/>
        </w:rPr>
      </w:pPr>
      <w:r w:rsidRPr="006340D4">
        <w:rPr>
          <w:rFonts w:ascii="Verdana" w:hAnsi="Verdana" w:cs="ArialMT"/>
          <w:sz w:val="18"/>
          <w:szCs w:val="18"/>
          <w:lang w:val="en-US" w:eastAsia="en-US"/>
        </w:rPr>
        <w:t xml:space="preserve">1.4.1.1: In people with GFR </w:t>
      </w:r>
      <w:r w:rsidRPr="006340D4">
        <w:rPr>
          <w:rFonts w:ascii="Verdana" w:hAnsi="Verdana" w:cs="ArialMT"/>
          <w:b/>
          <w:bCs/>
          <w:sz w:val="18"/>
          <w:szCs w:val="18"/>
          <w:lang w:val="en-US" w:eastAsia="en-US"/>
        </w:rPr>
        <w:t>&lt;</w:t>
      </w:r>
      <w:r w:rsidRPr="006340D4">
        <w:rPr>
          <w:rFonts w:ascii="Verdana" w:hAnsi="Verdana" w:cs="ArialMT"/>
          <w:sz w:val="18"/>
          <w:szCs w:val="18"/>
          <w:lang w:val="en-US" w:eastAsia="en-US"/>
        </w:rPr>
        <w:t>60 ml/min/1.73m2 (GFR categories G3a-G5) or markers of kidney damage, review past history and previous measurements to determine duration of kidney disease. (Not Graded)</w:t>
      </w:r>
    </w:p>
    <w:p w14:paraId="2116E118" w14:textId="77777777" w:rsidR="00213E48" w:rsidRPr="006340D4"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sz w:val="18"/>
          <w:szCs w:val="18"/>
          <w:lang w:val="en-US" w:eastAsia="en-US"/>
        </w:rPr>
      </w:pPr>
      <w:r w:rsidRPr="006340D4">
        <w:rPr>
          <w:rFonts w:ascii="Verdana" w:hAnsi="Verdana" w:cs="ArialMT"/>
          <w:sz w:val="18"/>
          <w:szCs w:val="18"/>
          <w:lang w:val="en-US" w:eastAsia="en-US"/>
        </w:rPr>
        <w:t xml:space="preserve">If duration is </w:t>
      </w:r>
      <w:r w:rsidRPr="006340D4">
        <w:rPr>
          <w:rFonts w:ascii="Verdana" w:hAnsi="Verdana" w:cs="ArialMT"/>
          <w:b/>
          <w:bCs/>
          <w:sz w:val="18"/>
          <w:szCs w:val="18"/>
          <w:lang w:val="en-US" w:eastAsia="en-US"/>
        </w:rPr>
        <w:t>&gt;</w:t>
      </w:r>
      <w:r w:rsidRPr="006340D4">
        <w:rPr>
          <w:rFonts w:ascii="Verdana" w:hAnsi="Verdana" w:cs="ArialMT"/>
          <w:sz w:val="18"/>
          <w:szCs w:val="18"/>
          <w:lang w:val="en-US" w:eastAsia="en-US"/>
        </w:rPr>
        <w:t>3 months, CKD is confirmed. Follow recommendations for CKD.</w:t>
      </w:r>
    </w:p>
    <w:p w14:paraId="53D13C07" w14:textId="77777777" w:rsidR="00213E48" w:rsidRPr="006340D4"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sz w:val="18"/>
          <w:szCs w:val="18"/>
          <w:lang w:val="en-US" w:eastAsia="en-US"/>
        </w:rPr>
      </w:pPr>
      <w:r w:rsidRPr="006340D4">
        <w:rPr>
          <w:rFonts w:ascii="Verdana" w:hAnsi="Verdana" w:cs="ArialMT"/>
          <w:sz w:val="18"/>
          <w:szCs w:val="18"/>
          <w:lang w:val="en-US" w:eastAsia="en-US"/>
        </w:rPr>
        <w:t>If duration is not &gt;3 months or unclear, CKD is not confirmed. Patients may have CKD or acute kidney diseases (including AKI) or both and tests should be repeated accordingly.</w:t>
      </w:r>
    </w:p>
    <w:p w14:paraId="06419992" w14:textId="77777777" w:rsidR="00213E48" w:rsidRPr="006340D4"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sz w:val="18"/>
          <w:szCs w:val="18"/>
          <w:lang w:val="en-US" w:eastAsia="en-US"/>
        </w:rPr>
      </w:pPr>
      <w:r w:rsidRPr="006340D4">
        <w:rPr>
          <w:rFonts w:ascii="Verdana" w:hAnsi="Verdana" w:cs="ArialMT"/>
          <w:sz w:val="18"/>
          <w:szCs w:val="18"/>
          <w:lang w:val="en-US" w:eastAsia="en-US"/>
        </w:rPr>
        <w:t>RATIONALE</w:t>
      </w:r>
    </w:p>
    <w:p w14:paraId="76BA8388" w14:textId="77777777" w:rsidR="00213E48" w:rsidRPr="006340D4"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sz w:val="18"/>
          <w:szCs w:val="18"/>
          <w:lang w:val="en-US" w:eastAsia="en-US"/>
        </w:rPr>
      </w:pPr>
      <w:r w:rsidRPr="006340D4">
        <w:rPr>
          <w:rFonts w:ascii="Verdana" w:hAnsi="Verdana" w:cs="ArialMT"/>
          <w:sz w:val="18"/>
          <w:szCs w:val="18"/>
          <w:lang w:val="en-US" w:eastAsia="en-US"/>
        </w:rPr>
        <w:t>When evidence of CKD is first ascertained, proof of chronicity can be obtained or confirmed by:</w:t>
      </w:r>
    </w:p>
    <w:p w14:paraId="0C19482D" w14:textId="77777777" w:rsidR="00213E48" w:rsidRPr="006340D4"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sz w:val="18"/>
          <w:szCs w:val="18"/>
          <w:lang w:val="en-US" w:eastAsia="en-US"/>
        </w:rPr>
      </w:pPr>
      <w:r w:rsidRPr="006340D4">
        <w:rPr>
          <w:rFonts w:ascii="Verdana" w:hAnsi="Verdana" w:cs="ArialMT"/>
          <w:sz w:val="18"/>
          <w:szCs w:val="18"/>
          <w:lang w:val="en-US" w:eastAsia="en-US"/>
        </w:rPr>
        <w:t>(i) review of past measurements of GFR;</w:t>
      </w:r>
    </w:p>
    <w:p w14:paraId="16685F08" w14:textId="77777777" w:rsidR="00213E48" w:rsidRPr="006340D4"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sz w:val="18"/>
          <w:szCs w:val="18"/>
          <w:lang w:val="en-US" w:eastAsia="en-US"/>
        </w:rPr>
      </w:pPr>
      <w:r w:rsidRPr="006340D4">
        <w:rPr>
          <w:rFonts w:ascii="Verdana" w:hAnsi="Verdana" w:cs="ArialMT"/>
          <w:sz w:val="18"/>
          <w:szCs w:val="18"/>
          <w:lang w:val="en-US" w:eastAsia="en-US"/>
        </w:rPr>
        <w:t>(ii) review of past measurements of albuminuria or proteinuria and urine examinations;</w:t>
      </w:r>
    </w:p>
    <w:p w14:paraId="17BF8090" w14:textId="77777777" w:rsidR="00213E48" w:rsidRPr="006340D4"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sz w:val="18"/>
          <w:szCs w:val="18"/>
          <w:lang w:val="en-US" w:eastAsia="en-US"/>
        </w:rPr>
      </w:pPr>
      <w:r w:rsidRPr="006340D4">
        <w:rPr>
          <w:rFonts w:ascii="Verdana" w:hAnsi="Verdana" w:cs="ArialMT"/>
          <w:sz w:val="18"/>
          <w:szCs w:val="18"/>
          <w:lang w:val="en-US" w:eastAsia="en-US"/>
        </w:rPr>
        <w:t>(iii) imaging findings such as reduced kidney size and reduction in cortical thickness;</w:t>
      </w:r>
    </w:p>
    <w:p w14:paraId="5B7889EF" w14:textId="77777777" w:rsidR="00213E48" w:rsidRPr="006340D4"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sz w:val="18"/>
          <w:szCs w:val="18"/>
          <w:lang w:val="en-US" w:eastAsia="en-US"/>
        </w:rPr>
      </w:pPr>
      <w:r w:rsidRPr="006340D4">
        <w:rPr>
          <w:rFonts w:ascii="Verdana" w:hAnsi="Verdana" w:cs="ArialMT"/>
          <w:sz w:val="18"/>
          <w:szCs w:val="18"/>
          <w:lang w:val="en-US" w:eastAsia="en-US"/>
        </w:rPr>
        <w:t>(iv) pathological findings such as fibrosis and atrophy;</w:t>
      </w:r>
    </w:p>
    <w:p w14:paraId="022907F9" w14:textId="77777777" w:rsidR="00213E48" w:rsidRPr="006340D4"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sz w:val="18"/>
          <w:szCs w:val="18"/>
          <w:lang w:val="en-US" w:eastAsia="en-US"/>
        </w:rPr>
      </w:pPr>
      <w:r w:rsidRPr="006340D4">
        <w:rPr>
          <w:rFonts w:ascii="Verdana" w:hAnsi="Verdana" w:cs="ArialMT"/>
          <w:sz w:val="18"/>
          <w:szCs w:val="18"/>
          <w:lang w:val="en-US" w:eastAsia="en-US"/>
        </w:rPr>
        <w:t>(v) medical history especially duration of disorders known to cause CKD;</w:t>
      </w:r>
    </w:p>
    <w:p w14:paraId="5C58855B" w14:textId="77777777" w:rsidR="00213E48"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sz w:val="18"/>
          <w:szCs w:val="18"/>
          <w:lang w:val="en-US" w:eastAsia="en-US"/>
        </w:rPr>
      </w:pPr>
      <w:r w:rsidRPr="006340D4">
        <w:rPr>
          <w:rFonts w:ascii="Verdana" w:hAnsi="Verdana" w:cs="ArialMT"/>
          <w:sz w:val="18"/>
          <w:szCs w:val="18"/>
          <w:lang w:val="en-US" w:eastAsia="en-US"/>
        </w:rPr>
        <w:t xml:space="preserve">(vi) repeat measurements within and beyond the 3 month point. </w:t>
      </w:r>
    </w:p>
    <w:p w14:paraId="486DFF2E" w14:textId="77777777" w:rsidR="00213E48" w:rsidRPr="00B828A8" w:rsidRDefault="00213E48" w:rsidP="00A1666F">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b/>
          <w:i/>
          <w:sz w:val="18"/>
          <w:szCs w:val="18"/>
          <w:u w:val="single"/>
          <w:lang w:val="en-US" w:eastAsia="en-US"/>
        </w:rPr>
      </w:pPr>
      <w:r w:rsidRPr="00B828A8">
        <w:rPr>
          <w:rFonts w:ascii="Verdana" w:hAnsi="Verdana" w:cs="ArialMT"/>
          <w:b/>
          <w:i/>
          <w:sz w:val="18"/>
          <w:szCs w:val="18"/>
          <w:u w:val="single"/>
          <w:lang w:val="en-US" w:eastAsia="en-US"/>
        </w:rPr>
        <w:t xml:space="preserve">Final grade for overall quality of evidence Grade </w:t>
      </w:r>
      <w:r w:rsidRPr="00B828A8">
        <w:rPr>
          <w:rFonts w:ascii="Verdana" w:hAnsi="Verdana" w:cs="ArialMT"/>
          <w:b/>
          <w:sz w:val="18"/>
          <w:szCs w:val="18"/>
          <w:u w:val="single"/>
          <w:lang w:val="en-US" w:eastAsia="en-US"/>
        </w:rPr>
        <w:t>(Table 41)</w:t>
      </w:r>
    </w:p>
    <w:p w14:paraId="32C6DB1D" w14:textId="77777777" w:rsidR="00213E48" w:rsidRPr="00A1666F" w:rsidRDefault="00213E48" w:rsidP="00A1666F">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sz w:val="18"/>
          <w:szCs w:val="18"/>
          <w:u w:val="single"/>
          <w:lang w:val="en-US" w:eastAsia="en-US"/>
        </w:rPr>
      </w:pPr>
      <w:r w:rsidRPr="00A1666F">
        <w:rPr>
          <w:rFonts w:ascii="Verdana" w:hAnsi="Verdana" w:cs="ArialMT"/>
          <w:sz w:val="18"/>
          <w:szCs w:val="18"/>
          <w:u w:val="single"/>
          <w:lang w:val="en-US" w:eastAsia="en-US"/>
        </w:rPr>
        <w:t>Quality of Evidence                       Meaning</w:t>
      </w:r>
    </w:p>
    <w:p w14:paraId="3488652B" w14:textId="77777777" w:rsidR="00213E48" w:rsidRPr="00A1666F" w:rsidRDefault="00213E48" w:rsidP="00A1666F">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sz w:val="18"/>
          <w:szCs w:val="18"/>
          <w:lang w:val="en-US" w:eastAsia="en-US"/>
        </w:rPr>
      </w:pPr>
      <w:r w:rsidRPr="00A1666F">
        <w:rPr>
          <w:rFonts w:ascii="Verdana" w:hAnsi="Verdana" w:cs="ArialMT"/>
          <w:sz w:val="18"/>
          <w:szCs w:val="18"/>
          <w:lang w:val="en-US" w:eastAsia="en-US"/>
        </w:rPr>
        <w:t xml:space="preserve">A </w:t>
      </w:r>
      <w:r>
        <w:rPr>
          <w:rFonts w:ascii="Verdana" w:hAnsi="Verdana" w:cs="ArialMT"/>
          <w:sz w:val="18"/>
          <w:szCs w:val="18"/>
          <w:lang w:val="en-US" w:eastAsia="en-US"/>
        </w:rPr>
        <w:t xml:space="preserve">                                 </w:t>
      </w:r>
      <w:r w:rsidRPr="00A1666F">
        <w:rPr>
          <w:rFonts w:ascii="Verdana" w:hAnsi="Verdana" w:cs="ArialMT"/>
          <w:sz w:val="18"/>
          <w:szCs w:val="18"/>
          <w:lang w:val="en-US" w:eastAsia="en-US"/>
        </w:rPr>
        <w:t>High We are confident that the true effect lies close to that of</w:t>
      </w:r>
    </w:p>
    <w:p w14:paraId="6F4B2F4F" w14:textId="77777777" w:rsidR="00213E48" w:rsidRPr="00A1666F" w:rsidRDefault="00213E48" w:rsidP="00A1666F">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sz w:val="18"/>
          <w:szCs w:val="18"/>
          <w:lang w:val="en-US" w:eastAsia="en-US"/>
        </w:rPr>
      </w:pPr>
      <w:r>
        <w:rPr>
          <w:rFonts w:ascii="Verdana" w:hAnsi="Verdana" w:cs="ArialMT"/>
          <w:sz w:val="18"/>
          <w:szCs w:val="18"/>
          <w:lang w:val="en-US" w:eastAsia="en-US"/>
        </w:rPr>
        <w:t xml:space="preserve">                                     </w:t>
      </w:r>
      <w:r w:rsidRPr="00A1666F">
        <w:rPr>
          <w:rFonts w:ascii="Verdana" w:hAnsi="Verdana" w:cs="ArialMT"/>
          <w:sz w:val="18"/>
          <w:szCs w:val="18"/>
          <w:lang w:val="en-US" w:eastAsia="en-US"/>
        </w:rPr>
        <w:t>the estimate of the effect.</w:t>
      </w:r>
    </w:p>
    <w:p w14:paraId="34F7ED11" w14:textId="77777777" w:rsidR="00213E48" w:rsidRPr="00A1666F" w:rsidRDefault="00213E48" w:rsidP="00A1666F">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sz w:val="18"/>
          <w:szCs w:val="18"/>
          <w:lang w:val="en-US" w:eastAsia="en-US"/>
        </w:rPr>
      </w:pPr>
      <w:r w:rsidRPr="00A1666F">
        <w:rPr>
          <w:rFonts w:ascii="Verdana" w:hAnsi="Verdana" w:cs="ArialMT"/>
          <w:sz w:val="18"/>
          <w:szCs w:val="18"/>
          <w:lang w:val="en-US" w:eastAsia="en-US"/>
        </w:rPr>
        <w:t xml:space="preserve">B </w:t>
      </w:r>
      <w:r>
        <w:rPr>
          <w:rFonts w:ascii="Verdana" w:hAnsi="Verdana" w:cs="ArialMT"/>
          <w:sz w:val="18"/>
          <w:szCs w:val="18"/>
          <w:lang w:val="en-US" w:eastAsia="en-US"/>
        </w:rPr>
        <w:t xml:space="preserve">                                 </w:t>
      </w:r>
      <w:r w:rsidRPr="00A1666F">
        <w:rPr>
          <w:rFonts w:ascii="Verdana" w:hAnsi="Verdana" w:cs="ArialMT"/>
          <w:sz w:val="18"/>
          <w:szCs w:val="18"/>
          <w:lang w:val="en-US" w:eastAsia="en-US"/>
        </w:rPr>
        <w:t>Moderate The true effect is likely to be close to the estimate of the</w:t>
      </w:r>
    </w:p>
    <w:p w14:paraId="7C799A5F" w14:textId="77777777" w:rsidR="00213E48" w:rsidRPr="00A1666F" w:rsidRDefault="00213E48" w:rsidP="00A1666F">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sz w:val="18"/>
          <w:szCs w:val="18"/>
          <w:lang w:val="en-US" w:eastAsia="en-US"/>
        </w:rPr>
      </w:pPr>
      <w:r>
        <w:rPr>
          <w:rFonts w:ascii="Verdana" w:hAnsi="Verdana" w:cs="ArialMT"/>
          <w:sz w:val="18"/>
          <w:szCs w:val="18"/>
          <w:lang w:val="en-US" w:eastAsia="en-US"/>
        </w:rPr>
        <w:t xml:space="preserve">                                    </w:t>
      </w:r>
      <w:r w:rsidRPr="00A1666F">
        <w:rPr>
          <w:rFonts w:ascii="Verdana" w:hAnsi="Verdana" w:cs="ArialMT"/>
          <w:sz w:val="18"/>
          <w:szCs w:val="18"/>
          <w:lang w:val="en-US" w:eastAsia="en-US"/>
        </w:rPr>
        <w:t>effect, but there is a possibility that it is substantially</w:t>
      </w:r>
      <w:r>
        <w:rPr>
          <w:rFonts w:ascii="Verdana" w:hAnsi="Verdana" w:cs="ArialMT"/>
          <w:sz w:val="18"/>
          <w:szCs w:val="18"/>
          <w:lang w:val="en-US" w:eastAsia="en-US"/>
        </w:rPr>
        <w:t xml:space="preserve"> </w:t>
      </w:r>
      <w:r w:rsidRPr="00A1666F">
        <w:rPr>
          <w:rFonts w:ascii="Verdana" w:hAnsi="Verdana" w:cs="ArialMT"/>
          <w:sz w:val="18"/>
          <w:szCs w:val="18"/>
          <w:lang w:val="en-US" w:eastAsia="en-US"/>
        </w:rPr>
        <w:t>different.</w:t>
      </w:r>
    </w:p>
    <w:p w14:paraId="0F792C31" w14:textId="77777777" w:rsidR="00213E48" w:rsidRPr="00A1666F" w:rsidRDefault="00213E48" w:rsidP="00A1666F">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sz w:val="18"/>
          <w:szCs w:val="18"/>
          <w:lang w:val="en-US" w:eastAsia="en-US"/>
        </w:rPr>
      </w:pPr>
      <w:r w:rsidRPr="00A1666F">
        <w:rPr>
          <w:rFonts w:ascii="Verdana" w:hAnsi="Verdana" w:cs="ArialMT"/>
          <w:sz w:val="18"/>
          <w:szCs w:val="18"/>
          <w:lang w:val="en-US" w:eastAsia="en-US"/>
        </w:rPr>
        <w:t xml:space="preserve">C </w:t>
      </w:r>
      <w:r>
        <w:rPr>
          <w:rFonts w:ascii="Verdana" w:hAnsi="Verdana" w:cs="ArialMT"/>
          <w:sz w:val="18"/>
          <w:szCs w:val="18"/>
          <w:lang w:val="en-US" w:eastAsia="en-US"/>
        </w:rPr>
        <w:t xml:space="preserve">                       </w:t>
      </w:r>
      <w:r w:rsidRPr="00A1666F">
        <w:rPr>
          <w:rFonts w:ascii="Verdana" w:hAnsi="Verdana" w:cs="ArialMT"/>
          <w:sz w:val="18"/>
          <w:szCs w:val="18"/>
          <w:lang w:val="en-US" w:eastAsia="en-US"/>
        </w:rPr>
        <w:t>Low The true effect may be substantially different from the</w:t>
      </w:r>
      <w:r>
        <w:rPr>
          <w:rFonts w:ascii="Verdana" w:hAnsi="Verdana" w:cs="ArialMT"/>
          <w:sz w:val="18"/>
          <w:szCs w:val="18"/>
          <w:lang w:val="en-US" w:eastAsia="en-US"/>
        </w:rPr>
        <w:t xml:space="preserve"> estimate of                                </w:t>
      </w:r>
      <w:r w:rsidRPr="00A1666F">
        <w:rPr>
          <w:rFonts w:ascii="Verdana" w:hAnsi="Verdana" w:cs="ArialMT"/>
          <w:sz w:val="18"/>
          <w:szCs w:val="18"/>
          <w:lang w:val="en-US" w:eastAsia="en-US"/>
        </w:rPr>
        <w:t>the effect.</w:t>
      </w:r>
    </w:p>
    <w:p w14:paraId="70B1C982" w14:textId="77777777" w:rsidR="00213E48" w:rsidRPr="006340D4" w:rsidRDefault="00213E48" w:rsidP="00A1666F">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sz w:val="18"/>
          <w:szCs w:val="18"/>
          <w:lang w:val="en-US" w:eastAsia="en-US"/>
        </w:rPr>
      </w:pPr>
      <w:r w:rsidRPr="00A1666F">
        <w:rPr>
          <w:rFonts w:ascii="Verdana" w:hAnsi="Verdana" w:cs="ArialMT"/>
          <w:sz w:val="18"/>
          <w:szCs w:val="18"/>
          <w:lang w:val="en-US" w:eastAsia="en-US"/>
        </w:rPr>
        <w:t xml:space="preserve">D </w:t>
      </w:r>
      <w:r>
        <w:rPr>
          <w:rFonts w:ascii="Verdana" w:hAnsi="Verdana" w:cs="ArialMT"/>
          <w:sz w:val="18"/>
          <w:szCs w:val="18"/>
          <w:lang w:val="en-US" w:eastAsia="en-US"/>
        </w:rPr>
        <w:t xml:space="preserve">                           </w:t>
      </w:r>
      <w:r w:rsidRPr="00A1666F">
        <w:rPr>
          <w:rFonts w:ascii="Verdana" w:hAnsi="Verdana" w:cs="ArialMT"/>
          <w:sz w:val="18"/>
          <w:szCs w:val="18"/>
          <w:lang w:val="en-US" w:eastAsia="en-US"/>
        </w:rPr>
        <w:t>Very low The estimate of effect is very uncertain, and often will be</w:t>
      </w:r>
      <w:r>
        <w:rPr>
          <w:rFonts w:ascii="Verdana" w:hAnsi="Verdana" w:cs="ArialMT"/>
          <w:sz w:val="18"/>
          <w:szCs w:val="18"/>
          <w:lang w:val="en-US" w:eastAsia="en-US"/>
        </w:rPr>
        <w:t xml:space="preserve"> </w:t>
      </w:r>
      <w:r w:rsidRPr="00A1666F">
        <w:rPr>
          <w:rFonts w:ascii="Verdana" w:hAnsi="Verdana" w:cs="ArialMT"/>
          <w:sz w:val="18"/>
          <w:szCs w:val="18"/>
          <w:lang w:val="en-US" w:eastAsia="en-US"/>
        </w:rPr>
        <w:t xml:space="preserve">far </w:t>
      </w:r>
      <w:r>
        <w:rPr>
          <w:rFonts w:ascii="Verdana" w:hAnsi="Verdana" w:cs="ArialMT"/>
          <w:sz w:val="18"/>
          <w:szCs w:val="18"/>
          <w:lang w:val="en-US" w:eastAsia="en-US"/>
        </w:rPr>
        <w:t xml:space="preserve"> </w:t>
      </w:r>
      <w:r w:rsidRPr="00A1666F">
        <w:rPr>
          <w:rFonts w:ascii="Verdana" w:hAnsi="Verdana" w:cs="ArialMT"/>
          <w:sz w:val="18"/>
          <w:szCs w:val="18"/>
          <w:lang w:val="en-US" w:eastAsia="en-US"/>
        </w:rPr>
        <w:t>from the truth.</w:t>
      </w:r>
    </w:p>
    <w:p w14:paraId="350576EE" w14:textId="77777777" w:rsidR="00213E48" w:rsidRPr="006340D4"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b/>
          <w:sz w:val="18"/>
          <w:szCs w:val="18"/>
          <w:lang w:val="en-US" w:eastAsia="en-US"/>
        </w:rPr>
      </w:pPr>
      <w:r w:rsidRPr="006340D4">
        <w:rPr>
          <w:rFonts w:ascii="Verdana" w:hAnsi="Verdana" w:cs="ArialMT"/>
          <w:b/>
          <w:sz w:val="18"/>
          <w:szCs w:val="18"/>
          <w:lang w:val="en-US" w:eastAsia="en-US"/>
        </w:rPr>
        <w:t>Malaysia Guidelines (Management of chronic kidney disease) (p.9)</w:t>
      </w:r>
    </w:p>
    <w:p w14:paraId="7B6A5E0A" w14:textId="77777777" w:rsidR="00213E48" w:rsidRPr="006340D4"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sz w:val="18"/>
          <w:szCs w:val="18"/>
          <w:lang w:val="en-US" w:eastAsia="en-US"/>
        </w:rPr>
      </w:pPr>
      <w:r w:rsidRPr="006340D4">
        <w:rPr>
          <w:rFonts w:ascii="Verdana" w:hAnsi="Verdana" w:cs="ArialMT"/>
          <w:sz w:val="18"/>
          <w:szCs w:val="18"/>
          <w:lang w:val="en-US" w:eastAsia="en-US"/>
        </w:rPr>
        <w:lastRenderedPageBreak/>
        <w:t>2.5 RENAL TRACT ULTRASOUND</w:t>
      </w:r>
    </w:p>
    <w:p w14:paraId="6A4DD831" w14:textId="77777777" w:rsidR="00213E48" w:rsidRPr="006340D4"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sz w:val="18"/>
          <w:szCs w:val="18"/>
          <w:lang w:val="en-US" w:eastAsia="en-US"/>
        </w:rPr>
      </w:pPr>
      <w:r w:rsidRPr="006340D4">
        <w:rPr>
          <w:rFonts w:ascii="Verdana" w:hAnsi="Verdana" w:cs="ArialMT"/>
          <w:sz w:val="18"/>
          <w:szCs w:val="18"/>
          <w:lang w:val="en-US" w:eastAsia="en-US"/>
        </w:rPr>
        <w:t>Ultrasound is a useful first line test for imaging the renal tract in patients with CKD. It identifies obstructive uropathy, renal size and symmetry, renal scarring and polycystic disease</w:t>
      </w:r>
    </w:p>
    <w:p w14:paraId="57C44E7F" w14:textId="77777777" w:rsidR="00213E48" w:rsidRPr="006340D4"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sz w:val="18"/>
          <w:szCs w:val="18"/>
          <w:lang w:val="en-US" w:eastAsia="en-US"/>
        </w:rPr>
      </w:pPr>
      <w:r w:rsidRPr="006340D4">
        <w:rPr>
          <w:rFonts w:ascii="Verdana" w:hAnsi="Verdana" w:cs="ArialMT"/>
          <w:sz w:val="18"/>
          <w:szCs w:val="18"/>
          <w:lang w:val="en-US" w:eastAsia="en-US"/>
        </w:rPr>
        <w:t>Indications for renal ultrasound in patients with CKD:</w:t>
      </w:r>
    </w:p>
    <w:p w14:paraId="17BB962B" w14:textId="77777777" w:rsidR="00213E48" w:rsidRPr="006340D4"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sz w:val="18"/>
          <w:szCs w:val="18"/>
          <w:lang w:val="en-US" w:eastAsia="en-US"/>
        </w:rPr>
      </w:pPr>
      <w:r w:rsidRPr="006340D4">
        <w:rPr>
          <w:rFonts w:ascii="Verdana" w:hAnsi="Verdana" w:cs="ArialMT"/>
          <w:sz w:val="18"/>
          <w:szCs w:val="18"/>
          <w:lang w:val="en-US" w:eastAsia="en-US"/>
        </w:rPr>
        <w:t>• a rapid deterioration of renal function (eGFR &gt;5 ml/min/1.73m2 within</w:t>
      </w:r>
    </w:p>
    <w:p w14:paraId="5700F94E" w14:textId="77777777" w:rsidR="00213E48" w:rsidRPr="006340D4"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sz w:val="18"/>
          <w:szCs w:val="18"/>
          <w:lang w:val="en-US" w:eastAsia="en-US"/>
        </w:rPr>
      </w:pPr>
      <w:r w:rsidRPr="006340D4">
        <w:rPr>
          <w:rFonts w:ascii="Verdana" w:hAnsi="Verdana" w:cs="ArialMT"/>
          <w:sz w:val="18"/>
          <w:szCs w:val="18"/>
          <w:lang w:val="en-US" w:eastAsia="en-US"/>
        </w:rPr>
        <w:t>one year or 10 ml/min/1.73m2 within five years)</w:t>
      </w:r>
    </w:p>
    <w:p w14:paraId="28E7959D" w14:textId="77777777" w:rsidR="00213E48" w:rsidRPr="006340D4"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sz w:val="18"/>
          <w:szCs w:val="18"/>
          <w:lang w:val="en-US" w:eastAsia="en-US"/>
        </w:rPr>
      </w:pPr>
      <w:r w:rsidRPr="006340D4">
        <w:rPr>
          <w:rFonts w:ascii="Verdana" w:hAnsi="Verdana" w:cs="ArialMT"/>
          <w:sz w:val="18"/>
          <w:szCs w:val="18"/>
          <w:lang w:val="en-US" w:eastAsia="en-US"/>
        </w:rPr>
        <w:t>• visible or persistent non-visible haematuria</w:t>
      </w:r>
    </w:p>
    <w:p w14:paraId="5478C0FF" w14:textId="77777777" w:rsidR="00213E48" w:rsidRPr="006340D4"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sz w:val="18"/>
          <w:szCs w:val="18"/>
          <w:lang w:val="en-US" w:eastAsia="en-US"/>
        </w:rPr>
      </w:pPr>
      <w:r w:rsidRPr="006340D4">
        <w:rPr>
          <w:rFonts w:ascii="Verdana" w:hAnsi="Verdana" w:cs="ArialMT"/>
          <w:sz w:val="18"/>
          <w:szCs w:val="18"/>
          <w:lang w:val="en-US" w:eastAsia="en-US"/>
        </w:rPr>
        <w:t>• symptoms or history of urinary tract obstruction</w:t>
      </w:r>
    </w:p>
    <w:p w14:paraId="6001749A" w14:textId="77777777" w:rsidR="00213E48" w:rsidRPr="006340D4"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sz w:val="18"/>
          <w:szCs w:val="18"/>
          <w:lang w:val="en-US" w:eastAsia="en-US"/>
        </w:rPr>
      </w:pPr>
      <w:r w:rsidRPr="006340D4">
        <w:rPr>
          <w:rFonts w:ascii="Verdana" w:hAnsi="Verdana" w:cs="ArialMT"/>
          <w:sz w:val="18"/>
          <w:szCs w:val="18"/>
          <w:lang w:val="en-US" w:eastAsia="en-US"/>
        </w:rPr>
        <w:t>• a family history of polycystic kidney disease and age over 20 years</w:t>
      </w:r>
    </w:p>
    <w:p w14:paraId="7FA88A6D" w14:textId="77777777" w:rsidR="00213E48" w:rsidRPr="006340D4"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sz w:val="18"/>
          <w:szCs w:val="18"/>
          <w:lang w:val="en-US" w:eastAsia="en-US"/>
        </w:rPr>
      </w:pPr>
      <w:r w:rsidRPr="006340D4">
        <w:rPr>
          <w:rFonts w:ascii="Verdana" w:hAnsi="Verdana" w:cs="ArialMT"/>
          <w:sz w:val="18"/>
          <w:szCs w:val="18"/>
          <w:lang w:val="en-US" w:eastAsia="en-US"/>
        </w:rPr>
        <w:t>• stage 4 or 5 CKD</w:t>
      </w:r>
    </w:p>
    <w:p w14:paraId="056858E3" w14:textId="77777777" w:rsidR="00213E48" w:rsidRPr="006340D4"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sz w:val="18"/>
          <w:szCs w:val="18"/>
          <w:lang w:val="en-US" w:eastAsia="en-US"/>
        </w:rPr>
      </w:pPr>
      <w:r w:rsidRPr="006340D4">
        <w:rPr>
          <w:rFonts w:ascii="Verdana" w:hAnsi="Verdana" w:cs="ArialMT"/>
          <w:sz w:val="18"/>
          <w:szCs w:val="18"/>
          <w:lang w:val="en-US" w:eastAsia="en-US"/>
        </w:rPr>
        <w:t>• when a renal biopsy is required</w:t>
      </w:r>
    </w:p>
    <w:p w14:paraId="1025FA2B" w14:textId="77777777" w:rsidR="00213E48"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sz w:val="18"/>
          <w:szCs w:val="18"/>
          <w:lang w:val="en-US" w:eastAsia="en-US"/>
        </w:rPr>
      </w:pPr>
    </w:p>
    <w:p w14:paraId="12CCB04C" w14:textId="77777777" w:rsidR="00213E48" w:rsidRPr="00B828A8"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b/>
          <w:i/>
          <w:sz w:val="18"/>
          <w:szCs w:val="18"/>
          <w:u w:val="single"/>
          <w:lang w:val="en-US" w:eastAsia="en-US"/>
        </w:rPr>
      </w:pPr>
      <w:r w:rsidRPr="00B828A8">
        <w:rPr>
          <w:rFonts w:ascii="Verdana" w:hAnsi="Verdana" w:cs="ArialMT"/>
          <w:b/>
          <w:i/>
          <w:sz w:val="18"/>
          <w:szCs w:val="18"/>
          <w:u w:val="single"/>
          <w:lang w:val="en-US" w:eastAsia="en-US"/>
        </w:rPr>
        <w:t>Levels of evidence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7797"/>
      </w:tblGrid>
      <w:tr w:rsidR="00213E48" w14:paraId="08EEDE6D" w14:textId="77777777" w:rsidTr="0008744A">
        <w:tc>
          <w:tcPr>
            <w:tcW w:w="1242" w:type="dxa"/>
          </w:tcPr>
          <w:p w14:paraId="28F86516" w14:textId="77777777" w:rsidR="00213E48" w:rsidRPr="0008744A" w:rsidRDefault="00213E48" w:rsidP="0008744A">
            <w:pPr>
              <w:spacing w:after="120"/>
              <w:ind w:right="240"/>
              <w:jc w:val="both"/>
              <w:rPr>
                <w:rFonts w:ascii="Verdana" w:hAnsi="Verdana" w:cs="ArialMT"/>
                <w:b/>
                <w:sz w:val="18"/>
                <w:szCs w:val="18"/>
                <w:lang w:val="en-US" w:eastAsia="en-US"/>
              </w:rPr>
            </w:pPr>
            <w:r w:rsidRPr="0008744A">
              <w:rPr>
                <w:rFonts w:ascii="Verdana" w:hAnsi="Verdana" w:cs="ArialMT"/>
                <w:b/>
                <w:sz w:val="18"/>
                <w:szCs w:val="18"/>
                <w:lang w:val="en-US" w:eastAsia="en-US"/>
              </w:rPr>
              <w:t>Level</w:t>
            </w:r>
          </w:p>
        </w:tc>
        <w:tc>
          <w:tcPr>
            <w:tcW w:w="7797" w:type="dxa"/>
          </w:tcPr>
          <w:p w14:paraId="104FF829" w14:textId="77777777" w:rsidR="00213E48" w:rsidRPr="0008744A" w:rsidRDefault="00213E48" w:rsidP="0008744A">
            <w:pPr>
              <w:spacing w:after="120"/>
              <w:ind w:right="240"/>
              <w:jc w:val="both"/>
              <w:rPr>
                <w:rFonts w:ascii="Verdana" w:hAnsi="Verdana" w:cs="ArialMT"/>
                <w:sz w:val="18"/>
                <w:szCs w:val="18"/>
                <w:lang w:val="en-US" w:eastAsia="en-US"/>
              </w:rPr>
            </w:pPr>
            <w:r w:rsidRPr="0008744A">
              <w:rPr>
                <w:rFonts w:ascii="Arial-BoldMT" w:hAnsi="Arial-BoldMT" w:cs="Arial-BoldMT"/>
                <w:b/>
                <w:bCs/>
                <w:sz w:val="17"/>
                <w:szCs w:val="17"/>
              </w:rPr>
              <w:t>Study design</w:t>
            </w:r>
          </w:p>
        </w:tc>
      </w:tr>
      <w:tr w:rsidR="00213E48" w14:paraId="23214C6B" w14:textId="77777777" w:rsidTr="0008744A">
        <w:tc>
          <w:tcPr>
            <w:tcW w:w="1242" w:type="dxa"/>
          </w:tcPr>
          <w:p w14:paraId="6D85D56A" w14:textId="77777777" w:rsidR="00213E48" w:rsidRPr="0008744A" w:rsidRDefault="00213E48" w:rsidP="0008744A">
            <w:pPr>
              <w:spacing w:after="120"/>
              <w:ind w:right="240"/>
              <w:jc w:val="both"/>
              <w:rPr>
                <w:rFonts w:ascii="Verdana" w:hAnsi="Verdana" w:cs="ArialMT"/>
                <w:sz w:val="18"/>
                <w:szCs w:val="18"/>
                <w:lang w:val="en-US" w:eastAsia="en-US"/>
              </w:rPr>
            </w:pPr>
            <w:r w:rsidRPr="0008744A">
              <w:rPr>
                <w:rFonts w:ascii="Verdana" w:hAnsi="Verdana" w:cs="ArialMT"/>
                <w:sz w:val="18"/>
                <w:szCs w:val="18"/>
                <w:lang w:val="en-US" w:eastAsia="en-US"/>
              </w:rPr>
              <w:t>I</w:t>
            </w:r>
          </w:p>
        </w:tc>
        <w:tc>
          <w:tcPr>
            <w:tcW w:w="7797" w:type="dxa"/>
          </w:tcPr>
          <w:p w14:paraId="724D255F" w14:textId="77777777" w:rsidR="00213E48" w:rsidRPr="0008744A" w:rsidRDefault="00213E48" w:rsidP="0008744A">
            <w:pPr>
              <w:spacing w:after="120"/>
              <w:ind w:right="240"/>
              <w:jc w:val="both"/>
              <w:rPr>
                <w:rFonts w:ascii="Verdana" w:hAnsi="Verdana" w:cs="ArialMT"/>
                <w:sz w:val="18"/>
                <w:szCs w:val="18"/>
                <w:lang w:val="en-US" w:eastAsia="en-US"/>
              </w:rPr>
            </w:pPr>
            <w:r w:rsidRPr="0008744A">
              <w:rPr>
                <w:rFonts w:ascii="ArialMT" w:hAnsi="ArialMT" w:cs="ArialMT"/>
                <w:sz w:val="18"/>
                <w:szCs w:val="18"/>
              </w:rPr>
              <w:t>Evidence from at least one properly randomised controlled trial</w:t>
            </w:r>
          </w:p>
        </w:tc>
      </w:tr>
      <w:tr w:rsidR="00213E48" w14:paraId="715BE970" w14:textId="77777777" w:rsidTr="0008744A">
        <w:tc>
          <w:tcPr>
            <w:tcW w:w="1242" w:type="dxa"/>
          </w:tcPr>
          <w:p w14:paraId="044CEC19" w14:textId="77777777" w:rsidR="00213E48" w:rsidRPr="0008744A" w:rsidRDefault="00213E48" w:rsidP="0008744A">
            <w:pPr>
              <w:spacing w:after="120"/>
              <w:ind w:right="240"/>
              <w:jc w:val="both"/>
              <w:rPr>
                <w:rFonts w:ascii="Verdana" w:hAnsi="Verdana" w:cs="ArialMT"/>
                <w:sz w:val="18"/>
                <w:szCs w:val="18"/>
                <w:lang w:val="en-US" w:eastAsia="en-US"/>
              </w:rPr>
            </w:pPr>
            <w:r w:rsidRPr="0008744A">
              <w:rPr>
                <w:rFonts w:ascii="Verdana" w:hAnsi="Verdana" w:cs="ArialMT"/>
                <w:sz w:val="18"/>
                <w:szCs w:val="18"/>
                <w:lang w:val="en-US" w:eastAsia="en-US"/>
              </w:rPr>
              <w:t>II-1</w:t>
            </w:r>
          </w:p>
        </w:tc>
        <w:tc>
          <w:tcPr>
            <w:tcW w:w="7797" w:type="dxa"/>
          </w:tcPr>
          <w:p w14:paraId="6FCDB28F" w14:textId="77777777" w:rsidR="00213E48" w:rsidRPr="0008744A" w:rsidRDefault="00213E48" w:rsidP="0008744A">
            <w:pPr>
              <w:autoSpaceDE w:val="0"/>
              <w:autoSpaceDN w:val="0"/>
              <w:adjustRightInd w:val="0"/>
              <w:rPr>
                <w:rFonts w:ascii="ArialMT" w:hAnsi="ArialMT" w:cs="ArialMT"/>
                <w:sz w:val="18"/>
                <w:szCs w:val="18"/>
              </w:rPr>
            </w:pPr>
            <w:r w:rsidRPr="0008744A">
              <w:rPr>
                <w:rFonts w:ascii="ArialMT" w:hAnsi="ArialMT" w:cs="ArialMT"/>
                <w:sz w:val="18"/>
                <w:szCs w:val="18"/>
              </w:rPr>
              <w:t>Evidence obtained from well-designed controlled trials without</w:t>
            </w:r>
          </w:p>
          <w:p w14:paraId="1CF3A7C2" w14:textId="77777777" w:rsidR="00213E48" w:rsidRPr="0008744A" w:rsidRDefault="00213E48" w:rsidP="0008744A">
            <w:pPr>
              <w:spacing w:after="120"/>
              <w:ind w:right="240"/>
              <w:jc w:val="both"/>
              <w:rPr>
                <w:rFonts w:ascii="Verdana" w:hAnsi="Verdana" w:cs="ArialMT"/>
                <w:sz w:val="18"/>
                <w:szCs w:val="18"/>
                <w:lang w:val="en-US" w:eastAsia="en-US"/>
              </w:rPr>
            </w:pPr>
            <w:r w:rsidRPr="0008744A">
              <w:rPr>
                <w:rFonts w:ascii="ArialMT" w:hAnsi="ArialMT" w:cs="ArialMT"/>
                <w:sz w:val="18"/>
                <w:szCs w:val="18"/>
              </w:rPr>
              <w:t>randomisation</w:t>
            </w:r>
          </w:p>
        </w:tc>
      </w:tr>
      <w:tr w:rsidR="00213E48" w14:paraId="56D3FECD" w14:textId="77777777" w:rsidTr="0008744A">
        <w:tc>
          <w:tcPr>
            <w:tcW w:w="1242" w:type="dxa"/>
          </w:tcPr>
          <w:p w14:paraId="79FEFC8F" w14:textId="77777777" w:rsidR="00213E48" w:rsidRPr="0008744A" w:rsidRDefault="00213E48" w:rsidP="0008744A">
            <w:pPr>
              <w:spacing w:after="120"/>
              <w:ind w:right="240"/>
              <w:jc w:val="both"/>
              <w:rPr>
                <w:rFonts w:ascii="Verdana" w:hAnsi="Verdana" w:cs="ArialMT"/>
                <w:sz w:val="18"/>
                <w:szCs w:val="18"/>
                <w:lang w:val="en-US" w:eastAsia="en-US"/>
              </w:rPr>
            </w:pPr>
            <w:r w:rsidRPr="0008744A">
              <w:rPr>
                <w:rFonts w:ascii="Verdana" w:hAnsi="Verdana" w:cs="ArialMT"/>
                <w:sz w:val="18"/>
                <w:szCs w:val="18"/>
                <w:lang w:val="en-US" w:eastAsia="en-US"/>
              </w:rPr>
              <w:t>II-2</w:t>
            </w:r>
          </w:p>
        </w:tc>
        <w:tc>
          <w:tcPr>
            <w:tcW w:w="7797" w:type="dxa"/>
          </w:tcPr>
          <w:p w14:paraId="23415FD3" w14:textId="77777777" w:rsidR="00213E48" w:rsidRPr="0008744A" w:rsidRDefault="00213E48" w:rsidP="0008744A">
            <w:pPr>
              <w:autoSpaceDE w:val="0"/>
              <w:autoSpaceDN w:val="0"/>
              <w:adjustRightInd w:val="0"/>
              <w:rPr>
                <w:rFonts w:ascii="ArialMT" w:hAnsi="ArialMT" w:cs="ArialMT"/>
                <w:sz w:val="18"/>
                <w:szCs w:val="18"/>
              </w:rPr>
            </w:pPr>
            <w:r w:rsidRPr="0008744A">
              <w:rPr>
                <w:rFonts w:ascii="ArialMT" w:hAnsi="ArialMT" w:cs="ArialMT"/>
                <w:sz w:val="18"/>
                <w:szCs w:val="18"/>
              </w:rPr>
              <w:t>Evidence obtained from well-designed cohort or case-control</w:t>
            </w:r>
          </w:p>
          <w:p w14:paraId="3328B598" w14:textId="77777777" w:rsidR="00213E48" w:rsidRPr="0008744A" w:rsidRDefault="00213E48" w:rsidP="0008744A">
            <w:pPr>
              <w:autoSpaceDE w:val="0"/>
              <w:autoSpaceDN w:val="0"/>
              <w:adjustRightInd w:val="0"/>
              <w:rPr>
                <w:rFonts w:ascii="ArialMT" w:hAnsi="ArialMT" w:cs="ArialMT"/>
                <w:sz w:val="18"/>
                <w:szCs w:val="18"/>
              </w:rPr>
            </w:pPr>
            <w:r w:rsidRPr="0008744A">
              <w:rPr>
                <w:rFonts w:ascii="ArialMT" w:hAnsi="ArialMT" w:cs="ArialMT"/>
                <w:sz w:val="18"/>
                <w:szCs w:val="18"/>
              </w:rPr>
              <w:t>analytic studies, preferably from more than one centre or</w:t>
            </w:r>
          </w:p>
          <w:p w14:paraId="39F916ED" w14:textId="77777777" w:rsidR="00213E48" w:rsidRPr="0008744A" w:rsidRDefault="00213E48" w:rsidP="0008744A">
            <w:pPr>
              <w:spacing w:after="120"/>
              <w:ind w:right="240"/>
              <w:jc w:val="both"/>
              <w:rPr>
                <w:rFonts w:ascii="Verdana" w:hAnsi="Verdana" w:cs="ArialMT"/>
                <w:sz w:val="18"/>
                <w:szCs w:val="18"/>
                <w:lang w:val="en-US" w:eastAsia="en-US"/>
              </w:rPr>
            </w:pPr>
            <w:r w:rsidRPr="0008744A">
              <w:rPr>
                <w:rFonts w:ascii="ArialMT" w:hAnsi="ArialMT" w:cs="ArialMT"/>
                <w:sz w:val="18"/>
                <w:szCs w:val="18"/>
              </w:rPr>
              <w:t>group</w:t>
            </w:r>
          </w:p>
        </w:tc>
      </w:tr>
      <w:tr w:rsidR="00213E48" w14:paraId="5D0A176B" w14:textId="77777777" w:rsidTr="0008744A">
        <w:tc>
          <w:tcPr>
            <w:tcW w:w="1242" w:type="dxa"/>
          </w:tcPr>
          <w:p w14:paraId="50B0FC33" w14:textId="77777777" w:rsidR="00213E48" w:rsidRPr="0008744A" w:rsidRDefault="00213E48" w:rsidP="0008744A">
            <w:pPr>
              <w:spacing w:after="120"/>
              <w:ind w:right="240"/>
              <w:jc w:val="both"/>
              <w:rPr>
                <w:rFonts w:ascii="Verdana" w:hAnsi="Verdana" w:cs="ArialMT"/>
                <w:sz w:val="18"/>
                <w:szCs w:val="18"/>
                <w:lang w:val="en-US" w:eastAsia="en-US"/>
              </w:rPr>
            </w:pPr>
            <w:r w:rsidRPr="0008744A">
              <w:rPr>
                <w:rFonts w:ascii="Verdana" w:hAnsi="Verdana" w:cs="ArialMT"/>
                <w:sz w:val="18"/>
                <w:szCs w:val="18"/>
                <w:lang w:val="en-US" w:eastAsia="en-US"/>
              </w:rPr>
              <w:t>II-3</w:t>
            </w:r>
          </w:p>
        </w:tc>
        <w:tc>
          <w:tcPr>
            <w:tcW w:w="7797" w:type="dxa"/>
          </w:tcPr>
          <w:p w14:paraId="77F66447" w14:textId="77777777" w:rsidR="00213E48" w:rsidRPr="0008744A" w:rsidRDefault="00213E48" w:rsidP="0008744A">
            <w:pPr>
              <w:autoSpaceDE w:val="0"/>
              <w:autoSpaceDN w:val="0"/>
              <w:adjustRightInd w:val="0"/>
              <w:rPr>
                <w:rFonts w:ascii="ArialMT" w:hAnsi="ArialMT" w:cs="ArialMT"/>
                <w:sz w:val="18"/>
                <w:szCs w:val="18"/>
              </w:rPr>
            </w:pPr>
            <w:r w:rsidRPr="0008744A">
              <w:rPr>
                <w:rFonts w:ascii="ArialMT" w:hAnsi="ArialMT" w:cs="ArialMT"/>
                <w:sz w:val="18"/>
                <w:szCs w:val="18"/>
              </w:rPr>
              <w:t>Evidence from multiple time series with or without intervention.</w:t>
            </w:r>
          </w:p>
          <w:p w14:paraId="045FC0FF" w14:textId="77777777" w:rsidR="00213E48" w:rsidRPr="0008744A" w:rsidRDefault="00213E48" w:rsidP="0008744A">
            <w:pPr>
              <w:autoSpaceDE w:val="0"/>
              <w:autoSpaceDN w:val="0"/>
              <w:adjustRightInd w:val="0"/>
              <w:rPr>
                <w:rFonts w:ascii="ArialMT" w:hAnsi="ArialMT" w:cs="ArialMT"/>
                <w:sz w:val="18"/>
                <w:szCs w:val="18"/>
              </w:rPr>
            </w:pPr>
            <w:r w:rsidRPr="0008744A">
              <w:rPr>
                <w:rFonts w:ascii="ArialMT" w:hAnsi="ArialMT" w:cs="ArialMT"/>
                <w:sz w:val="18"/>
                <w:szCs w:val="18"/>
              </w:rPr>
              <w:t>Dramatic results in uncontrolled experiments (such as the</w:t>
            </w:r>
          </w:p>
          <w:p w14:paraId="654285E3" w14:textId="77777777" w:rsidR="00213E48" w:rsidRPr="0008744A" w:rsidRDefault="00213E48" w:rsidP="0008744A">
            <w:pPr>
              <w:autoSpaceDE w:val="0"/>
              <w:autoSpaceDN w:val="0"/>
              <w:adjustRightInd w:val="0"/>
              <w:rPr>
                <w:rFonts w:ascii="ArialMT" w:hAnsi="ArialMT" w:cs="ArialMT"/>
                <w:sz w:val="18"/>
                <w:szCs w:val="18"/>
              </w:rPr>
            </w:pPr>
            <w:r w:rsidRPr="0008744A">
              <w:rPr>
                <w:rFonts w:ascii="ArialMT" w:hAnsi="ArialMT" w:cs="ArialMT"/>
                <w:sz w:val="18"/>
                <w:szCs w:val="18"/>
              </w:rPr>
              <w:t>results of the introduction of penicillin treatment in the 1940s)</w:t>
            </w:r>
          </w:p>
          <w:p w14:paraId="09E24B61" w14:textId="77777777" w:rsidR="00213E48" w:rsidRPr="0008744A" w:rsidRDefault="00213E48" w:rsidP="0008744A">
            <w:pPr>
              <w:spacing w:after="120"/>
              <w:ind w:right="240"/>
              <w:jc w:val="both"/>
              <w:rPr>
                <w:rFonts w:ascii="Verdana" w:hAnsi="Verdana" w:cs="ArialMT"/>
                <w:sz w:val="18"/>
                <w:szCs w:val="18"/>
                <w:lang w:val="en-US" w:eastAsia="en-US"/>
              </w:rPr>
            </w:pPr>
            <w:r w:rsidRPr="0008744A">
              <w:rPr>
                <w:rFonts w:ascii="ArialMT" w:hAnsi="ArialMT" w:cs="ArialMT"/>
                <w:sz w:val="18"/>
                <w:szCs w:val="18"/>
              </w:rPr>
              <w:t>could also be regarded as this type of evidence</w:t>
            </w:r>
          </w:p>
        </w:tc>
      </w:tr>
      <w:tr w:rsidR="00213E48" w14:paraId="50A858FA" w14:textId="77777777" w:rsidTr="0008744A">
        <w:tc>
          <w:tcPr>
            <w:tcW w:w="1242" w:type="dxa"/>
          </w:tcPr>
          <w:p w14:paraId="29AA4D09" w14:textId="77777777" w:rsidR="00213E48" w:rsidRPr="0008744A" w:rsidRDefault="00213E48" w:rsidP="0008744A">
            <w:pPr>
              <w:spacing w:after="120"/>
              <w:ind w:right="240"/>
              <w:jc w:val="both"/>
              <w:rPr>
                <w:rFonts w:ascii="Verdana" w:hAnsi="Verdana" w:cs="ArialMT"/>
                <w:sz w:val="18"/>
                <w:szCs w:val="18"/>
                <w:lang w:val="en-US" w:eastAsia="en-US"/>
              </w:rPr>
            </w:pPr>
            <w:r w:rsidRPr="0008744A">
              <w:rPr>
                <w:rFonts w:ascii="Verdana" w:hAnsi="Verdana" w:cs="ArialMT"/>
                <w:sz w:val="18"/>
                <w:szCs w:val="18"/>
                <w:lang w:val="en-US" w:eastAsia="en-US"/>
              </w:rPr>
              <w:t>III</w:t>
            </w:r>
          </w:p>
        </w:tc>
        <w:tc>
          <w:tcPr>
            <w:tcW w:w="7797" w:type="dxa"/>
          </w:tcPr>
          <w:p w14:paraId="2DB7104D" w14:textId="77777777" w:rsidR="00213E48" w:rsidRPr="0008744A" w:rsidRDefault="00213E48" w:rsidP="0008744A">
            <w:pPr>
              <w:autoSpaceDE w:val="0"/>
              <w:autoSpaceDN w:val="0"/>
              <w:adjustRightInd w:val="0"/>
              <w:rPr>
                <w:rFonts w:ascii="ArialMT" w:hAnsi="ArialMT" w:cs="ArialMT"/>
                <w:sz w:val="18"/>
                <w:szCs w:val="18"/>
              </w:rPr>
            </w:pPr>
            <w:r w:rsidRPr="0008744A">
              <w:rPr>
                <w:rFonts w:ascii="ArialMT" w:hAnsi="ArialMT" w:cs="ArialMT"/>
                <w:sz w:val="18"/>
                <w:szCs w:val="18"/>
              </w:rPr>
              <w:t>Opinions of respected authorities based on clinical experience;</w:t>
            </w:r>
          </w:p>
          <w:p w14:paraId="49529298" w14:textId="77777777" w:rsidR="00213E48" w:rsidRPr="0008744A" w:rsidRDefault="00213E48" w:rsidP="0008744A">
            <w:pPr>
              <w:autoSpaceDE w:val="0"/>
              <w:autoSpaceDN w:val="0"/>
              <w:adjustRightInd w:val="0"/>
              <w:rPr>
                <w:rFonts w:ascii="ArialMT" w:hAnsi="ArialMT" w:cs="ArialMT"/>
                <w:sz w:val="18"/>
                <w:szCs w:val="18"/>
              </w:rPr>
            </w:pPr>
            <w:r w:rsidRPr="0008744A">
              <w:rPr>
                <w:rFonts w:ascii="ArialMT" w:hAnsi="ArialMT" w:cs="ArialMT"/>
                <w:sz w:val="18"/>
                <w:szCs w:val="18"/>
              </w:rPr>
              <w:t>descriptive studies and case reports; or reports of expert</w:t>
            </w:r>
          </w:p>
          <w:p w14:paraId="3C15A5DC" w14:textId="77777777" w:rsidR="00213E48" w:rsidRPr="0008744A" w:rsidRDefault="00213E48" w:rsidP="0008744A">
            <w:pPr>
              <w:spacing w:after="120"/>
              <w:ind w:right="240"/>
              <w:jc w:val="both"/>
              <w:rPr>
                <w:rFonts w:ascii="Verdana" w:hAnsi="Verdana" w:cs="ArialMT"/>
                <w:sz w:val="18"/>
                <w:szCs w:val="18"/>
                <w:lang w:val="en-US" w:eastAsia="en-US"/>
              </w:rPr>
            </w:pPr>
            <w:r w:rsidRPr="0008744A">
              <w:rPr>
                <w:rFonts w:ascii="ArialMT" w:hAnsi="ArialMT" w:cs="ArialMT"/>
                <w:sz w:val="18"/>
                <w:szCs w:val="18"/>
              </w:rPr>
              <w:t>committees</w:t>
            </w:r>
          </w:p>
        </w:tc>
      </w:tr>
    </w:tbl>
    <w:p w14:paraId="2F40A043" w14:textId="77777777" w:rsidR="00213E48"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Arial-BoldMT" w:hAnsi="Arial-BoldMT" w:cs="Arial-BoldMT"/>
          <w:b/>
          <w:bCs/>
          <w:sz w:val="18"/>
          <w:szCs w:val="18"/>
        </w:rPr>
      </w:pPr>
      <w:r>
        <w:rPr>
          <w:rFonts w:ascii="Arial-BoldMT" w:hAnsi="Arial-BoldMT" w:cs="Arial-BoldMT"/>
          <w:b/>
          <w:bCs/>
          <w:sz w:val="18"/>
          <w:szCs w:val="18"/>
        </w:rPr>
        <w:t>GRADES OF RECOMMENDATION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7797"/>
      </w:tblGrid>
      <w:tr w:rsidR="00213E48" w14:paraId="4DD2EDEB" w14:textId="77777777" w:rsidTr="0008744A">
        <w:tc>
          <w:tcPr>
            <w:tcW w:w="1242" w:type="dxa"/>
          </w:tcPr>
          <w:p w14:paraId="37A0872D" w14:textId="77777777" w:rsidR="00213E48" w:rsidRPr="0008744A" w:rsidRDefault="00213E48" w:rsidP="0008744A">
            <w:pPr>
              <w:spacing w:after="120"/>
              <w:ind w:right="240"/>
              <w:jc w:val="both"/>
              <w:rPr>
                <w:rFonts w:ascii="Arial-BoldMT" w:hAnsi="Arial-BoldMT" w:cs="Arial-BoldMT"/>
                <w:bCs/>
                <w:sz w:val="18"/>
                <w:szCs w:val="18"/>
              </w:rPr>
            </w:pPr>
            <w:r w:rsidRPr="0008744A">
              <w:rPr>
                <w:rFonts w:ascii="Arial-BoldMT" w:hAnsi="Arial-BoldMT" w:cs="Arial-BoldMT"/>
                <w:bCs/>
                <w:sz w:val="18"/>
                <w:szCs w:val="18"/>
              </w:rPr>
              <w:t>A</w:t>
            </w:r>
          </w:p>
        </w:tc>
        <w:tc>
          <w:tcPr>
            <w:tcW w:w="7797" w:type="dxa"/>
          </w:tcPr>
          <w:p w14:paraId="3666EA6D" w14:textId="77777777" w:rsidR="00213E48" w:rsidRPr="0008744A" w:rsidRDefault="00213E48" w:rsidP="0008744A">
            <w:pPr>
              <w:autoSpaceDE w:val="0"/>
              <w:autoSpaceDN w:val="0"/>
              <w:adjustRightInd w:val="0"/>
              <w:rPr>
                <w:rFonts w:ascii="ArialMT" w:hAnsi="ArialMT" w:cs="ArialMT"/>
                <w:sz w:val="18"/>
                <w:szCs w:val="18"/>
              </w:rPr>
            </w:pPr>
            <w:r w:rsidRPr="0008744A">
              <w:rPr>
                <w:rFonts w:ascii="ArialMT" w:hAnsi="ArialMT" w:cs="ArialMT"/>
                <w:sz w:val="18"/>
                <w:szCs w:val="18"/>
              </w:rPr>
              <w:t>At least one meta analysis, systematic review, or RCT, or</w:t>
            </w:r>
          </w:p>
          <w:p w14:paraId="1816F622" w14:textId="77777777" w:rsidR="00213E48" w:rsidRPr="0008744A" w:rsidRDefault="00213E48" w:rsidP="0008744A">
            <w:pPr>
              <w:autoSpaceDE w:val="0"/>
              <w:autoSpaceDN w:val="0"/>
              <w:adjustRightInd w:val="0"/>
              <w:rPr>
                <w:rFonts w:ascii="ArialMT" w:hAnsi="ArialMT" w:cs="ArialMT"/>
                <w:sz w:val="18"/>
                <w:szCs w:val="18"/>
              </w:rPr>
            </w:pPr>
            <w:r w:rsidRPr="0008744A">
              <w:rPr>
                <w:rFonts w:ascii="ArialMT" w:hAnsi="ArialMT" w:cs="ArialMT"/>
                <w:sz w:val="18"/>
                <w:szCs w:val="18"/>
              </w:rPr>
              <w:t>evidence rated as good and directly applicable to the target</w:t>
            </w:r>
          </w:p>
          <w:p w14:paraId="5610310C" w14:textId="77777777" w:rsidR="00213E48" w:rsidRPr="0008744A" w:rsidRDefault="00213E48" w:rsidP="0008744A">
            <w:pPr>
              <w:spacing w:after="120"/>
              <w:ind w:right="240"/>
              <w:jc w:val="both"/>
              <w:rPr>
                <w:rFonts w:ascii="Arial-BoldMT" w:hAnsi="Arial-BoldMT" w:cs="Arial-BoldMT"/>
                <w:b/>
                <w:bCs/>
                <w:sz w:val="18"/>
                <w:szCs w:val="18"/>
              </w:rPr>
            </w:pPr>
            <w:r w:rsidRPr="0008744A">
              <w:rPr>
                <w:rFonts w:ascii="ArialMT" w:hAnsi="ArialMT" w:cs="ArialMT"/>
                <w:sz w:val="18"/>
                <w:szCs w:val="18"/>
              </w:rPr>
              <w:t>population</w:t>
            </w:r>
          </w:p>
        </w:tc>
      </w:tr>
      <w:tr w:rsidR="00213E48" w14:paraId="72030DCD" w14:textId="77777777" w:rsidTr="0008744A">
        <w:tc>
          <w:tcPr>
            <w:tcW w:w="1242" w:type="dxa"/>
          </w:tcPr>
          <w:p w14:paraId="498BD50F" w14:textId="77777777" w:rsidR="00213E48" w:rsidRPr="0008744A" w:rsidRDefault="00213E48" w:rsidP="0008744A">
            <w:pPr>
              <w:spacing w:after="120"/>
              <w:ind w:right="240"/>
              <w:jc w:val="both"/>
              <w:rPr>
                <w:rFonts w:ascii="Arial-BoldMT" w:hAnsi="Arial-BoldMT" w:cs="Arial-BoldMT"/>
                <w:bCs/>
                <w:sz w:val="18"/>
                <w:szCs w:val="18"/>
              </w:rPr>
            </w:pPr>
            <w:r w:rsidRPr="0008744A">
              <w:rPr>
                <w:rFonts w:ascii="Arial-BoldMT" w:hAnsi="Arial-BoldMT" w:cs="Arial-BoldMT"/>
                <w:bCs/>
                <w:sz w:val="18"/>
                <w:szCs w:val="18"/>
              </w:rPr>
              <w:t>B</w:t>
            </w:r>
          </w:p>
        </w:tc>
        <w:tc>
          <w:tcPr>
            <w:tcW w:w="7797" w:type="dxa"/>
          </w:tcPr>
          <w:p w14:paraId="3F7F20C1" w14:textId="77777777" w:rsidR="00213E48" w:rsidRPr="0008744A" w:rsidRDefault="00213E48" w:rsidP="0008744A">
            <w:pPr>
              <w:autoSpaceDE w:val="0"/>
              <w:autoSpaceDN w:val="0"/>
              <w:adjustRightInd w:val="0"/>
              <w:rPr>
                <w:rFonts w:ascii="ArialMT" w:hAnsi="ArialMT" w:cs="ArialMT"/>
                <w:sz w:val="18"/>
                <w:szCs w:val="18"/>
              </w:rPr>
            </w:pPr>
            <w:r w:rsidRPr="0008744A">
              <w:rPr>
                <w:rFonts w:ascii="ArialMT" w:hAnsi="ArialMT" w:cs="ArialMT"/>
                <w:sz w:val="18"/>
                <w:szCs w:val="18"/>
              </w:rPr>
              <w:t>Evidence from well conducted clinical trials, directly applicable</w:t>
            </w:r>
          </w:p>
          <w:p w14:paraId="09CE7607" w14:textId="77777777" w:rsidR="00213E48" w:rsidRPr="0008744A" w:rsidRDefault="00213E48" w:rsidP="0008744A">
            <w:pPr>
              <w:autoSpaceDE w:val="0"/>
              <w:autoSpaceDN w:val="0"/>
              <w:adjustRightInd w:val="0"/>
              <w:rPr>
                <w:rFonts w:ascii="ArialMT" w:hAnsi="ArialMT" w:cs="ArialMT"/>
                <w:sz w:val="18"/>
                <w:szCs w:val="18"/>
              </w:rPr>
            </w:pPr>
            <w:r w:rsidRPr="0008744A">
              <w:rPr>
                <w:rFonts w:ascii="ArialMT" w:hAnsi="ArialMT" w:cs="ArialMT"/>
                <w:sz w:val="18"/>
                <w:szCs w:val="18"/>
              </w:rPr>
              <w:t>to the target population, and demonstrating overall consistency</w:t>
            </w:r>
          </w:p>
          <w:p w14:paraId="24386D02" w14:textId="77777777" w:rsidR="00213E48" w:rsidRPr="0008744A" w:rsidRDefault="00213E48" w:rsidP="0008744A">
            <w:pPr>
              <w:autoSpaceDE w:val="0"/>
              <w:autoSpaceDN w:val="0"/>
              <w:adjustRightInd w:val="0"/>
              <w:rPr>
                <w:rFonts w:ascii="ArialMT" w:hAnsi="ArialMT" w:cs="ArialMT"/>
                <w:sz w:val="18"/>
                <w:szCs w:val="18"/>
              </w:rPr>
            </w:pPr>
            <w:r w:rsidRPr="0008744A">
              <w:rPr>
                <w:rFonts w:ascii="ArialMT" w:hAnsi="ArialMT" w:cs="ArialMT"/>
                <w:sz w:val="18"/>
                <w:szCs w:val="18"/>
              </w:rPr>
              <w:t>of results; or evidence extrapolated from meta analysis,</w:t>
            </w:r>
          </w:p>
          <w:p w14:paraId="4C29E2E4" w14:textId="77777777" w:rsidR="00213E48" w:rsidRPr="0008744A" w:rsidRDefault="00213E48" w:rsidP="0008744A">
            <w:pPr>
              <w:spacing w:after="120"/>
              <w:ind w:right="240"/>
              <w:jc w:val="both"/>
              <w:rPr>
                <w:rFonts w:ascii="Arial-BoldMT" w:hAnsi="Arial-BoldMT" w:cs="Arial-BoldMT"/>
                <w:b/>
                <w:bCs/>
                <w:sz w:val="18"/>
                <w:szCs w:val="18"/>
              </w:rPr>
            </w:pPr>
            <w:r w:rsidRPr="0008744A">
              <w:rPr>
                <w:rFonts w:ascii="ArialMT" w:hAnsi="ArialMT" w:cs="ArialMT"/>
                <w:sz w:val="18"/>
                <w:szCs w:val="18"/>
              </w:rPr>
              <w:t>systematic review, or RCT</w:t>
            </w:r>
          </w:p>
        </w:tc>
      </w:tr>
      <w:tr w:rsidR="00213E48" w14:paraId="477217A6" w14:textId="77777777" w:rsidTr="0008744A">
        <w:tc>
          <w:tcPr>
            <w:tcW w:w="1242" w:type="dxa"/>
          </w:tcPr>
          <w:p w14:paraId="0A2C7500" w14:textId="77777777" w:rsidR="00213E48" w:rsidRPr="0008744A" w:rsidRDefault="00213E48" w:rsidP="0008744A">
            <w:pPr>
              <w:spacing w:after="120"/>
              <w:ind w:right="240"/>
              <w:jc w:val="both"/>
              <w:rPr>
                <w:rFonts w:ascii="Arial-BoldMT" w:hAnsi="Arial-BoldMT" w:cs="Arial-BoldMT"/>
                <w:bCs/>
                <w:sz w:val="18"/>
                <w:szCs w:val="18"/>
              </w:rPr>
            </w:pPr>
            <w:r w:rsidRPr="0008744A">
              <w:rPr>
                <w:rFonts w:ascii="Arial-BoldMT" w:hAnsi="Arial-BoldMT" w:cs="Arial-BoldMT"/>
                <w:bCs/>
                <w:sz w:val="18"/>
                <w:szCs w:val="18"/>
              </w:rPr>
              <w:t>C</w:t>
            </w:r>
          </w:p>
        </w:tc>
        <w:tc>
          <w:tcPr>
            <w:tcW w:w="7797" w:type="dxa"/>
          </w:tcPr>
          <w:p w14:paraId="1E1D42C0" w14:textId="77777777" w:rsidR="00213E48" w:rsidRPr="0008744A" w:rsidRDefault="00213E48" w:rsidP="0008744A">
            <w:pPr>
              <w:autoSpaceDE w:val="0"/>
              <w:autoSpaceDN w:val="0"/>
              <w:adjustRightInd w:val="0"/>
              <w:rPr>
                <w:rFonts w:ascii="ArialMT" w:hAnsi="ArialMT" w:cs="ArialMT"/>
                <w:sz w:val="18"/>
                <w:szCs w:val="18"/>
              </w:rPr>
            </w:pPr>
            <w:r w:rsidRPr="0008744A">
              <w:rPr>
                <w:rFonts w:ascii="ArialMT" w:hAnsi="ArialMT" w:cs="ArialMT"/>
                <w:sz w:val="18"/>
                <w:szCs w:val="18"/>
              </w:rPr>
              <w:t>Evidence from expert committee reports, or opinions and /or</w:t>
            </w:r>
          </w:p>
          <w:p w14:paraId="6C64DD69" w14:textId="77777777" w:rsidR="00213E48" w:rsidRPr="0008744A" w:rsidRDefault="00213E48" w:rsidP="0008744A">
            <w:pPr>
              <w:autoSpaceDE w:val="0"/>
              <w:autoSpaceDN w:val="0"/>
              <w:adjustRightInd w:val="0"/>
              <w:rPr>
                <w:rFonts w:ascii="ArialMT" w:hAnsi="ArialMT" w:cs="ArialMT"/>
                <w:sz w:val="18"/>
                <w:szCs w:val="18"/>
              </w:rPr>
            </w:pPr>
            <w:r w:rsidRPr="0008744A">
              <w:rPr>
                <w:rFonts w:ascii="ArialMT" w:hAnsi="ArialMT" w:cs="ArialMT"/>
                <w:sz w:val="18"/>
                <w:szCs w:val="18"/>
              </w:rPr>
              <w:t>clinical experiences of respected authorities; indicates absence</w:t>
            </w:r>
          </w:p>
          <w:p w14:paraId="4537C45E" w14:textId="77777777" w:rsidR="00213E48" w:rsidRPr="0008744A" w:rsidRDefault="00213E48" w:rsidP="0008744A">
            <w:pPr>
              <w:spacing w:after="120"/>
              <w:ind w:right="240"/>
              <w:jc w:val="both"/>
              <w:rPr>
                <w:rFonts w:ascii="Arial-BoldMT" w:hAnsi="Arial-BoldMT" w:cs="Arial-BoldMT"/>
                <w:b/>
                <w:bCs/>
                <w:sz w:val="18"/>
                <w:szCs w:val="18"/>
              </w:rPr>
            </w:pPr>
            <w:r w:rsidRPr="0008744A">
              <w:rPr>
                <w:rFonts w:ascii="ArialMT" w:hAnsi="ArialMT" w:cs="ArialMT"/>
                <w:sz w:val="18"/>
                <w:szCs w:val="18"/>
              </w:rPr>
              <w:t>of directly applicable clinical studies of good quality</w:t>
            </w:r>
          </w:p>
        </w:tc>
      </w:tr>
    </w:tbl>
    <w:p w14:paraId="5E76B648" w14:textId="77777777" w:rsidR="00213E48"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Arial-BoldMT" w:hAnsi="Arial-BoldMT" w:cs="Arial-BoldMT"/>
          <w:b/>
          <w:bCs/>
          <w:sz w:val="18"/>
          <w:szCs w:val="18"/>
        </w:rPr>
      </w:pPr>
    </w:p>
    <w:p w14:paraId="1379D964" w14:textId="77777777" w:rsidR="00213E48" w:rsidRPr="006340D4"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b/>
          <w:sz w:val="18"/>
          <w:szCs w:val="18"/>
          <w:lang w:val="en-US" w:eastAsia="en-US"/>
        </w:rPr>
      </w:pPr>
      <w:r w:rsidRPr="006340D4">
        <w:rPr>
          <w:rFonts w:ascii="Verdana" w:hAnsi="Verdana" w:cs="ArialMT"/>
          <w:b/>
          <w:sz w:val="18"/>
          <w:szCs w:val="18"/>
          <w:lang w:val="en-US" w:eastAsia="en-US"/>
        </w:rPr>
        <w:t>NICE Guidelines (p.159-160)</w:t>
      </w:r>
    </w:p>
    <w:p w14:paraId="5DC551EF" w14:textId="77777777" w:rsidR="00213E48" w:rsidRPr="006340D4"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sz w:val="18"/>
          <w:szCs w:val="18"/>
          <w:lang w:val="en-US" w:eastAsia="en-US"/>
        </w:rPr>
      </w:pPr>
      <w:r w:rsidRPr="006340D4">
        <w:rPr>
          <w:rFonts w:ascii="Verdana" w:hAnsi="Verdana" w:cs="ArialMT"/>
          <w:b/>
          <w:bCs/>
          <w:sz w:val="18"/>
          <w:szCs w:val="18"/>
          <w:lang w:val="en-US" w:eastAsia="en-US"/>
        </w:rPr>
        <w:t xml:space="preserve">Indications for renal ultrasound in the evaluation of CKD </w:t>
      </w:r>
    </w:p>
    <w:p w14:paraId="747A3657" w14:textId="77777777" w:rsidR="00213E48" w:rsidRPr="006340D4"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sz w:val="18"/>
          <w:szCs w:val="18"/>
          <w:lang w:val="en-US" w:eastAsia="en-US"/>
        </w:rPr>
      </w:pPr>
      <w:r w:rsidRPr="006340D4">
        <w:rPr>
          <w:rFonts w:ascii="Verdana" w:hAnsi="Verdana" w:cs="ArialMT"/>
          <w:b/>
          <w:bCs/>
          <w:sz w:val="18"/>
          <w:szCs w:val="18"/>
          <w:lang w:val="en-US" w:eastAsia="en-US"/>
        </w:rPr>
        <w:t xml:space="preserve">6.4.1 Clinical introduction </w:t>
      </w:r>
    </w:p>
    <w:p w14:paraId="23D843B6" w14:textId="77777777" w:rsidR="00213E48" w:rsidRPr="006340D4"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sz w:val="18"/>
          <w:szCs w:val="18"/>
          <w:lang w:val="en-US" w:eastAsia="en-US"/>
        </w:rPr>
      </w:pPr>
      <w:r w:rsidRPr="006340D4">
        <w:rPr>
          <w:rFonts w:ascii="Verdana" w:hAnsi="Verdana" w:cs="ArialMT"/>
          <w:sz w:val="18"/>
          <w:szCs w:val="18"/>
          <w:lang w:val="en-US" w:eastAsia="en-US"/>
        </w:rPr>
        <w:t xml:space="preserve">Ultrasound is the first-line imaging study for evaluating people with previously undiagnosed kidney disease. It helps the clinician separate end stage kidney disease from potentially reversible acute kidney injury or earlier stages of CKD by: </w:t>
      </w:r>
    </w:p>
    <w:p w14:paraId="6EEE7EAF" w14:textId="77777777" w:rsidR="00213E48" w:rsidRPr="006340D4"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sz w:val="18"/>
          <w:szCs w:val="18"/>
          <w:lang w:val="en-US" w:eastAsia="en-US"/>
        </w:rPr>
      </w:pPr>
      <w:r w:rsidRPr="006340D4">
        <w:rPr>
          <w:rFonts w:ascii="Verdana" w:hAnsi="Verdana" w:cs="ArialMT"/>
          <w:sz w:val="18"/>
          <w:szCs w:val="18"/>
          <w:lang w:val="en-US" w:eastAsia="en-US"/>
        </w:rPr>
        <w:t xml:space="preserve">· _determining the presence, size and shape of kidneys and assessing cortical thickness prior to renal biopsy </w:t>
      </w:r>
    </w:p>
    <w:p w14:paraId="776EA993" w14:textId="77777777" w:rsidR="00213E48" w:rsidRPr="006340D4"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sz w:val="18"/>
          <w:szCs w:val="18"/>
          <w:lang w:val="en-US" w:eastAsia="en-US"/>
        </w:rPr>
      </w:pPr>
      <w:r w:rsidRPr="006340D4">
        <w:rPr>
          <w:rFonts w:ascii="Verdana" w:hAnsi="Verdana" w:cs="ArialMT"/>
          <w:sz w:val="18"/>
          <w:szCs w:val="18"/>
          <w:lang w:val="en-US" w:eastAsia="en-US"/>
        </w:rPr>
        <w:t xml:space="preserve">· _identifying obstructive uropathy </w:t>
      </w:r>
    </w:p>
    <w:p w14:paraId="0F507867" w14:textId="77777777" w:rsidR="00213E48" w:rsidRPr="006340D4"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sz w:val="18"/>
          <w:szCs w:val="18"/>
          <w:lang w:val="en-US" w:eastAsia="en-US"/>
        </w:rPr>
      </w:pPr>
      <w:r w:rsidRPr="006340D4">
        <w:rPr>
          <w:rFonts w:ascii="Verdana" w:hAnsi="Verdana" w:cs="ArialMT"/>
          <w:sz w:val="18"/>
          <w:szCs w:val="18"/>
          <w:lang w:val="en-US" w:eastAsia="en-US"/>
        </w:rPr>
        <w:lastRenderedPageBreak/>
        <w:t xml:space="preserve">· _assessing renal scarring </w:t>
      </w:r>
    </w:p>
    <w:p w14:paraId="07B22626" w14:textId="77777777" w:rsidR="00213E48" w:rsidRPr="006340D4"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sz w:val="18"/>
          <w:szCs w:val="18"/>
          <w:lang w:val="en-US" w:eastAsia="en-US"/>
        </w:rPr>
      </w:pPr>
      <w:r w:rsidRPr="006340D4">
        <w:rPr>
          <w:rFonts w:ascii="Verdana" w:hAnsi="Verdana" w:cs="ArialMT"/>
          <w:sz w:val="18"/>
          <w:szCs w:val="18"/>
          <w:lang w:val="en-US" w:eastAsia="en-US"/>
        </w:rPr>
        <w:t>· _identifying polycystic kidney disease</w:t>
      </w:r>
    </w:p>
    <w:p w14:paraId="010897E4" w14:textId="77777777" w:rsidR="00213E48" w:rsidRPr="006340D4"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sz w:val="18"/>
          <w:szCs w:val="18"/>
          <w:lang w:val="en-US" w:eastAsia="en-US"/>
        </w:rPr>
      </w:pPr>
    </w:p>
    <w:p w14:paraId="2AE37447" w14:textId="77777777" w:rsidR="00213E48" w:rsidRPr="006340D4"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sz w:val="18"/>
          <w:szCs w:val="18"/>
          <w:lang w:val="en-US" w:eastAsia="en-US"/>
        </w:rPr>
      </w:pPr>
      <w:r w:rsidRPr="006340D4">
        <w:rPr>
          <w:rFonts w:ascii="Verdana" w:hAnsi="Verdana" w:cs="ArialMT"/>
          <w:sz w:val="18"/>
          <w:szCs w:val="18"/>
          <w:lang w:val="en-US" w:eastAsia="en-US"/>
        </w:rPr>
        <w:t xml:space="preserve">Although ultrasound is the optimal imaging modality for CKD, it is not known what proportion of those with CKD will benefit from ultrasound imaging. </w:t>
      </w:r>
    </w:p>
    <w:p w14:paraId="08EA64EB" w14:textId="77777777" w:rsidR="00213E48" w:rsidRPr="006340D4"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sz w:val="18"/>
          <w:szCs w:val="18"/>
          <w:lang w:val="en-US" w:eastAsia="en-US"/>
        </w:rPr>
      </w:pPr>
      <w:r w:rsidRPr="006340D4">
        <w:rPr>
          <w:rFonts w:ascii="Verdana" w:hAnsi="Verdana" w:cs="ArialMT"/>
          <w:b/>
          <w:bCs/>
          <w:sz w:val="18"/>
          <w:szCs w:val="18"/>
          <w:lang w:val="en-US" w:eastAsia="en-US"/>
        </w:rPr>
        <w:t xml:space="preserve">What are the indications for renal ultrasound in adults with CKD? </w:t>
      </w:r>
    </w:p>
    <w:p w14:paraId="38468572" w14:textId="77777777" w:rsidR="00213E48" w:rsidRPr="006340D4"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sz w:val="18"/>
          <w:szCs w:val="18"/>
          <w:lang w:val="en-US" w:eastAsia="en-US"/>
        </w:rPr>
      </w:pPr>
      <w:r w:rsidRPr="006340D4">
        <w:rPr>
          <w:rFonts w:ascii="Verdana" w:hAnsi="Verdana" w:cs="ArialMT"/>
          <w:b/>
          <w:bCs/>
          <w:sz w:val="18"/>
          <w:szCs w:val="18"/>
          <w:lang w:val="en-US" w:eastAsia="en-US"/>
        </w:rPr>
        <w:t xml:space="preserve">6.4.2 Methodology </w:t>
      </w:r>
    </w:p>
    <w:p w14:paraId="7F4E180C" w14:textId="77777777" w:rsidR="00213E48" w:rsidRPr="006340D4"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sz w:val="18"/>
          <w:szCs w:val="18"/>
          <w:lang w:val="en-US" w:eastAsia="en-US"/>
        </w:rPr>
      </w:pPr>
      <w:r w:rsidRPr="006340D4">
        <w:rPr>
          <w:rFonts w:ascii="Verdana" w:hAnsi="Verdana" w:cs="ArialMT"/>
          <w:sz w:val="18"/>
          <w:szCs w:val="18"/>
          <w:lang w:val="en-US" w:eastAsia="en-US"/>
        </w:rPr>
        <w:t xml:space="preserve">Due to the difficulty in searching this question, the results of a broad literature search were reviewed for systematic reviews on criteria for referral for renal ultrasound in a CKD population. No studies were identified. An algorithm was provided by a GDG member, who had conducted an (unpublished) retrospective analysis of people with CKD undergoing ultrasound scans. The algorithm served as a starting point to guide discussions and enabled the GDG to formulate consensus recommendations. </w:t>
      </w:r>
    </w:p>
    <w:p w14:paraId="6298E7DB" w14:textId="77777777" w:rsidR="00213E48" w:rsidRPr="006340D4"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sz w:val="18"/>
          <w:szCs w:val="18"/>
          <w:lang w:val="en-US" w:eastAsia="en-US"/>
        </w:rPr>
      </w:pPr>
    </w:p>
    <w:p w14:paraId="59CEB9D2" w14:textId="77777777" w:rsidR="00213E48" w:rsidRPr="006340D4"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sz w:val="18"/>
          <w:szCs w:val="18"/>
          <w:lang w:val="en-US" w:eastAsia="en-US"/>
        </w:rPr>
      </w:pPr>
      <w:r w:rsidRPr="006340D4">
        <w:rPr>
          <w:rFonts w:ascii="Verdana" w:hAnsi="Verdana" w:cs="ArialMT"/>
          <w:b/>
          <w:bCs/>
          <w:sz w:val="18"/>
          <w:szCs w:val="18"/>
          <w:lang w:val="en-US" w:eastAsia="en-US"/>
        </w:rPr>
        <w:t xml:space="preserve">From evidence to recommendation </w:t>
      </w:r>
    </w:p>
    <w:p w14:paraId="31702F8E" w14:textId="77777777" w:rsidR="00213E48" w:rsidRPr="006340D4"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sz w:val="18"/>
          <w:szCs w:val="18"/>
          <w:lang w:val="en-US" w:eastAsia="en-US"/>
        </w:rPr>
      </w:pPr>
      <w:r w:rsidRPr="006340D4">
        <w:rPr>
          <w:rFonts w:ascii="Verdana" w:hAnsi="Verdana" w:cs="ArialMT"/>
          <w:sz w:val="18"/>
          <w:szCs w:val="18"/>
          <w:lang w:val="en-US" w:eastAsia="en-US"/>
        </w:rPr>
        <w:t xml:space="preserve">There was no evidence on which to base recommendations about when a renal ultrasound scan should be performed in people with CKD. </w:t>
      </w:r>
    </w:p>
    <w:p w14:paraId="430C851C" w14:textId="77777777" w:rsidR="00213E48" w:rsidRPr="006340D4"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sz w:val="18"/>
          <w:szCs w:val="18"/>
          <w:lang w:val="en-US" w:eastAsia="en-US"/>
        </w:rPr>
      </w:pPr>
      <w:r w:rsidRPr="006340D4">
        <w:rPr>
          <w:rFonts w:ascii="Verdana" w:hAnsi="Verdana" w:cs="ArialMT"/>
          <w:sz w:val="18"/>
          <w:szCs w:val="18"/>
          <w:lang w:val="en-US" w:eastAsia="en-US"/>
        </w:rPr>
        <w:t xml:space="preserve">The recommendations about the use of renal ultrasound scanning are based on knowledge of the information that an ultrasound scan provides. </w:t>
      </w:r>
    </w:p>
    <w:p w14:paraId="2388FB85" w14:textId="77777777" w:rsidR="00213E48" w:rsidRPr="006340D4"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sz w:val="18"/>
          <w:szCs w:val="18"/>
          <w:lang w:eastAsia="en-US"/>
        </w:rPr>
      </w:pPr>
      <w:r w:rsidRPr="006340D4">
        <w:rPr>
          <w:rFonts w:ascii="Verdana" w:hAnsi="Verdana" w:cs="ArialMT"/>
          <w:sz w:val="18"/>
          <w:szCs w:val="18"/>
          <w:lang w:eastAsia="en-US"/>
        </w:rPr>
        <w:t xml:space="preserve">Renal ultrasound can be used to confirm that people have two kidneys, to measure the size of the kidneys and to </w:t>
      </w:r>
    </w:p>
    <w:p w14:paraId="4CAC64EB" w14:textId="77777777" w:rsidR="00213E48" w:rsidRPr="006340D4"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sz w:val="18"/>
          <w:szCs w:val="18"/>
          <w:lang w:val="en-US" w:eastAsia="en-US"/>
        </w:rPr>
      </w:pPr>
      <w:r w:rsidRPr="006340D4">
        <w:rPr>
          <w:rFonts w:ascii="Verdana" w:hAnsi="Verdana" w:cs="ArialMT"/>
          <w:sz w:val="18"/>
          <w:szCs w:val="18"/>
          <w:lang w:val="en-US" w:eastAsia="en-US"/>
        </w:rPr>
        <w:t xml:space="preserve">show structural abnormalities in the kidney such as polycystic kidneys. Ultrasound scans can also be used to identify the presence of renal tract obstruction. </w:t>
      </w:r>
    </w:p>
    <w:p w14:paraId="3966C822" w14:textId="77777777" w:rsidR="00213E48" w:rsidRPr="006340D4"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sz w:val="18"/>
          <w:szCs w:val="18"/>
          <w:lang w:val="en-US" w:eastAsia="en-US"/>
        </w:rPr>
      </w:pPr>
      <w:r w:rsidRPr="006340D4">
        <w:rPr>
          <w:rFonts w:ascii="Verdana" w:hAnsi="Verdana" w:cs="ArialMT"/>
          <w:sz w:val="18"/>
          <w:szCs w:val="18"/>
          <w:lang w:val="en-US" w:eastAsia="en-US"/>
        </w:rPr>
        <w:t xml:space="preserve">Ultrasound may identify renal size discrepancy but where diagnosis or exclusion of renovascular disease is indicated additional imaging such as CT angiography or magnetic resonance renal angiography will be required (newer generation MR scanners may afford imaging of vessels without exposure to gadolinium and the attendant risks of nephrogenic systemic fibrosis). </w:t>
      </w:r>
    </w:p>
    <w:p w14:paraId="04DCB1A0" w14:textId="77777777" w:rsidR="00213E48" w:rsidRPr="006340D4"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sz w:val="18"/>
          <w:szCs w:val="18"/>
          <w:lang w:val="en-US" w:eastAsia="en-US"/>
        </w:rPr>
      </w:pPr>
      <w:r w:rsidRPr="006340D4">
        <w:rPr>
          <w:rFonts w:ascii="Verdana" w:hAnsi="Verdana" w:cs="ArialMT"/>
          <w:sz w:val="18"/>
          <w:szCs w:val="18"/>
          <w:lang w:val="en-US" w:eastAsia="en-US"/>
        </w:rPr>
        <w:t xml:space="preserve">A renal ultrasound scan is always necessary before undertaking a renal biopsy. </w:t>
      </w:r>
    </w:p>
    <w:p w14:paraId="00C3CDC1" w14:textId="77777777" w:rsidR="00213E48" w:rsidRPr="006340D4"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sz w:val="18"/>
          <w:szCs w:val="18"/>
          <w:lang w:val="en-US" w:eastAsia="en-US"/>
        </w:rPr>
      </w:pPr>
      <w:r w:rsidRPr="006340D4">
        <w:rPr>
          <w:rFonts w:ascii="Verdana" w:hAnsi="Verdana" w:cs="ArialMT"/>
          <w:sz w:val="18"/>
          <w:szCs w:val="18"/>
          <w:lang w:val="en-US" w:eastAsia="en-US"/>
        </w:rPr>
        <w:t xml:space="preserve">Ultrasound scanning cannot exclude the diagnosis of autosomal dominant polycystic kidney disease in people under the age of 20 and is therefore of limited use in people under this age with a family history of this condition. </w:t>
      </w:r>
    </w:p>
    <w:p w14:paraId="07FBEEC2" w14:textId="77777777" w:rsidR="00213E48" w:rsidRPr="006340D4"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sz w:val="18"/>
          <w:szCs w:val="18"/>
          <w:lang w:val="en-US" w:eastAsia="en-US"/>
        </w:rPr>
      </w:pPr>
      <w:r w:rsidRPr="006340D4">
        <w:rPr>
          <w:rFonts w:ascii="Verdana" w:hAnsi="Verdana" w:cs="ArialMT"/>
          <w:sz w:val="18"/>
          <w:szCs w:val="18"/>
          <w:lang w:val="en-US" w:eastAsia="en-US"/>
        </w:rPr>
        <w:t xml:space="preserve">The GDG agreed that before undertaking a renal ultrasound scan in people at risk of kidney disease on the basis of a family history of inherited kidney disease, it was important that people were fully informed of the implications of an abnormal scan result. This should encompass counselling about the benefits of early identification of kidney disease but should also outline the social consequences of a diagnosis, including its effect on life insurance. Where indicated help to cope with the psychological consequences of a diagnosis should be offered. </w:t>
      </w:r>
    </w:p>
    <w:p w14:paraId="59B58AC3" w14:textId="77777777" w:rsidR="00213E48" w:rsidRPr="006340D4"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sz w:val="18"/>
          <w:szCs w:val="18"/>
          <w:lang w:val="en-US" w:eastAsia="en-US"/>
        </w:rPr>
      </w:pPr>
    </w:p>
    <w:p w14:paraId="73A994D6" w14:textId="77777777" w:rsidR="00213E48" w:rsidRPr="006340D4"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sz w:val="18"/>
          <w:szCs w:val="18"/>
          <w:lang w:val="en-US" w:eastAsia="en-US"/>
        </w:rPr>
      </w:pPr>
      <w:r w:rsidRPr="006340D4">
        <w:rPr>
          <w:rFonts w:ascii="Verdana" w:hAnsi="Verdana" w:cs="ArialMT"/>
          <w:b/>
          <w:bCs/>
          <w:sz w:val="18"/>
          <w:szCs w:val="18"/>
          <w:lang w:val="en-US" w:eastAsia="en-US"/>
        </w:rPr>
        <w:t xml:space="preserve">6.4.6 Recommendations </w:t>
      </w:r>
    </w:p>
    <w:p w14:paraId="302AA0E6" w14:textId="77777777" w:rsidR="00213E48" w:rsidRPr="006340D4"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sz w:val="18"/>
          <w:szCs w:val="18"/>
          <w:lang w:val="en-US" w:eastAsia="en-US"/>
        </w:rPr>
      </w:pPr>
      <w:r w:rsidRPr="006340D4">
        <w:rPr>
          <w:rFonts w:ascii="Verdana" w:hAnsi="Verdana" w:cs="ArialMT"/>
          <w:sz w:val="18"/>
          <w:szCs w:val="18"/>
          <w:lang w:val="en-US" w:eastAsia="en-US"/>
        </w:rPr>
        <w:t>· _</w:t>
      </w:r>
      <w:r w:rsidRPr="006340D4">
        <w:rPr>
          <w:rFonts w:ascii="Verdana" w:hAnsi="Verdana" w:cs="ArialMT"/>
          <w:b/>
          <w:bCs/>
          <w:sz w:val="18"/>
          <w:szCs w:val="18"/>
          <w:lang w:val="en-US" w:eastAsia="en-US"/>
        </w:rPr>
        <w:t xml:space="preserve">Offer a renal ultrasound scan to all people with CKD who: </w:t>
      </w:r>
    </w:p>
    <w:p w14:paraId="38D1AA69" w14:textId="77777777" w:rsidR="00213E48" w:rsidRPr="006340D4"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sz w:val="18"/>
          <w:szCs w:val="18"/>
          <w:lang w:val="en-US" w:eastAsia="en-US"/>
        </w:rPr>
      </w:pPr>
      <w:r w:rsidRPr="006340D4">
        <w:rPr>
          <w:rFonts w:ascii="Verdana" w:hAnsi="Verdana" w:cs="ArialMT"/>
          <w:sz w:val="18"/>
          <w:szCs w:val="18"/>
          <w:lang w:val="en-US" w:eastAsia="en-US"/>
        </w:rPr>
        <w:t xml:space="preserve">o </w:t>
      </w:r>
      <w:r w:rsidRPr="006340D4">
        <w:rPr>
          <w:rFonts w:ascii="Verdana" w:hAnsi="Verdana" w:cs="ArialMT"/>
          <w:b/>
          <w:bCs/>
          <w:sz w:val="18"/>
          <w:szCs w:val="18"/>
          <w:lang w:val="en-US" w:eastAsia="en-US"/>
        </w:rPr>
        <w:t xml:space="preserve">have accelerated progression of CKD </w:t>
      </w:r>
    </w:p>
    <w:p w14:paraId="0487194F" w14:textId="77777777" w:rsidR="00213E48" w:rsidRPr="006340D4"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sz w:val="18"/>
          <w:szCs w:val="18"/>
          <w:lang w:val="en-US" w:eastAsia="en-US"/>
        </w:rPr>
      </w:pPr>
      <w:r w:rsidRPr="006340D4">
        <w:rPr>
          <w:rFonts w:ascii="Verdana" w:hAnsi="Verdana" w:cs="ArialMT"/>
          <w:sz w:val="18"/>
          <w:szCs w:val="18"/>
          <w:lang w:val="en-US" w:eastAsia="en-US"/>
        </w:rPr>
        <w:t xml:space="preserve">o </w:t>
      </w:r>
      <w:r w:rsidRPr="006340D4">
        <w:rPr>
          <w:rFonts w:ascii="Verdana" w:hAnsi="Verdana" w:cs="ArialMT"/>
          <w:b/>
          <w:bCs/>
          <w:sz w:val="18"/>
          <w:szCs w:val="18"/>
          <w:lang w:val="en-US" w:eastAsia="en-US"/>
        </w:rPr>
        <w:t xml:space="preserve">have visible or persistent invisible haematuria </w:t>
      </w:r>
    </w:p>
    <w:p w14:paraId="30844CA1" w14:textId="77777777" w:rsidR="00213E48" w:rsidRPr="006340D4"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sz w:val="18"/>
          <w:szCs w:val="18"/>
          <w:lang w:val="en-US" w:eastAsia="en-US"/>
        </w:rPr>
      </w:pPr>
      <w:r w:rsidRPr="006340D4">
        <w:rPr>
          <w:rFonts w:ascii="Verdana" w:hAnsi="Verdana" w:cs="ArialMT"/>
          <w:sz w:val="18"/>
          <w:szCs w:val="18"/>
          <w:lang w:val="en-US" w:eastAsia="en-US"/>
        </w:rPr>
        <w:t xml:space="preserve">o </w:t>
      </w:r>
      <w:r w:rsidRPr="006340D4">
        <w:rPr>
          <w:rFonts w:ascii="Verdana" w:hAnsi="Verdana" w:cs="ArialMT"/>
          <w:b/>
          <w:bCs/>
          <w:sz w:val="18"/>
          <w:szCs w:val="18"/>
          <w:lang w:val="en-US" w:eastAsia="en-US"/>
        </w:rPr>
        <w:t xml:space="preserve">have symptoms of urinary tract obstruction </w:t>
      </w:r>
    </w:p>
    <w:p w14:paraId="7A334BFE" w14:textId="77777777" w:rsidR="00213E48" w:rsidRPr="006340D4"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sz w:val="18"/>
          <w:szCs w:val="18"/>
          <w:lang w:val="en-US" w:eastAsia="en-US"/>
        </w:rPr>
      </w:pPr>
      <w:r w:rsidRPr="006340D4">
        <w:rPr>
          <w:rFonts w:ascii="Verdana" w:hAnsi="Verdana" w:cs="ArialMT"/>
          <w:sz w:val="18"/>
          <w:szCs w:val="18"/>
          <w:lang w:val="en-US" w:eastAsia="en-US"/>
        </w:rPr>
        <w:t xml:space="preserve">o </w:t>
      </w:r>
      <w:r w:rsidRPr="006340D4">
        <w:rPr>
          <w:rFonts w:ascii="Verdana" w:hAnsi="Verdana" w:cs="ArialMT"/>
          <w:b/>
          <w:bCs/>
          <w:sz w:val="18"/>
          <w:szCs w:val="18"/>
          <w:lang w:val="en-US" w:eastAsia="en-US"/>
        </w:rPr>
        <w:t xml:space="preserve">have a family history of polycystic kidney disease and are aged over 20 years </w:t>
      </w:r>
    </w:p>
    <w:p w14:paraId="47254323" w14:textId="77777777" w:rsidR="00213E48" w:rsidRPr="006340D4"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sz w:val="18"/>
          <w:szCs w:val="18"/>
          <w:lang w:val="en-US" w:eastAsia="en-US"/>
        </w:rPr>
      </w:pPr>
      <w:r w:rsidRPr="006340D4">
        <w:rPr>
          <w:rFonts w:ascii="Verdana" w:hAnsi="Verdana" w:cs="ArialMT"/>
          <w:sz w:val="18"/>
          <w:szCs w:val="18"/>
          <w:lang w:val="en-US" w:eastAsia="en-US"/>
        </w:rPr>
        <w:t xml:space="preserve">o </w:t>
      </w:r>
      <w:r w:rsidRPr="006340D4">
        <w:rPr>
          <w:rFonts w:ascii="Verdana" w:hAnsi="Verdana" w:cs="ArialMT"/>
          <w:b/>
          <w:bCs/>
          <w:sz w:val="18"/>
          <w:szCs w:val="18"/>
          <w:lang w:val="en-US" w:eastAsia="en-US"/>
        </w:rPr>
        <w:t xml:space="preserve">have a GFR of less than 30 ml/min/1.73 m2 (GFR category G4 or G5) </w:t>
      </w:r>
    </w:p>
    <w:p w14:paraId="1D7D6DF7" w14:textId="77777777" w:rsidR="00213E48" w:rsidRPr="006340D4"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sz w:val="18"/>
          <w:szCs w:val="18"/>
          <w:lang w:val="en-US" w:eastAsia="en-US"/>
        </w:rPr>
      </w:pPr>
    </w:p>
    <w:p w14:paraId="0B70949C" w14:textId="77777777" w:rsidR="00213E48" w:rsidRPr="006340D4"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sz w:val="18"/>
          <w:szCs w:val="18"/>
          <w:lang w:val="en-US" w:eastAsia="en-US"/>
        </w:rPr>
      </w:pPr>
      <w:r w:rsidRPr="006340D4">
        <w:rPr>
          <w:rFonts w:ascii="Verdana" w:hAnsi="Verdana" w:cs="ArialMT"/>
          <w:sz w:val="18"/>
          <w:szCs w:val="18"/>
          <w:lang w:val="en-US" w:eastAsia="en-US"/>
        </w:rPr>
        <w:t xml:space="preserve">o </w:t>
      </w:r>
      <w:r w:rsidRPr="006340D4">
        <w:rPr>
          <w:rFonts w:ascii="Verdana" w:hAnsi="Verdana" w:cs="ArialMT"/>
          <w:b/>
          <w:bCs/>
          <w:sz w:val="18"/>
          <w:szCs w:val="18"/>
          <w:lang w:val="en-US" w:eastAsia="en-US"/>
        </w:rPr>
        <w:t xml:space="preserve">are considered by a nephrologist to require a renal biopsy. [2008, amended 2014] </w:t>
      </w:r>
    </w:p>
    <w:p w14:paraId="4B3396C0" w14:textId="77777777" w:rsidR="00213E48" w:rsidRPr="006340D4"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sz w:val="18"/>
          <w:szCs w:val="18"/>
          <w:lang w:val="en-US" w:eastAsia="en-US"/>
        </w:rPr>
      </w:pPr>
    </w:p>
    <w:p w14:paraId="1A3D36E9" w14:textId="77777777" w:rsidR="00213E48"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b/>
          <w:bCs/>
          <w:sz w:val="18"/>
          <w:szCs w:val="18"/>
          <w:lang w:val="en-US" w:eastAsia="en-US"/>
        </w:rPr>
      </w:pPr>
      <w:r w:rsidRPr="006340D4">
        <w:rPr>
          <w:rFonts w:ascii="Verdana" w:hAnsi="Verdana" w:cs="ArialMT"/>
          <w:sz w:val="18"/>
          <w:szCs w:val="18"/>
          <w:lang w:val="en-US" w:eastAsia="en-US"/>
        </w:rPr>
        <w:lastRenderedPageBreak/>
        <w:t>· _</w:t>
      </w:r>
      <w:r w:rsidRPr="006340D4">
        <w:rPr>
          <w:rFonts w:ascii="Verdana" w:hAnsi="Verdana" w:cs="ArialMT"/>
          <w:b/>
          <w:bCs/>
          <w:sz w:val="18"/>
          <w:szCs w:val="18"/>
          <w:lang w:val="en-US" w:eastAsia="en-US"/>
        </w:rPr>
        <w:t xml:space="preserve">Advise people with a family history of inherited kidney disease about the implications of an abnormal result before a renal ultrasound scan is arranged for them. [2008] </w:t>
      </w:r>
    </w:p>
    <w:p w14:paraId="6B8D40A8" w14:textId="77777777" w:rsidR="00213E48" w:rsidRPr="006340D4"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b/>
          <w:bCs/>
          <w:sz w:val="18"/>
          <w:szCs w:val="18"/>
          <w:lang w:val="en-US" w:eastAsia="en-US"/>
        </w:rPr>
      </w:pPr>
    </w:p>
    <w:p w14:paraId="479B6F84" w14:textId="77777777" w:rsidR="00213E48" w:rsidRPr="00B828A8" w:rsidRDefault="00213E48" w:rsidP="00A1666F">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b/>
          <w:bCs/>
          <w:i/>
          <w:sz w:val="18"/>
          <w:szCs w:val="18"/>
          <w:u w:val="single"/>
          <w:lang w:val="en-US" w:eastAsia="en-US"/>
        </w:rPr>
      </w:pPr>
      <w:r w:rsidRPr="00B828A8">
        <w:rPr>
          <w:rFonts w:ascii="Verdana" w:hAnsi="Verdana" w:cs="ArialMT"/>
          <w:b/>
          <w:bCs/>
          <w:i/>
          <w:sz w:val="18"/>
          <w:szCs w:val="18"/>
          <w:u w:val="single"/>
          <w:lang w:val="en-US" w:eastAsia="en-US"/>
        </w:rPr>
        <w:t>Overall Quality of Outcome Evidence in Grading of Recommendations Assessment, Development and Evaluation (GRADE)</w:t>
      </w:r>
    </w:p>
    <w:p w14:paraId="0B685C8D" w14:textId="77777777" w:rsidR="00213E48" w:rsidRPr="00A1666F" w:rsidRDefault="00213E48" w:rsidP="00A1666F">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bCs/>
          <w:i/>
          <w:sz w:val="18"/>
          <w:szCs w:val="18"/>
          <w:lang w:val="en-US" w:eastAsia="en-US"/>
        </w:rPr>
      </w:pPr>
      <w:r w:rsidRPr="00A1666F">
        <w:rPr>
          <w:rFonts w:ascii="Verdana" w:hAnsi="Verdana" w:cs="ArialMT"/>
          <w:bCs/>
          <w:i/>
          <w:sz w:val="18"/>
          <w:szCs w:val="18"/>
          <w:lang w:val="en-US" w:eastAsia="en-US"/>
        </w:rPr>
        <w:t>Level</w:t>
      </w:r>
      <w:r w:rsidRPr="00A1666F">
        <w:rPr>
          <w:rFonts w:ascii="Verdana" w:hAnsi="Verdana" w:cs="ArialMT"/>
          <w:bCs/>
          <w:i/>
          <w:sz w:val="18"/>
          <w:szCs w:val="18"/>
          <w:lang w:val="en-US" w:eastAsia="en-US"/>
        </w:rPr>
        <w:tab/>
      </w:r>
      <w:r>
        <w:rPr>
          <w:rFonts w:ascii="Verdana" w:hAnsi="Verdana" w:cs="ArialMT"/>
          <w:bCs/>
          <w:i/>
          <w:sz w:val="18"/>
          <w:szCs w:val="18"/>
          <w:lang w:val="en-US" w:eastAsia="en-US"/>
        </w:rPr>
        <w:t xml:space="preserve">                                     </w:t>
      </w:r>
      <w:r w:rsidRPr="00A1666F">
        <w:rPr>
          <w:rFonts w:ascii="Verdana" w:hAnsi="Verdana" w:cs="ArialMT"/>
          <w:bCs/>
          <w:i/>
          <w:sz w:val="18"/>
          <w:szCs w:val="18"/>
          <w:lang w:val="en-US" w:eastAsia="en-US"/>
        </w:rPr>
        <w:t>Description</w:t>
      </w:r>
    </w:p>
    <w:p w14:paraId="5EE46F3B" w14:textId="77777777" w:rsidR="00213E48" w:rsidRPr="00A1666F" w:rsidRDefault="00213E48" w:rsidP="00A1666F">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bCs/>
          <w:sz w:val="18"/>
          <w:szCs w:val="18"/>
          <w:lang w:val="en-US" w:eastAsia="en-US"/>
        </w:rPr>
      </w:pPr>
      <w:r w:rsidRPr="00A1666F">
        <w:rPr>
          <w:rFonts w:ascii="Verdana" w:hAnsi="Verdana" w:cs="ArialMT"/>
          <w:b/>
          <w:bCs/>
          <w:sz w:val="18"/>
          <w:szCs w:val="18"/>
          <w:lang w:val="en-US" w:eastAsia="en-US"/>
        </w:rPr>
        <w:t>High</w:t>
      </w:r>
      <w:r>
        <w:rPr>
          <w:rFonts w:ascii="Verdana" w:hAnsi="Verdana" w:cs="ArialMT"/>
          <w:bCs/>
          <w:sz w:val="18"/>
          <w:szCs w:val="18"/>
          <w:lang w:val="en-US" w:eastAsia="en-US"/>
        </w:rPr>
        <w:t xml:space="preserve">                </w:t>
      </w:r>
      <w:r w:rsidRPr="00A1666F">
        <w:rPr>
          <w:rFonts w:ascii="Verdana" w:hAnsi="Verdana" w:cs="ArialMT"/>
          <w:bCs/>
          <w:sz w:val="18"/>
          <w:szCs w:val="18"/>
          <w:lang w:val="en-US" w:eastAsia="en-US"/>
        </w:rPr>
        <w:t>Further research is very unlikely to change confidence in the estimate of effect.</w:t>
      </w:r>
    </w:p>
    <w:p w14:paraId="4031DD99" w14:textId="77777777" w:rsidR="00213E48" w:rsidRPr="00A1666F" w:rsidRDefault="00213E48" w:rsidP="00A1666F">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bCs/>
          <w:sz w:val="18"/>
          <w:szCs w:val="18"/>
          <w:lang w:val="en-US" w:eastAsia="en-US"/>
        </w:rPr>
      </w:pPr>
      <w:r w:rsidRPr="00A1666F">
        <w:rPr>
          <w:rFonts w:ascii="Verdana" w:hAnsi="Verdana" w:cs="ArialMT"/>
          <w:b/>
          <w:bCs/>
          <w:sz w:val="18"/>
          <w:szCs w:val="18"/>
          <w:lang w:val="en-US" w:eastAsia="en-US"/>
        </w:rPr>
        <w:t>Moderate</w:t>
      </w:r>
      <w:r>
        <w:rPr>
          <w:rFonts w:ascii="Verdana" w:hAnsi="Verdana" w:cs="ArialMT"/>
          <w:bCs/>
          <w:sz w:val="18"/>
          <w:szCs w:val="18"/>
          <w:lang w:val="en-US" w:eastAsia="en-US"/>
        </w:rPr>
        <w:t xml:space="preserve">    </w:t>
      </w:r>
      <w:r w:rsidRPr="00A1666F">
        <w:rPr>
          <w:rFonts w:ascii="Verdana" w:hAnsi="Verdana" w:cs="ArialMT"/>
          <w:bCs/>
          <w:sz w:val="18"/>
          <w:szCs w:val="18"/>
          <w:lang w:val="en-US" w:eastAsia="en-US"/>
        </w:rPr>
        <w:t xml:space="preserve">Further research is likely to have an important impact on confidence in the </w:t>
      </w:r>
      <w:r>
        <w:rPr>
          <w:rFonts w:ascii="Verdana" w:hAnsi="Verdana" w:cs="ArialMT"/>
          <w:bCs/>
          <w:sz w:val="18"/>
          <w:szCs w:val="18"/>
          <w:lang w:val="en-US" w:eastAsia="en-US"/>
        </w:rPr>
        <w:t xml:space="preserve">       </w:t>
      </w:r>
      <w:r w:rsidRPr="00A1666F">
        <w:rPr>
          <w:rFonts w:ascii="Verdana" w:hAnsi="Verdana" w:cs="ArialMT"/>
          <w:bCs/>
          <w:sz w:val="18"/>
          <w:szCs w:val="18"/>
          <w:lang w:val="en-US" w:eastAsia="en-US"/>
        </w:rPr>
        <w:t>estimate of effect and may change the estimate.</w:t>
      </w:r>
    </w:p>
    <w:p w14:paraId="27167206" w14:textId="77777777" w:rsidR="00213E48" w:rsidRPr="00A1666F" w:rsidRDefault="00213E48" w:rsidP="00A1666F">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bCs/>
          <w:sz w:val="18"/>
          <w:szCs w:val="18"/>
          <w:lang w:val="en-US" w:eastAsia="en-US"/>
        </w:rPr>
      </w:pPr>
      <w:r w:rsidRPr="00A1666F">
        <w:rPr>
          <w:rFonts w:ascii="Verdana" w:hAnsi="Verdana" w:cs="ArialMT"/>
          <w:b/>
          <w:bCs/>
          <w:sz w:val="18"/>
          <w:szCs w:val="18"/>
          <w:lang w:val="en-US" w:eastAsia="en-US"/>
        </w:rPr>
        <w:t>Low</w:t>
      </w:r>
      <w:r>
        <w:rPr>
          <w:rFonts w:ascii="Verdana" w:hAnsi="Verdana" w:cs="ArialMT"/>
          <w:bCs/>
          <w:sz w:val="18"/>
          <w:szCs w:val="18"/>
          <w:lang w:val="en-US" w:eastAsia="en-US"/>
        </w:rPr>
        <w:t xml:space="preserve">           </w:t>
      </w:r>
      <w:r w:rsidRPr="00A1666F">
        <w:rPr>
          <w:rFonts w:ascii="Verdana" w:hAnsi="Verdana" w:cs="ArialMT"/>
          <w:bCs/>
          <w:sz w:val="18"/>
          <w:szCs w:val="18"/>
          <w:lang w:val="en-US" w:eastAsia="en-US"/>
        </w:rPr>
        <w:t xml:space="preserve">Further research is very likely to have an important impact on confidence in the </w:t>
      </w:r>
      <w:r>
        <w:rPr>
          <w:rFonts w:ascii="Verdana" w:hAnsi="Verdana" w:cs="ArialMT"/>
          <w:bCs/>
          <w:sz w:val="18"/>
          <w:szCs w:val="18"/>
          <w:lang w:val="en-US" w:eastAsia="en-US"/>
        </w:rPr>
        <w:t xml:space="preserve">  </w:t>
      </w:r>
      <w:r w:rsidRPr="00A1666F">
        <w:rPr>
          <w:rFonts w:ascii="Verdana" w:hAnsi="Verdana" w:cs="ArialMT"/>
          <w:bCs/>
          <w:sz w:val="18"/>
          <w:szCs w:val="18"/>
          <w:lang w:val="en-US" w:eastAsia="en-US"/>
        </w:rPr>
        <w:t>estimate of effect and is likely to change the estimate.</w:t>
      </w:r>
    </w:p>
    <w:p w14:paraId="1064CFFC" w14:textId="77777777" w:rsidR="00213E48" w:rsidRDefault="00213E48" w:rsidP="00A1666F">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bCs/>
          <w:sz w:val="18"/>
          <w:szCs w:val="18"/>
          <w:lang w:val="en-US" w:eastAsia="en-US"/>
        </w:rPr>
      </w:pPr>
      <w:r w:rsidRPr="00A1666F">
        <w:rPr>
          <w:rFonts w:ascii="Verdana" w:hAnsi="Verdana" w:cs="ArialMT"/>
          <w:b/>
          <w:bCs/>
          <w:sz w:val="18"/>
          <w:szCs w:val="18"/>
          <w:lang w:val="en-US" w:eastAsia="en-US"/>
        </w:rPr>
        <w:t>Very Low</w:t>
      </w:r>
      <w:r>
        <w:rPr>
          <w:rFonts w:ascii="Verdana" w:hAnsi="Verdana" w:cs="ArialMT"/>
          <w:bCs/>
          <w:sz w:val="18"/>
          <w:szCs w:val="18"/>
          <w:lang w:val="en-US" w:eastAsia="en-US"/>
        </w:rPr>
        <w:t xml:space="preserve">         </w:t>
      </w:r>
      <w:r w:rsidRPr="00A1666F">
        <w:rPr>
          <w:rFonts w:ascii="Verdana" w:hAnsi="Verdana" w:cs="ArialMT"/>
          <w:bCs/>
          <w:sz w:val="18"/>
          <w:szCs w:val="18"/>
          <w:lang w:val="en-US" w:eastAsia="en-US"/>
        </w:rPr>
        <w:t>Any estimate of effect is very uncertain.</w:t>
      </w:r>
    </w:p>
    <w:p w14:paraId="55079928" w14:textId="77777777" w:rsidR="00213E48" w:rsidRPr="00A1666F" w:rsidRDefault="00213E48" w:rsidP="00A1666F">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bCs/>
          <w:sz w:val="18"/>
          <w:szCs w:val="18"/>
          <w:lang w:val="en-US" w:eastAsia="en-US"/>
        </w:rPr>
      </w:pPr>
    </w:p>
    <w:p w14:paraId="471F9986" w14:textId="77777777" w:rsidR="00213E48" w:rsidRPr="006340D4" w:rsidRDefault="00213E48" w:rsidP="00A1666F">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b/>
          <w:bCs/>
          <w:sz w:val="18"/>
          <w:szCs w:val="18"/>
          <w:lang w:val="en-US" w:eastAsia="en-US"/>
        </w:rPr>
      </w:pPr>
    </w:p>
    <w:p w14:paraId="40A17024" w14:textId="77777777" w:rsidR="00213E48" w:rsidRPr="006340D4"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b/>
          <w:bCs/>
          <w:sz w:val="18"/>
          <w:szCs w:val="18"/>
          <w:lang w:val="en-US" w:eastAsia="en-US"/>
        </w:rPr>
      </w:pPr>
      <w:r w:rsidRPr="006340D4">
        <w:rPr>
          <w:rFonts w:ascii="Verdana" w:hAnsi="Verdana" w:cs="ArialMT"/>
          <w:b/>
          <w:bCs/>
          <w:sz w:val="18"/>
          <w:szCs w:val="18"/>
          <w:lang w:val="en-US" w:eastAsia="en-US"/>
        </w:rPr>
        <w:t>KHA-CARI giudelines (p.343)</w:t>
      </w:r>
    </w:p>
    <w:p w14:paraId="07389B4F" w14:textId="77777777" w:rsidR="00213E48" w:rsidRPr="006340D4"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b/>
          <w:bCs/>
          <w:sz w:val="18"/>
          <w:szCs w:val="18"/>
          <w:lang w:val="en-US" w:eastAsia="en-US"/>
        </w:rPr>
      </w:pPr>
      <w:r w:rsidRPr="006340D4">
        <w:rPr>
          <w:rFonts w:ascii="Verdana" w:hAnsi="Verdana" w:cs="ArialMT"/>
          <w:b/>
          <w:bCs/>
          <w:sz w:val="18"/>
          <w:szCs w:val="18"/>
          <w:lang w:val="en-US" w:eastAsia="en-US"/>
        </w:rPr>
        <w:t>Ungraded suggestions for clinical care</w:t>
      </w:r>
    </w:p>
    <w:p w14:paraId="0A805DFA" w14:textId="77777777" w:rsidR="00213E48" w:rsidRPr="006340D4"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bCs/>
          <w:i/>
          <w:sz w:val="18"/>
          <w:szCs w:val="18"/>
          <w:lang w:val="en-US" w:eastAsia="en-US"/>
        </w:rPr>
      </w:pPr>
      <w:r w:rsidRPr="006340D4">
        <w:rPr>
          <w:rFonts w:ascii="Verdana" w:hAnsi="Verdana" w:cs="ArialMT"/>
          <w:bCs/>
          <w:i/>
          <w:sz w:val="18"/>
          <w:szCs w:val="18"/>
          <w:lang w:val="en-US" w:eastAsia="en-US"/>
        </w:rPr>
        <w:t>Diagnosis</w:t>
      </w:r>
    </w:p>
    <w:p w14:paraId="419F8526" w14:textId="77777777" w:rsidR="00213E48" w:rsidRPr="006340D4"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bCs/>
          <w:sz w:val="18"/>
          <w:szCs w:val="18"/>
          <w:lang w:val="en-US" w:eastAsia="en-US"/>
        </w:rPr>
      </w:pPr>
      <w:r w:rsidRPr="006340D4">
        <w:rPr>
          <w:rFonts w:ascii="Verdana" w:hAnsi="Verdana" w:cs="ArialMT"/>
          <w:bCs/>
          <w:sz w:val="18"/>
          <w:szCs w:val="18"/>
          <w:lang w:val="en-US" w:eastAsia="en-US"/>
        </w:rPr>
        <w:t>The following diagnostic evaluation tests for CKD are always indicated:</w:t>
      </w:r>
    </w:p>
    <w:p w14:paraId="725B2911" w14:textId="77777777" w:rsidR="00213E48" w:rsidRPr="006340D4"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bCs/>
          <w:sz w:val="18"/>
          <w:szCs w:val="18"/>
          <w:lang w:val="en-US" w:eastAsia="en-US"/>
        </w:rPr>
      </w:pPr>
      <w:r w:rsidRPr="006340D4">
        <w:rPr>
          <w:rFonts w:ascii="Verdana" w:hAnsi="Verdana" w:cs="ArialMT"/>
          <w:bCs/>
          <w:sz w:val="18"/>
          <w:szCs w:val="18"/>
          <w:lang w:val="en-US" w:eastAsia="en-US"/>
        </w:rPr>
        <w:t>Full blood count</w:t>
      </w:r>
    </w:p>
    <w:p w14:paraId="1601E818" w14:textId="77777777" w:rsidR="00213E48" w:rsidRPr="006340D4"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bCs/>
          <w:sz w:val="18"/>
          <w:szCs w:val="18"/>
          <w:lang w:val="en-US" w:eastAsia="en-US"/>
        </w:rPr>
      </w:pPr>
      <w:r w:rsidRPr="006340D4">
        <w:rPr>
          <w:rFonts w:ascii="Verdana" w:hAnsi="Verdana" w:cs="ArialMT"/>
          <w:bCs/>
          <w:sz w:val="18"/>
          <w:szCs w:val="18"/>
          <w:lang w:val="en-US" w:eastAsia="en-US"/>
        </w:rPr>
        <w:t>Repeat (within 1 week) serum urea/electrolytes/creatinine/eGFR/albumin</w:t>
      </w:r>
    </w:p>
    <w:p w14:paraId="471FEFE3" w14:textId="77777777" w:rsidR="00213E48" w:rsidRPr="006340D4"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bCs/>
          <w:sz w:val="18"/>
          <w:szCs w:val="18"/>
          <w:lang w:val="en-US" w:eastAsia="en-US"/>
        </w:rPr>
      </w:pPr>
      <w:r w:rsidRPr="006340D4">
        <w:rPr>
          <w:rFonts w:ascii="Verdana" w:hAnsi="Verdana" w:cs="ArialMT"/>
          <w:bCs/>
          <w:sz w:val="18"/>
          <w:szCs w:val="18"/>
          <w:lang w:val="en-US" w:eastAsia="en-US"/>
        </w:rPr>
        <w:t>Urine ACR (preferably on a first morning void, although a random urina a acceptable)</w:t>
      </w:r>
    </w:p>
    <w:p w14:paraId="7A94473A" w14:textId="77777777" w:rsidR="00213E48" w:rsidRPr="006340D4"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bCs/>
          <w:sz w:val="18"/>
          <w:szCs w:val="18"/>
          <w:lang w:val="en-US" w:eastAsia="en-US"/>
        </w:rPr>
      </w:pPr>
      <w:r w:rsidRPr="006340D4">
        <w:rPr>
          <w:rFonts w:ascii="Verdana" w:hAnsi="Verdana" w:cs="ArialMT"/>
          <w:bCs/>
          <w:sz w:val="18"/>
          <w:szCs w:val="18"/>
          <w:lang w:val="en-US" w:eastAsia="en-US"/>
        </w:rPr>
        <w:t>Fasting glucose and lipids</w:t>
      </w:r>
    </w:p>
    <w:p w14:paraId="1FB8787E" w14:textId="77777777" w:rsidR="00213E48" w:rsidRPr="006340D4"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bCs/>
          <w:sz w:val="18"/>
          <w:szCs w:val="18"/>
          <w:lang w:val="en-US" w:eastAsia="en-US"/>
        </w:rPr>
      </w:pPr>
      <w:r w:rsidRPr="006340D4">
        <w:rPr>
          <w:rFonts w:ascii="Verdana" w:hAnsi="Verdana" w:cs="ArialMT"/>
          <w:bCs/>
          <w:sz w:val="18"/>
          <w:szCs w:val="18"/>
          <w:lang w:val="en-US" w:eastAsia="en-US"/>
        </w:rPr>
        <w:t>Urine microscopy and culture</w:t>
      </w:r>
    </w:p>
    <w:p w14:paraId="0BD0FC3C" w14:textId="77777777" w:rsidR="00213E48"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bCs/>
          <w:sz w:val="18"/>
          <w:szCs w:val="18"/>
          <w:lang w:val="en-US" w:eastAsia="en-US"/>
        </w:rPr>
      </w:pPr>
      <w:r w:rsidRPr="006340D4">
        <w:rPr>
          <w:rFonts w:ascii="Verdana" w:hAnsi="Verdana" w:cs="ArialMT"/>
          <w:bCs/>
          <w:sz w:val="18"/>
          <w:szCs w:val="18"/>
          <w:lang w:val="en-US" w:eastAsia="en-US"/>
        </w:rPr>
        <w:t>Renal ultrasound scan</w:t>
      </w:r>
    </w:p>
    <w:p w14:paraId="599A04A8" w14:textId="77777777" w:rsidR="00213E48"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bCs/>
          <w:sz w:val="18"/>
          <w:szCs w:val="18"/>
          <w:lang w:val="en-US" w:eastAsia="en-US"/>
        </w:rPr>
      </w:pPr>
    </w:p>
    <w:p w14:paraId="12B60BA3" w14:textId="77777777" w:rsidR="00213E48" w:rsidRPr="00B828A8" w:rsidRDefault="00213E48" w:rsidP="005A51BC">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b/>
          <w:bCs/>
          <w:i/>
          <w:sz w:val="18"/>
          <w:szCs w:val="18"/>
          <w:u w:val="single"/>
          <w:lang w:val="en-US" w:eastAsia="en-US"/>
        </w:rPr>
      </w:pPr>
      <w:r w:rsidRPr="00B828A8">
        <w:rPr>
          <w:rFonts w:ascii="Verdana" w:hAnsi="Verdana" w:cs="ArialMT"/>
          <w:b/>
          <w:bCs/>
          <w:i/>
          <w:sz w:val="18"/>
          <w:szCs w:val="18"/>
          <w:u w:val="single"/>
          <w:lang w:val="en-US" w:eastAsia="en-US"/>
        </w:rPr>
        <w:t>Evidence grading (Appendix 6, p.47)</w:t>
      </w:r>
    </w:p>
    <w:p w14:paraId="55C9632D" w14:textId="77777777" w:rsidR="00213E48" w:rsidRPr="00E94038" w:rsidRDefault="00881875" w:rsidP="00E94038">
      <w:pPr>
        <w:pBdr>
          <w:top w:val="single" w:sz="4" w:space="1" w:color="auto"/>
          <w:left w:val="single" w:sz="4" w:space="4" w:color="auto"/>
          <w:bottom w:val="single" w:sz="4" w:space="1" w:color="auto"/>
          <w:right w:val="single" w:sz="4" w:space="4" w:color="auto"/>
        </w:pBdr>
        <w:shd w:val="clear" w:color="auto" w:fill="FFFFFF"/>
        <w:spacing w:after="120"/>
        <w:ind w:right="240"/>
        <w:jc w:val="both"/>
      </w:pPr>
      <w:r>
        <w:lastRenderedPageBreak/>
        <w:pict w14:anchorId="1AC4AB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25pt;height:642pt">
            <v:imagedata r:id="rId23" o:title=""/>
          </v:shape>
        </w:pict>
      </w:r>
    </w:p>
    <w:sectPr w:rsidR="00213E48" w:rsidRPr="00E94038" w:rsidSect="005A51BC">
      <w:headerReference w:type="default" r:id="rId24"/>
      <w:headerReference w:type="first" r:id="rId25"/>
      <w:pgSz w:w="11906" w:h="16838"/>
      <w:pgMar w:top="1417" w:right="1417" w:bottom="1417" w:left="1417" w:header="708" w:footer="708" w:gutter="0"/>
      <w:cols w:space="708"/>
      <w:titlePg/>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rt Roosimaa" w:date="2015-02-23T15:21:00Z" w:initials="MR">
    <w:p w14:paraId="3FD77B10" w14:textId="0EDE694B" w:rsidR="00881875" w:rsidRDefault="00881875" w:rsidP="00881875">
      <w:pPr>
        <w:jc w:val="both"/>
        <w:rPr>
          <w:rFonts w:ascii="Verdana" w:hAnsi="Verdana"/>
          <w:color w:val="000080"/>
          <w:sz w:val="18"/>
          <w:szCs w:val="18"/>
        </w:rPr>
      </w:pPr>
      <w:r>
        <w:rPr>
          <w:rStyle w:val="CommentReference"/>
        </w:rPr>
        <w:annotationRef/>
      </w:r>
      <w:r>
        <w:rPr>
          <w:rFonts w:ascii="Verdana" w:hAnsi="Verdana"/>
          <w:color w:val="000080"/>
          <w:sz w:val="18"/>
          <w:szCs w:val="18"/>
        </w:rPr>
        <w:t xml:space="preserve">Kui kliinilisele küsimusele vastata, et millised lisauuringud teha, siis nõustun: </w:t>
      </w:r>
    </w:p>
    <w:p w14:paraId="4ACF67F4" w14:textId="057A2204" w:rsidR="00881875" w:rsidRPr="00010B83" w:rsidRDefault="00881875" w:rsidP="00881875">
      <w:pPr>
        <w:jc w:val="both"/>
        <w:rPr>
          <w:rFonts w:ascii="Verdana" w:hAnsi="Verdana"/>
          <w:color w:val="000080"/>
          <w:sz w:val="18"/>
          <w:szCs w:val="18"/>
        </w:rPr>
      </w:pPr>
      <w:r w:rsidRPr="00010B83">
        <w:rPr>
          <w:rFonts w:ascii="Verdana" w:hAnsi="Verdana"/>
          <w:color w:val="000080"/>
          <w:sz w:val="18"/>
          <w:szCs w:val="18"/>
        </w:rPr>
        <w:t>-kreatiniini kordamine</w:t>
      </w:r>
      <w:r>
        <w:rPr>
          <w:rFonts w:ascii="Verdana" w:hAnsi="Verdana"/>
          <w:color w:val="000080"/>
          <w:sz w:val="18"/>
          <w:szCs w:val="18"/>
        </w:rPr>
        <w:t xml:space="preserve"> JAH </w:t>
      </w:r>
    </w:p>
    <w:p w14:paraId="11D3DC60" w14:textId="397796AC" w:rsidR="00881875" w:rsidRPr="00010B83" w:rsidRDefault="00881875" w:rsidP="00881875">
      <w:pPr>
        <w:jc w:val="both"/>
        <w:rPr>
          <w:rFonts w:ascii="Verdana" w:hAnsi="Verdana"/>
          <w:color w:val="000080"/>
          <w:sz w:val="18"/>
          <w:szCs w:val="18"/>
        </w:rPr>
      </w:pPr>
      <w:r w:rsidRPr="00010B83">
        <w:rPr>
          <w:rFonts w:ascii="Verdana" w:hAnsi="Verdana"/>
          <w:color w:val="000080"/>
          <w:sz w:val="18"/>
          <w:szCs w:val="18"/>
        </w:rPr>
        <w:t>-PSA</w:t>
      </w:r>
      <w:r>
        <w:rPr>
          <w:rFonts w:ascii="Verdana" w:hAnsi="Verdana"/>
          <w:color w:val="000080"/>
          <w:sz w:val="18"/>
          <w:szCs w:val="18"/>
        </w:rPr>
        <w:t xml:space="preserve"> EI </w:t>
      </w:r>
    </w:p>
    <w:p w14:paraId="07BA1576" w14:textId="5FBF5851" w:rsidR="00881875" w:rsidRPr="00010B83" w:rsidRDefault="00881875" w:rsidP="00881875">
      <w:pPr>
        <w:jc w:val="both"/>
        <w:rPr>
          <w:rFonts w:ascii="Verdana" w:hAnsi="Verdana"/>
          <w:color w:val="000080"/>
          <w:sz w:val="18"/>
          <w:szCs w:val="18"/>
        </w:rPr>
      </w:pPr>
      <w:r w:rsidRPr="00010B83">
        <w:rPr>
          <w:rFonts w:ascii="Verdana" w:hAnsi="Verdana"/>
          <w:color w:val="000080"/>
          <w:sz w:val="18"/>
          <w:szCs w:val="18"/>
        </w:rPr>
        <w:t>-eesnäärme ultraheli</w:t>
      </w:r>
      <w:r>
        <w:rPr>
          <w:rFonts w:ascii="Verdana" w:hAnsi="Verdana"/>
          <w:color w:val="000080"/>
          <w:sz w:val="18"/>
          <w:szCs w:val="18"/>
        </w:rPr>
        <w:t xml:space="preserve"> EI</w:t>
      </w:r>
    </w:p>
    <w:p w14:paraId="08D60765" w14:textId="425FFE34" w:rsidR="00881875" w:rsidRPr="00010B83" w:rsidRDefault="00881875" w:rsidP="00881875">
      <w:pPr>
        <w:jc w:val="both"/>
        <w:rPr>
          <w:rFonts w:ascii="Verdana" w:hAnsi="Verdana"/>
          <w:color w:val="000080"/>
          <w:sz w:val="18"/>
          <w:szCs w:val="18"/>
        </w:rPr>
      </w:pPr>
      <w:r w:rsidRPr="00010B83">
        <w:rPr>
          <w:rFonts w:ascii="Verdana" w:hAnsi="Verdana"/>
          <w:color w:val="000080"/>
          <w:sz w:val="18"/>
          <w:szCs w:val="18"/>
        </w:rPr>
        <w:t>-jääkuriin</w:t>
      </w:r>
      <w:r>
        <w:rPr>
          <w:rFonts w:ascii="Verdana" w:hAnsi="Verdana"/>
          <w:color w:val="000080"/>
          <w:sz w:val="18"/>
          <w:szCs w:val="18"/>
        </w:rPr>
        <w:t xml:space="preserve"> EI</w:t>
      </w:r>
    </w:p>
    <w:p w14:paraId="3596C9EF" w14:textId="3C2940E2" w:rsidR="00881875" w:rsidRDefault="00881875" w:rsidP="00881875">
      <w:pPr>
        <w:jc w:val="both"/>
        <w:rPr>
          <w:rFonts w:ascii="Verdana" w:hAnsi="Verdana"/>
          <w:color w:val="000080"/>
          <w:sz w:val="18"/>
          <w:szCs w:val="18"/>
        </w:rPr>
      </w:pPr>
      <w:r w:rsidRPr="00010B83">
        <w:rPr>
          <w:rFonts w:ascii="Verdana" w:hAnsi="Verdana"/>
          <w:color w:val="000080"/>
          <w:sz w:val="18"/>
          <w:szCs w:val="18"/>
        </w:rPr>
        <w:t>-günekoloogiline kontroll</w:t>
      </w:r>
      <w:r>
        <w:rPr>
          <w:rFonts w:ascii="Verdana" w:hAnsi="Verdana"/>
          <w:color w:val="000080"/>
          <w:sz w:val="18"/>
          <w:szCs w:val="18"/>
        </w:rPr>
        <w:t xml:space="preserve"> EI</w:t>
      </w:r>
    </w:p>
    <w:p w14:paraId="609D7988" w14:textId="144C3664" w:rsidR="00881875" w:rsidRDefault="00881875">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9D798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EAEDF" w14:textId="77777777" w:rsidR="00213E48" w:rsidRDefault="00213E48" w:rsidP="005A51BC">
      <w:r>
        <w:separator/>
      </w:r>
    </w:p>
  </w:endnote>
  <w:endnote w:type="continuationSeparator" w:id="0">
    <w:p w14:paraId="3EC3DDC9" w14:textId="77777777" w:rsidR="00213E48" w:rsidRDefault="00213E48" w:rsidP="005A5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BA"/>
    <w:family w:val="swiss"/>
    <w:pitch w:val="variable"/>
    <w:sig w:usb0="A10006FF" w:usb1="4000205B" w:usb2="00000010"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vPSFUW">
    <w:altName w:val="Arial"/>
    <w:panose1 w:val="00000000000000000000"/>
    <w:charset w:val="00"/>
    <w:family w:val="swiss"/>
    <w:notTrueType/>
    <w:pitch w:val="default"/>
    <w:sig w:usb0="00000003" w:usb1="00000000" w:usb2="00000000" w:usb3="00000000" w:csb0="00000001" w:csb1="00000000"/>
  </w:font>
  <w:font w:name="AdvGARAD-R">
    <w:altName w:val="Times New Roman"/>
    <w:panose1 w:val="00000000000000000000"/>
    <w:charset w:val="00"/>
    <w:family w:val="roman"/>
    <w:notTrueType/>
    <w:pitch w:val="default"/>
    <w:sig w:usb0="00000003" w:usb1="00000000" w:usb2="00000000" w:usb3="00000000" w:csb0="00000001" w:csb1="00000000"/>
  </w:font>
  <w:font w:name="AdvPSSAB-R">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rade Gothic LT Std">
    <w:altName w:val="Arial"/>
    <w:panose1 w:val="00000000000000000000"/>
    <w:charset w:val="07"/>
    <w:family w:val="swiss"/>
    <w:notTrueType/>
    <w:pitch w:val="default"/>
    <w:sig w:usb0="00000001" w:usb1="00000000" w:usb2="00000000" w:usb3="00000000" w:csb0="00000000" w:csb1="00000000"/>
  </w:font>
  <w:font w:name="Arial">
    <w:panose1 w:val="020B0604020202020204"/>
    <w:charset w:val="BA"/>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dvTTc9c3bd71">
    <w:panose1 w:val="00000000000000000000"/>
    <w:charset w:val="BA"/>
    <w:family w:val="auto"/>
    <w:notTrueType/>
    <w:pitch w:val="default"/>
    <w:sig w:usb0="00000005" w:usb1="00000000" w:usb2="00000000" w:usb3="00000000" w:csb0="00000080" w:csb1="00000000"/>
  </w:font>
  <w:font w:name="SabonLTStd-Roman">
    <w:panose1 w:val="00000000000000000000"/>
    <w:charset w:val="BA"/>
    <w:family w:val="auto"/>
    <w:notTrueType/>
    <w:pitch w:val="default"/>
    <w:sig w:usb0="00000005" w:usb1="00000000" w:usb2="00000000" w:usb3="00000000" w:csb0="00000080" w:csb1="00000000"/>
  </w:font>
  <w:font w:name="Trade Gothic LT Std Light">
    <w:altName w:val="Arial"/>
    <w:panose1 w:val="00000000000000000000"/>
    <w:charset w:val="07"/>
    <w:family w:val="swiss"/>
    <w:notTrueType/>
    <w:pitch w:val="default"/>
    <w:sig w:usb0="00000001" w:usb1="00000000" w:usb2="00000000" w:usb3="00000000" w:csb0="00000000" w:csb1="00000000"/>
  </w:font>
  <w:font w:name="Trade Gothic LT Std Cn">
    <w:altName w:val="Arial"/>
    <w:panose1 w:val="00000000000000000000"/>
    <w:charset w:val="07"/>
    <w:family w:val="swiss"/>
    <w:notTrueType/>
    <w:pitch w:val="default"/>
    <w:sig w:usb0="00000001" w:usb1="00000000" w:usb2="00000000" w:usb3="00000000" w:csb0="00000000" w:csb1="00000000"/>
  </w:font>
  <w:font w:name="Arial-BoldMT">
    <w:panose1 w:val="00000000000000000000"/>
    <w:charset w:val="BA"/>
    <w:family w:val="auto"/>
    <w:notTrueType/>
    <w:pitch w:val="default"/>
    <w:sig w:usb0="00000005" w:usb1="00000000" w:usb2="00000000" w:usb3="00000000" w:csb0="0000008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CFF2A" w14:textId="77777777" w:rsidR="00213E48" w:rsidRDefault="00213E48" w:rsidP="005A51BC">
      <w:r>
        <w:separator/>
      </w:r>
    </w:p>
  </w:footnote>
  <w:footnote w:type="continuationSeparator" w:id="0">
    <w:p w14:paraId="0AC95F18" w14:textId="77777777" w:rsidR="00213E48" w:rsidRDefault="00213E48" w:rsidP="005A5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DD984" w14:textId="77777777" w:rsidR="00213E48" w:rsidRDefault="00213E48">
    <w:pPr>
      <w:pStyle w:val="Header"/>
    </w:pPr>
    <w:r>
      <w:t>[Type text]</w:t>
    </w:r>
  </w:p>
  <w:p w14:paraId="06D54BE5" w14:textId="77777777" w:rsidR="00213E48" w:rsidRDefault="00213E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4AB94" w14:textId="77777777" w:rsidR="00213E48" w:rsidRDefault="00213E48">
    <w:pPr>
      <w:pStyle w:val="Header"/>
    </w:pPr>
    <w:r>
      <w:t>Tõendusmaterjali kokkuvõte - EvSu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1D42"/>
    <w:multiLevelType w:val="hybridMultilevel"/>
    <w:tmpl w:val="6FEACDF4"/>
    <w:lvl w:ilvl="0" w:tplc="E42CFDA0">
      <w:start w:val="3"/>
      <w:numFmt w:val="bullet"/>
      <w:lvlText w:val="-"/>
      <w:lvlJc w:val="left"/>
      <w:pPr>
        <w:tabs>
          <w:tab w:val="num" w:pos="720"/>
        </w:tabs>
        <w:ind w:left="720" w:hanging="360"/>
      </w:pPr>
      <w:rPr>
        <w:rFonts w:ascii="Verdana" w:eastAsia="Times New Roman" w:hAnsi="Verdana"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
    <w:nsid w:val="1420344B"/>
    <w:multiLevelType w:val="hybridMultilevel"/>
    <w:tmpl w:val="CC1E1A86"/>
    <w:lvl w:ilvl="0" w:tplc="A33805BE">
      <w:start w:val="1"/>
      <w:numFmt w:val="bullet"/>
      <w:lvlText w:val=""/>
      <w:lvlJc w:val="left"/>
      <w:pPr>
        <w:tabs>
          <w:tab w:val="num" w:pos="360"/>
        </w:tabs>
        <w:ind w:left="36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
    <w:nsid w:val="156B4E87"/>
    <w:multiLevelType w:val="hybridMultilevel"/>
    <w:tmpl w:val="6A56C87E"/>
    <w:lvl w:ilvl="0" w:tplc="5C2A4332">
      <w:start w:val="1"/>
      <w:numFmt w:val="decimal"/>
      <w:lvlText w:val="%1."/>
      <w:lvlJc w:val="left"/>
      <w:pPr>
        <w:ind w:left="720" w:hanging="360"/>
      </w:pPr>
      <w:rPr>
        <w:rFonts w:ascii="AdvPSFUW" w:hAnsi="AdvPSFUW" w:cs="AdvGARAD-R" w:hint="default"/>
        <w:sz w:val="18"/>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
    <w:nsid w:val="1E987658"/>
    <w:multiLevelType w:val="multilevel"/>
    <w:tmpl w:val="D82EDE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FBA662C"/>
    <w:multiLevelType w:val="multilevel"/>
    <w:tmpl w:val="DBB2DE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3593B32"/>
    <w:multiLevelType w:val="hybridMultilevel"/>
    <w:tmpl w:val="807EEE5E"/>
    <w:lvl w:ilvl="0" w:tplc="60307846">
      <w:start w:val="4"/>
      <w:numFmt w:val="bullet"/>
      <w:lvlText w:val="-"/>
      <w:lvlJc w:val="left"/>
      <w:pPr>
        <w:ind w:left="720" w:hanging="360"/>
      </w:pPr>
      <w:rPr>
        <w:rFonts w:ascii="AdvPSSAB-R" w:eastAsia="Times New Roman" w:hAnsi="AdvPSSAB-R"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2CB60555"/>
    <w:multiLevelType w:val="hybridMultilevel"/>
    <w:tmpl w:val="7FF442D0"/>
    <w:lvl w:ilvl="0" w:tplc="0409000F">
      <w:start w:val="1"/>
      <w:numFmt w:val="decimal"/>
      <w:lvlText w:val="%1."/>
      <w:lvlJc w:val="left"/>
      <w:pPr>
        <w:tabs>
          <w:tab w:val="num" w:pos="360"/>
        </w:tabs>
        <w:ind w:left="360" w:hanging="360"/>
      </w:pPr>
      <w:rPr>
        <w:rFonts w:cs="Times New Roman"/>
      </w:rPr>
    </w:lvl>
    <w:lvl w:ilvl="1" w:tplc="F8628CC2">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2DE6060A"/>
    <w:multiLevelType w:val="multilevel"/>
    <w:tmpl w:val="FB3CC546"/>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8">
    <w:nsid w:val="33C9564E"/>
    <w:multiLevelType w:val="hybridMultilevel"/>
    <w:tmpl w:val="CC54653A"/>
    <w:lvl w:ilvl="0" w:tplc="590A5B38">
      <w:numFmt w:val="bullet"/>
      <w:lvlText w:val="-"/>
      <w:lvlJc w:val="left"/>
      <w:pPr>
        <w:ind w:left="420" w:hanging="360"/>
      </w:pPr>
      <w:rPr>
        <w:rFonts w:ascii="Verdana" w:eastAsia="Times New Roman" w:hAnsi="Verdana" w:hint="default"/>
      </w:rPr>
    </w:lvl>
    <w:lvl w:ilvl="1" w:tplc="04250003" w:tentative="1">
      <w:start w:val="1"/>
      <w:numFmt w:val="bullet"/>
      <w:lvlText w:val="o"/>
      <w:lvlJc w:val="left"/>
      <w:pPr>
        <w:ind w:left="1140" w:hanging="360"/>
      </w:pPr>
      <w:rPr>
        <w:rFonts w:ascii="Courier New" w:hAnsi="Courier New" w:hint="default"/>
      </w:rPr>
    </w:lvl>
    <w:lvl w:ilvl="2" w:tplc="04250005" w:tentative="1">
      <w:start w:val="1"/>
      <w:numFmt w:val="bullet"/>
      <w:lvlText w:val=""/>
      <w:lvlJc w:val="left"/>
      <w:pPr>
        <w:ind w:left="1860" w:hanging="360"/>
      </w:pPr>
      <w:rPr>
        <w:rFonts w:ascii="Wingdings" w:hAnsi="Wingdings" w:hint="default"/>
      </w:rPr>
    </w:lvl>
    <w:lvl w:ilvl="3" w:tplc="04250001" w:tentative="1">
      <w:start w:val="1"/>
      <w:numFmt w:val="bullet"/>
      <w:lvlText w:val=""/>
      <w:lvlJc w:val="left"/>
      <w:pPr>
        <w:ind w:left="2580" w:hanging="360"/>
      </w:pPr>
      <w:rPr>
        <w:rFonts w:ascii="Symbol" w:hAnsi="Symbol" w:hint="default"/>
      </w:rPr>
    </w:lvl>
    <w:lvl w:ilvl="4" w:tplc="04250003" w:tentative="1">
      <w:start w:val="1"/>
      <w:numFmt w:val="bullet"/>
      <w:lvlText w:val="o"/>
      <w:lvlJc w:val="left"/>
      <w:pPr>
        <w:ind w:left="3300" w:hanging="360"/>
      </w:pPr>
      <w:rPr>
        <w:rFonts w:ascii="Courier New" w:hAnsi="Courier New" w:hint="default"/>
      </w:rPr>
    </w:lvl>
    <w:lvl w:ilvl="5" w:tplc="04250005" w:tentative="1">
      <w:start w:val="1"/>
      <w:numFmt w:val="bullet"/>
      <w:lvlText w:val=""/>
      <w:lvlJc w:val="left"/>
      <w:pPr>
        <w:ind w:left="4020" w:hanging="360"/>
      </w:pPr>
      <w:rPr>
        <w:rFonts w:ascii="Wingdings" w:hAnsi="Wingdings" w:hint="default"/>
      </w:rPr>
    </w:lvl>
    <w:lvl w:ilvl="6" w:tplc="04250001" w:tentative="1">
      <w:start w:val="1"/>
      <w:numFmt w:val="bullet"/>
      <w:lvlText w:val=""/>
      <w:lvlJc w:val="left"/>
      <w:pPr>
        <w:ind w:left="4740" w:hanging="360"/>
      </w:pPr>
      <w:rPr>
        <w:rFonts w:ascii="Symbol" w:hAnsi="Symbol" w:hint="default"/>
      </w:rPr>
    </w:lvl>
    <w:lvl w:ilvl="7" w:tplc="04250003" w:tentative="1">
      <w:start w:val="1"/>
      <w:numFmt w:val="bullet"/>
      <w:lvlText w:val="o"/>
      <w:lvlJc w:val="left"/>
      <w:pPr>
        <w:ind w:left="5460" w:hanging="360"/>
      </w:pPr>
      <w:rPr>
        <w:rFonts w:ascii="Courier New" w:hAnsi="Courier New" w:hint="default"/>
      </w:rPr>
    </w:lvl>
    <w:lvl w:ilvl="8" w:tplc="04250005" w:tentative="1">
      <w:start w:val="1"/>
      <w:numFmt w:val="bullet"/>
      <w:lvlText w:val=""/>
      <w:lvlJc w:val="left"/>
      <w:pPr>
        <w:ind w:left="6180" w:hanging="360"/>
      </w:pPr>
      <w:rPr>
        <w:rFonts w:ascii="Wingdings" w:hAnsi="Wingdings" w:hint="default"/>
      </w:rPr>
    </w:lvl>
  </w:abstractNum>
  <w:abstractNum w:abstractNumId="9">
    <w:nsid w:val="384C760E"/>
    <w:multiLevelType w:val="hybridMultilevel"/>
    <w:tmpl w:val="AD3202CE"/>
    <w:lvl w:ilvl="0" w:tplc="FBBAC2AA">
      <w:start w:val="1252"/>
      <w:numFmt w:val="bullet"/>
      <w:lvlText w:val="-"/>
      <w:lvlJc w:val="left"/>
      <w:pPr>
        <w:ind w:left="720" w:hanging="360"/>
      </w:pPr>
      <w:rPr>
        <w:rFonts w:ascii="AdvGARAD-R" w:eastAsia="Times New Roman" w:hAnsi="AdvGARAD-R"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65053D9C"/>
    <w:multiLevelType w:val="hybridMultilevel"/>
    <w:tmpl w:val="90D85272"/>
    <w:lvl w:ilvl="0" w:tplc="E42CFDA0">
      <w:start w:val="3"/>
      <w:numFmt w:val="bullet"/>
      <w:lvlText w:val="-"/>
      <w:lvlJc w:val="left"/>
      <w:pPr>
        <w:tabs>
          <w:tab w:val="num" w:pos="360"/>
        </w:tabs>
        <w:ind w:left="360" w:hanging="360"/>
      </w:pPr>
      <w:rPr>
        <w:rFonts w:ascii="Verdana" w:eastAsia="Times New Roman" w:hAnsi="Verdana" w:hint="default"/>
      </w:rPr>
    </w:lvl>
    <w:lvl w:ilvl="1" w:tplc="04250003" w:tentative="1">
      <w:start w:val="1"/>
      <w:numFmt w:val="bullet"/>
      <w:lvlText w:val="o"/>
      <w:lvlJc w:val="left"/>
      <w:pPr>
        <w:tabs>
          <w:tab w:val="num" w:pos="1080"/>
        </w:tabs>
        <w:ind w:left="1080" w:hanging="360"/>
      </w:pPr>
      <w:rPr>
        <w:rFonts w:ascii="Courier New" w:hAnsi="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11">
    <w:nsid w:val="6D145B8A"/>
    <w:multiLevelType w:val="hybridMultilevel"/>
    <w:tmpl w:val="E1F6608A"/>
    <w:lvl w:ilvl="0" w:tplc="34C49D60">
      <w:start w:val="1252"/>
      <w:numFmt w:val="bullet"/>
      <w:lvlText w:val="-"/>
      <w:lvlJc w:val="left"/>
      <w:pPr>
        <w:ind w:left="720" w:hanging="360"/>
      </w:pPr>
      <w:rPr>
        <w:rFonts w:ascii="AdvGARAD-R" w:eastAsia="Times New Roman" w:hAnsi="AdvGARAD-R" w:hint="default"/>
        <w:sz w:val="18"/>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727A7A2E"/>
    <w:multiLevelType w:val="multilevel"/>
    <w:tmpl w:val="0CF090E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75271D55"/>
    <w:multiLevelType w:val="hybridMultilevel"/>
    <w:tmpl w:val="E1F06A0E"/>
    <w:lvl w:ilvl="0" w:tplc="A33805BE">
      <w:start w:val="1"/>
      <w:numFmt w:val="bullet"/>
      <w:lvlText w:val=""/>
      <w:lvlJc w:val="left"/>
      <w:pPr>
        <w:tabs>
          <w:tab w:val="num" w:pos="360"/>
        </w:tabs>
        <w:ind w:left="36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4">
    <w:nsid w:val="780111BC"/>
    <w:multiLevelType w:val="hybridMultilevel"/>
    <w:tmpl w:val="62EC6EFC"/>
    <w:lvl w:ilvl="0" w:tplc="E98094D0">
      <w:start w:val="4"/>
      <w:numFmt w:val="bullet"/>
      <w:lvlText w:val="-"/>
      <w:lvlJc w:val="left"/>
      <w:pPr>
        <w:ind w:left="720" w:hanging="360"/>
      </w:pPr>
      <w:rPr>
        <w:rFonts w:ascii="AdvPSSAB-R" w:eastAsia="Times New Roman" w:hAnsi="AdvPSSAB-R"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3"/>
    <w:lvlOverride w:ilvl="0">
      <w:startOverride w:val="30"/>
    </w:lvlOverride>
  </w:num>
  <w:num w:numId="4">
    <w:abstractNumId w:val="3"/>
    <w:lvlOverride w:ilvl="0">
      <w:startOverride w:val="31"/>
    </w:lvlOverride>
  </w:num>
  <w:num w:numId="5">
    <w:abstractNumId w:val="6"/>
  </w:num>
  <w:num w:numId="6">
    <w:abstractNumId w:val="8"/>
  </w:num>
  <w:num w:numId="7">
    <w:abstractNumId w:val="9"/>
  </w:num>
  <w:num w:numId="8">
    <w:abstractNumId w:val="11"/>
  </w:num>
  <w:num w:numId="9">
    <w:abstractNumId w:val="2"/>
  </w:num>
  <w:num w:numId="10">
    <w:abstractNumId w:val="14"/>
  </w:num>
  <w:num w:numId="11">
    <w:abstractNumId w:val="5"/>
  </w:num>
  <w:num w:numId="12">
    <w:abstractNumId w:val="13"/>
  </w:num>
  <w:num w:numId="13">
    <w:abstractNumId w:val="1"/>
  </w:num>
  <w:num w:numId="14">
    <w:abstractNumId w:val="0"/>
  </w:num>
  <w:num w:numId="15">
    <w:abstractNumId w:val="10"/>
  </w:num>
  <w:num w:numId="16">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 Roosimaa">
    <w15:presenceInfo w15:providerId="Windows Live" w15:userId="b6ac853e511049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2CDE"/>
    <w:rsid w:val="00010B83"/>
    <w:rsid w:val="00042FF2"/>
    <w:rsid w:val="0008744A"/>
    <w:rsid w:val="000A6CB0"/>
    <w:rsid w:val="000E3E34"/>
    <w:rsid w:val="00124A88"/>
    <w:rsid w:val="001420F7"/>
    <w:rsid w:val="00185231"/>
    <w:rsid w:val="001A32FB"/>
    <w:rsid w:val="001C4933"/>
    <w:rsid w:val="001D07CD"/>
    <w:rsid w:val="001D3211"/>
    <w:rsid w:val="001D3A57"/>
    <w:rsid w:val="001E441C"/>
    <w:rsid w:val="001E6003"/>
    <w:rsid w:val="001F315C"/>
    <w:rsid w:val="00200DB2"/>
    <w:rsid w:val="00210AAB"/>
    <w:rsid w:val="00210DA0"/>
    <w:rsid w:val="00213E48"/>
    <w:rsid w:val="002D065A"/>
    <w:rsid w:val="002E0FC2"/>
    <w:rsid w:val="002F27F4"/>
    <w:rsid w:val="00351EBD"/>
    <w:rsid w:val="00356B90"/>
    <w:rsid w:val="003B4B45"/>
    <w:rsid w:val="003D523C"/>
    <w:rsid w:val="003E47F8"/>
    <w:rsid w:val="00402CDE"/>
    <w:rsid w:val="00450CBE"/>
    <w:rsid w:val="004A6B7F"/>
    <w:rsid w:val="0056177C"/>
    <w:rsid w:val="005629E6"/>
    <w:rsid w:val="00577B0C"/>
    <w:rsid w:val="005821C8"/>
    <w:rsid w:val="005A51BC"/>
    <w:rsid w:val="005B40B8"/>
    <w:rsid w:val="005E70BC"/>
    <w:rsid w:val="00604B59"/>
    <w:rsid w:val="00605643"/>
    <w:rsid w:val="006340D4"/>
    <w:rsid w:val="0063525C"/>
    <w:rsid w:val="00644832"/>
    <w:rsid w:val="00682A15"/>
    <w:rsid w:val="006961F4"/>
    <w:rsid w:val="007231B0"/>
    <w:rsid w:val="00744477"/>
    <w:rsid w:val="00757D49"/>
    <w:rsid w:val="007A0210"/>
    <w:rsid w:val="007C18E8"/>
    <w:rsid w:val="007C7FAF"/>
    <w:rsid w:val="00832974"/>
    <w:rsid w:val="00881875"/>
    <w:rsid w:val="008B5CC7"/>
    <w:rsid w:val="008C61BA"/>
    <w:rsid w:val="009005FF"/>
    <w:rsid w:val="0091616B"/>
    <w:rsid w:val="00925471"/>
    <w:rsid w:val="0093549E"/>
    <w:rsid w:val="00943D20"/>
    <w:rsid w:val="009663D6"/>
    <w:rsid w:val="00991C26"/>
    <w:rsid w:val="00A1666F"/>
    <w:rsid w:val="00A31209"/>
    <w:rsid w:val="00A93B2B"/>
    <w:rsid w:val="00AC2F0F"/>
    <w:rsid w:val="00B828A8"/>
    <w:rsid w:val="00B84727"/>
    <w:rsid w:val="00CB2104"/>
    <w:rsid w:val="00CC09D1"/>
    <w:rsid w:val="00CC285E"/>
    <w:rsid w:val="00D336F6"/>
    <w:rsid w:val="00D37D69"/>
    <w:rsid w:val="00E20BD7"/>
    <w:rsid w:val="00E20C90"/>
    <w:rsid w:val="00E676D4"/>
    <w:rsid w:val="00E94038"/>
    <w:rsid w:val="00EA656B"/>
    <w:rsid w:val="00F26CE0"/>
    <w:rsid w:val="00F3790C"/>
    <w:rsid w:val="00F66FB9"/>
    <w:rsid w:val="00F94A84"/>
    <w:rsid w:val="00FC2CD2"/>
    <w:rsid w:val="00FE17E8"/>
    <w:rsid w:val="00FE50F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4E855CA"/>
  <w15:docId w15:val="{DACDF711-D970-4042-81E4-627EBFE2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t-EE" w:eastAsia="et-E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B0C"/>
    <w:rPr>
      <w:sz w:val="24"/>
      <w:szCs w:val="24"/>
    </w:rPr>
  </w:style>
  <w:style w:type="paragraph" w:styleId="Heading1">
    <w:name w:val="heading 1"/>
    <w:basedOn w:val="Normal"/>
    <w:link w:val="Heading1Char"/>
    <w:uiPriority w:val="99"/>
    <w:qFormat/>
    <w:pPr>
      <w:spacing w:before="100" w:beforeAutospacing="1" w:after="100" w:afterAutospacing="1" w:line="264" w:lineRule="atLeast"/>
      <w:outlineLvl w:val="0"/>
    </w:pPr>
    <w:rPr>
      <w:b/>
      <w:bCs/>
      <w:kern w:val="36"/>
      <w:sz w:val="36"/>
      <w:szCs w:val="36"/>
    </w:rPr>
  </w:style>
  <w:style w:type="paragraph" w:styleId="Heading3">
    <w:name w:val="heading 3"/>
    <w:basedOn w:val="Normal"/>
    <w:link w:val="Heading3Char"/>
    <w:uiPriority w:val="99"/>
    <w:qFormat/>
    <w:pPr>
      <w:spacing w:before="100" w:beforeAutospacing="1" w:after="100" w:afterAutospacing="1"/>
      <w:outlineLvl w:val="2"/>
    </w:pPr>
    <w:rPr>
      <w:b/>
      <w:bCs/>
      <w:sz w:val="34"/>
      <w:szCs w:val="34"/>
    </w:rPr>
  </w:style>
  <w:style w:type="paragraph" w:styleId="Heading4">
    <w:name w:val="heading 4"/>
    <w:basedOn w:val="Normal"/>
    <w:link w:val="Heading4Char"/>
    <w:uiPriority w:val="99"/>
    <w:qFormat/>
    <w:pPr>
      <w:spacing w:before="100" w:beforeAutospacing="1" w:after="100" w:afterAutospacing="1"/>
      <w:outlineLvl w:val="3"/>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b/>
      <w:kern w:val="36"/>
      <w:sz w:val="36"/>
    </w:rPr>
  </w:style>
  <w:style w:type="character" w:customStyle="1" w:styleId="Heading3Char">
    <w:name w:val="Heading 3 Char"/>
    <w:basedOn w:val="DefaultParagraphFont"/>
    <w:link w:val="Heading3"/>
    <w:uiPriority w:val="99"/>
    <w:locked/>
    <w:rPr>
      <w:b/>
      <w:sz w:val="34"/>
    </w:rPr>
  </w:style>
  <w:style w:type="character" w:customStyle="1" w:styleId="Heading4Char">
    <w:name w:val="Heading 4 Char"/>
    <w:basedOn w:val="DefaultParagraphFont"/>
    <w:link w:val="Heading4"/>
    <w:uiPriority w:val="99"/>
    <w:locked/>
    <w:rPr>
      <w:b/>
      <w:sz w:val="29"/>
    </w:rPr>
  </w:style>
  <w:style w:type="character" w:customStyle="1" w:styleId="subabstractlabel">
    <w:name w:val="sub_abstract_label"/>
    <w:uiPriority w:val="99"/>
    <w:rsid w:val="00402CDE"/>
    <w:rPr>
      <w:b/>
      <w:sz w:val="24"/>
    </w:rPr>
  </w:style>
  <w:style w:type="table" w:styleId="TableGrid">
    <w:name w:val="Table Grid"/>
    <w:basedOn w:val="TableNormal"/>
    <w:uiPriority w:val="99"/>
    <w:rsid w:val="00402C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term-highlight1">
    <w:name w:val="search-term-highlight1"/>
    <w:uiPriority w:val="99"/>
    <w:rPr>
      <w:b/>
      <w:color w:val="CC0000"/>
    </w:rPr>
  </w:style>
  <w:style w:type="character" w:styleId="HTMLCite">
    <w:name w:val="HTML Cite"/>
    <w:basedOn w:val="DefaultParagraphFont"/>
    <w:uiPriority w:val="99"/>
    <w:rPr>
      <w:rFonts w:cs="Times New Roman"/>
      <w:i/>
    </w:rPr>
  </w:style>
  <w:style w:type="character" w:customStyle="1" w:styleId="cit-vol1">
    <w:name w:val="cit-vol1"/>
    <w:uiPriority w:val="99"/>
  </w:style>
  <w:style w:type="character" w:customStyle="1" w:styleId="cit-title1">
    <w:name w:val="cit-title1"/>
    <w:basedOn w:val="DefaultParagraphFont"/>
    <w:uiPriority w:val="99"/>
    <w:rPr>
      <w:rFonts w:cs="Times New Roman"/>
    </w:rPr>
  </w:style>
  <w:style w:type="character" w:customStyle="1" w:styleId="cit-authcit-auth-type-author">
    <w:name w:val="cit-auth cit-auth-type-author"/>
    <w:basedOn w:val="DefaultParagraphFont"/>
    <w:uiPriority w:val="99"/>
    <w:rPr>
      <w:rFonts w:cs="Times New Roman"/>
    </w:rPr>
  </w:style>
  <w:style w:type="character" w:customStyle="1" w:styleId="cit-sepcit-sep-separator">
    <w:name w:val="cit-sep cit-sep-separator"/>
    <w:basedOn w:val="DefaultParagraphFont"/>
    <w:uiPriority w:val="99"/>
    <w:rPr>
      <w:rFonts w:cs="Times New Roman"/>
    </w:rPr>
  </w:style>
  <w:style w:type="character" w:customStyle="1" w:styleId="cit-print-date">
    <w:name w:val="cit-print-date"/>
    <w:basedOn w:val="DefaultParagraphFont"/>
    <w:uiPriority w:val="99"/>
    <w:rPr>
      <w:rFonts w:cs="Times New Roman"/>
    </w:rPr>
  </w:style>
  <w:style w:type="character" w:customStyle="1" w:styleId="cit-sepcit-sep-after-article-print-date">
    <w:name w:val="cit-sep cit-sep-after-article-print-date"/>
    <w:basedOn w:val="DefaultParagraphFont"/>
    <w:uiPriority w:val="99"/>
    <w:rPr>
      <w:rFonts w:cs="Times New Roman"/>
    </w:rPr>
  </w:style>
  <w:style w:type="character" w:customStyle="1" w:styleId="cit-sepcit-sep-after-article-vol">
    <w:name w:val="cit-sep cit-sep-after-article-vol"/>
    <w:basedOn w:val="DefaultParagraphFont"/>
    <w:uiPriority w:val="99"/>
    <w:rPr>
      <w:rFonts w:cs="Times New Roman"/>
    </w:rPr>
  </w:style>
  <w:style w:type="character" w:customStyle="1" w:styleId="cit-first-page">
    <w:name w:val="cit-first-page"/>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character" w:styleId="Emphasis">
    <w:name w:val="Emphasis"/>
    <w:basedOn w:val="DefaultParagraphFont"/>
    <w:uiPriority w:val="99"/>
    <w:qFormat/>
    <w:rPr>
      <w:rFonts w:cs="Times New Roman"/>
      <w:i/>
    </w:rPr>
  </w:style>
  <w:style w:type="paragraph" w:customStyle="1" w:styleId="ColorfulList-Accent11">
    <w:name w:val="Colorful List - Accent 11"/>
    <w:basedOn w:val="Normal"/>
    <w:uiPriority w:val="99"/>
    <w:pPr>
      <w:ind w:left="720"/>
      <w:contextualSpacing/>
    </w:pPr>
    <w:rPr>
      <w:lang w:val="en-GB"/>
    </w:rPr>
  </w:style>
  <w:style w:type="paragraph" w:styleId="NormalWeb">
    <w:name w:val="Normal (Web)"/>
    <w:basedOn w:val="Normal"/>
    <w:uiPriority w:val="99"/>
    <w:pPr>
      <w:spacing w:before="100" w:beforeAutospacing="1" w:after="100" w:afterAutospacing="1"/>
    </w:p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locked/>
    <w:rPr>
      <w:sz w:val="24"/>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locked/>
    <w:rPr>
      <w:sz w:val="24"/>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basedOn w:val="DefaultParagraphFont"/>
    <w:link w:val="BalloonText"/>
    <w:uiPriority w:val="99"/>
    <w:locked/>
    <w:rPr>
      <w:rFonts w:ascii="Tahoma" w:hAnsi="Tahoma"/>
      <w:sz w:val="16"/>
    </w:rPr>
  </w:style>
  <w:style w:type="character" w:customStyle="1" w:styleId="highlight">
    <w:name w:val="highlight"/>
    <w:basedOn w:val="DefaultParagraphFont"/>
    <w:uiPriority w:val="99"/>
    <w:rPr>
      <w:rFonts w:cs="Times New Roman"/>
    </w:rPr>
  </w:style>
  <w:style w:type="character" w:customStyle="1" w:styleId="maintitle">
    <w:name w:val="maintitle"/>
    <w:basedOn w:val="DefaultParagraphFont"/>
    <w:uiPriority w:val="99"/>
    <w:rPr>
      <w:rFonts w:cs="Times New Roman"/>
    </w:rPr>
  </w:style>
  <w:style w:type="paragraph" w:customStyle="1" w:styleId="Default">
    <w:name w:val="Default"/>
    <w:uiPriority w:val="99"/>
    <w:pPr>
      <w:widowControl w:val="0"/>
      <w:autoSpaceDE w:val="0"/>
      <w:autoSpaceDN w:val="0"/>
      <w:adjustRightInd w:val="0"/>
    </w:pPr>
    <w:rPr>
      <w:rFonts w:ascii="Calibri" w:hAnsi="Calibri" w:cs="Calibri"/>
      <w:color w:val="000000"/>
      <w:sz w:val="24"/>
      <w:szCs w:val="24"/>
      <w:lang w:val="en-US" w:eastAsia="en-US"/>
    </w:rPr>
  </w:style>
  <w:style w:type="paragraph" w:customStyle="1" w:styleId="Pa3">
    <w:name w:val="Pa3"/>
    <w:basedOn w:val="Default"/>
    <w:next w:val="Default"/>
    <w:uiPriority w:val="99"/>
    <w:pPr>
      <w:spacing w:line="181" w:lineRule="atLeast"/>
    </w:pPr>
    <w:rPr>
      <w:rFonts w:ascii="Trade Gothic LT Std" w:hAnsi="Trade Gothic LT Std" w:cs="Times New Roman"/>
      <w:color w:val="auto"/>
    </w:rPr>
  </w:style>
  <w:style w:type="paragraph" w:customStyle="1" w:styleId="Pa15">
    <w:name w:val="Pa15"/>
    <w:basedOn w:val="Default"/>
    <w:next w:val="Default"/>
    <w:uiPriority w:val="99"/>
    <w:pPr>
      <w:spacing w:line="181" w:lineRule="atLeast"/>
    </w:pPr>
    <w:rPr>
      <w:rFonts w:ascii="Trade Gothic LT Std" w:hAnsi="Trade Gothic LT Std" w:cs="Times New Roman"/>
      <w:color w:val="auto"/>
    </w:rPr>
  </w:style>
  <w:style w:type="paragraph" w:customStyle="1" w:styleId="Pa17">
    <w:name w:val="Pa17"/>
    <w:basedOn w:val="Default"/>
    <w:next w:val="Default"/>
    <w:uiPriority w:val="99"/>
    <w:pPr>
      <w:spacing w:line="191" w:lineRule="atLeast"/>
    </w:pPr>
    <w:rPr>
      <w:rFonts w:ascii="Trade Gothic LT Std" w:hAnsi="Trade Gothic LT Std" w:cs="Times New Roman"/>
      <w:color w:val="auto"/>
    </w:rPr>
  </w:style>
  <w:style w:type="paragraph" w:customStyle="1" w:styleId="Pa18">
    <w:name w:val="Pa18"/>
    <w:basedOn w:val="Default"/>
    <w:next w:val="Default"/>
    <w:uiPriority w:val="99"/>
    <w:pPr>
      <w:spacing w:line="181" w:lineRule="atLeast"/>
    </w:pPr>
    <w:rPr>
      <w:rFonts w:ascii="Trade Gothic LT Std" w:hAnsi="Trade Gothic LT Std" w:cs="Times New Roman"/>
      <w:color w:val="auto"/>
    </w:rPr>
  </w:style>
  <w:style w:type="character" w:customStyle="1" w:styleId="abstract0">
    <w:name w:val="abstract 0"/>
    <w:basedOn w:val="DefaultParagraphFont"/>
    <w:uiPriority w:val="99"/>
    <w:rPr>
      <w:rFonts w:cs="Times New Roman"/>
    </w:rPr>
  </w:style>
  <w:style w:type="character" w:customStyle="1" w:styleId="fthighlight">
    <w:name w:val="ft_highlight"/>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character" w:styleId="CommentReference">
    <w:name w:val="annotation reference"/>
    <w:basedOn w:val="DefaultParagraphFont"/>
    <w:uiPriority w:val="99"/>
    <w:semiHidden/>
    <w:unhideWhenUsed/>
    <w:rsid w:val="00881875"/>
    <w:rPr>
      <w:sz w:val="16"/>
      <w:szCs w:val="16"/>
    </w:rPr>
  </w:style>
  <w:style w:type="paragraph" w:styleId="CommentText">
    <w:name w:val="annotation text"/>
    <w:basedOn w:val="Normal"/>
    <w:link w:val="CommentTextChar"/>
    <w:uiPriority w:val="99"/>
    <w:semiHidden/>
    <w:unhideWhenUsed/>
    <w:rsid w:val="00881875"/>
    <w:rPr>
      <w:sz w:val="20"/>
      <w:szCs w:val="20"/>
    </w:rPr>
  </w:style>
  <w:style w:type="character" w:customStyle="1" w:styleId="CommentTextChar">
    <w:name w:val="Comment Text Char"/>
    <w:basedOn w:val="DefaultParagraphFont"/>
    <w:link w:val="CommentText"/>
    <w:uiPriority w:val="99"/>
    <w:semiHidden/>
    <w:rsid w:val="00881875"/>
    <w:rPr>
      <w:sz w:val="20"/>
      <w:szCs w:val="20"/>
    </w:rPr>
  </w:style>
  <w:style w:type="paragraph" w:styleId="CommentSubject">
    <w:name w:val="annotation subject"/>
    <w:basedOn w:val="CommentText"/>
    <w:next w:val="CommentText"/>
    <w:link w:val="CommentSubjectChar"/>
    <w:uiPriority w:val="99"/>
    <w:semiHidden/>
    <w:unhideWhenUsed/>
    <w:rsid w:val="00881875"/>
    <w:rPr>
      <w:b/>
      <w:bCs/>
    </w:rPr>
  </w:style>
  <w:style w:type="character" w:customStyle="1" w:styleId="CommentSubjectChar">
    <w:name w:val="Comment Subject Char"/>
    <w:basedOn w:val="CommentTextChar"/>
    <w:link w:val="CommentSubject"/>
    <w:uiPriority w:val="99"/>
    <w:semiHidden/>
    <w:rsid w:val="008818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95198">
      <w:marLeft w:val="0"/>
      <w:marRight w:val="0"/>
      <w:marTop w:val="0"/>
      <w:marBottom w:val="0"/>
      <w:divBdr>
        <w:top w:val="none" w:sz="0" w:space="0" w:color="auto"/>
        <w:left w:val="none" w:sz="0" w:space="0" w:color="auto"/>
        <w:bottom w:val="none" w:sz="0" w:space="0" w:color="auto"/>
        <w:right w:val="none" w:sz="0" w:space="0" w:color="auto"/>
      </w:divBdr>
      <w:divsChild>
        <w:div w:id="1104495254">
          <w:marLeft w:val="0"/>
          <w:marRight w:val="0"/>
          <w:marTop w:val="0"/>
          <w:marBottom w:val="0"/>
          <w:divBdr>
            <w:top w:val="none" w:sz="0" w:space="0" w:color="auto"/>
            <w:left w:val="none" w:sz="0" w:space="0" w:color="auto"/>
            <w:bottom w:val="none" w:sz="0" w:space="0" w:color="auto"/>
            <w:right w:val="none" w:sz="0" w:space="0" w:color="auto"/>
          </w:divBdr>
          <w:divsChild>
            <w:div w:id="1104495264">
              <w:marLeft w:val="0"/>
              <w:marRight w:val="0"/>
              <w:marTop w:val="0"/>
              <w:marBottom w:val="0"/>
              <w:divBdr>
                <w:top w:val="single" w:sz="2" w:space="0" w:color="B8B6B6"/>
                <w:left w:val="single" w:sz="6" w:space="0" w:color="B8B6B6"/>
                <w:bottom w:val="single" w:sz="6" w:space="0" w:color="B8B6B6"/>
                <w:right w:val="single" w:sz="6" w:space="0" w:color="B8B6B6"/>
              </w:divBdr>
              <w:divsChild>
                <w:div w:id="1104495273">
                  <w:marLeft w:val="0"/>
                  <w:marRight w:val="0"/>
                  <w:marTop w:val="0"/>
                  <w:marBottom w:val="0"/>
                  <w:divBdr>
                    <w:top w:val="single" w:sz="6" w:space="0" w:color="CCCCCC"/>
                    <w:left w:val="none" w:sz="0" w:space="0" w:color="auto"/>
                    <w:bottom w:val="none" w:sz="0" w:space="0" w:color="auto"/>
                    <w:right w:val="none" w:sz="0" w:space="0" w:color="auto"/>
                  </w:divBdr>
                  <w:divsChild>
                    <w:div w:id="1104495214">
                      <w:marLeft w:val="0"/>
                      <w:marRight w:val="0"/>
                      <w:marTop w:val="0"/>
                      <w:marBottom w:val="0"/>
                      <w:divBdr>
                        <w:top w:val="none" w:sz="0" w:space="0" w:color="auto"/>
                        <w:left w:val="none" w:sz="0" w:space="0" w:color="auto"/>
                        <w:bottom w:val="none" w:sz="0" w:space="0" w:color="auto"/>
                        <w:right w:val="none" w:sz="0" w:space="0" w:color="auto"/>
                      </w:divBdr>
                      <w:divsChild>
                        <w:div w:id="1104495257">
                          <w:marLeft w:val="150"/>
                          <w:marRight w:val="225"/>
                          <w:marTop w:val="0"/>
                          <w:marBottom w:val="150"/>
                          <w:divBdr>
                            <w:top w:val="none" w:sz="0" w:space="0" w:color="auto"/>
                            <w:left w:val="none" w:sz="0" w:space="0" w:color="auto"/>
                            <w:bottom w:val="none" w:sz="0" w:space="0" w:color="auto"/>
                            <w:right w:val="none" w:sz="0" w:space="0" w:color="auto"/>
                          </w:divBdr>
                          <w:divsChild>
                            <w:div w:id="1104495266">
                              <w:marLeft w:val="0"/>
                              <w:marRight w:val="0"/>
                              <w:marTop w:val="0"/>
                              <w:marBottom w:val="0"/>
                              <w:divBdr>
                                <w:top w:val="none" w:sz="0" w:space="0" w:color="auto"/>
                                <w:left w:val="none" w:sz="0" w:space="0" w:color="auto"/>
                                <w:bottom w:val="none" w:sz="0" w:space="0" w:color="auto"/>
                                <w:right w:val="none" w:sz="0" w:space="0" w:color="auto"/>
                              </w:divBdr>
                              <w:divsChild>
                                <w:div w:id="110449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495199">
      <w:marLeft w:val="0"/>
      <w:marRight w:val="0"/>
      <w:marTop w:val="0"/>
      <w:marBottom w:val="0"/>
      <w:divBdr>
        <w:top w:val="none" w:sz="0" w:space="0" w:color="auto"/>
        <w:left w:val="none" w:sz="0" w:space="0" w:color="auto"/>
        <w:bottom w:val="none" w:sz="0" w:space="0" w:color="auto"/>
        <w:right w:val="none" w:sz="0" w:space="0" w:color="auto"/>
      </w:divBdr>
      <w:divsChild>
        <w:div w:id="1104495242">
          <w:marLeft w:val="0"/>
          <w:marRight w:val="0"/>
          <w:marTop w:val="0"/>
          <w:marBottom w:val="0"/>
          <w:divBdr>
            <w:top w:val="none" w:sz="0" w:space="0" w:color="auto"/>
            <w:left w:val="none" w:sz="0" w:space="0" w:color="auto"/>
            <w:bottom w:val="none" w:sz="0" w:space="0" w:color="auto"/>
            <w:right w:val="none" w:sz="0" w:space="0" w:color="auto"/>
          </w:divBdr>
          <w:divsChild>
            <w:div w:id="1104495221">
              <w:marLeft w:val="0"/>
              <w:marRight w:val="0"/>
              <w:marTop w:val="0"/>
              <w:marBottom w:val="0"/>
              <w:divBdr>
                <w:top w:val="none" w:sz="0" w:space="0" w:color="auto"/>
                <w:left w:val="none" w:sz="0" w:space="0" w:color="auto"/>
                <w:bottom w:val="none" w:sz="0" w:space="0" w:color="auto"/>
                <w:right w:val="none" w:sz="0" w:space="0" w:color="auto"/>
              </w:divBdr>
              <w:divsChild>
                <w:div w:id="1104495208">
                  <w:marLeft w:val="0"/>
                  <w:marRight w:val="0"/>
                  <w:marTop w:val="0"/>
                  <w:marBottom w:val="0"/>
                  <w:divBdr>
                    <w:top w:val="none" w:sz="0" w:space="0" w:color="auto"/>
                    <w:left w:val="none" w:sz="0" w:space="0" w:color="auto"/>
                    <w:bottom w:val="none" w:sz="0" w:space="0" w:color="auto"/>
                    <w:right w:val="none" w:sz="0" w:space="0" w:color="auto"/>
                  </w:divBdr>
                  <w:divsChild>
                    <w:div w:id="1104495211">
                      <w:marLeft w:val="0"/>
                      <w:marRight w:val="0"/>
                      <w:marTop w:val="0"/>
                      <w:marBottom w:val="0"/>
                      <w:divBdr>
                        <w:top w:val="none" w:sz="0" w:space="0" w:color="auto"/>
                        <w:left w:val="none" w:sz="0" w:space="0" w:color="auto"/>
                        <w:bottom w:val="none" w:sz="0" w:space="0" w:color="auto"/>
                        <w:right w:val="none" w:sz="0" w:space="0" w:color="auto"/>
                      </w:divBdr>
                      <w:divsChild>
                        <w:div w:id="1104495253">
                          <w:marLeft w:val="0"/>
                          <w:marRight w:val="0"/>
                          <w:marTop w:val="0"/>
                          <w:marBottom w:val="0"/>
                          <w:divBdr>
                            <w:top w:val="none" w:sz="0" w:space="0" w:color="auto"/>
                            <w:left w:val="none" w:sz="0" w:space="0" w:color="auto"/>
                            <w:bottom w:val="none" w:sz="0" w:space="0" w:color="auto"/>
                            <w:right w:val="none" w:sz="0" w:space="0" w:color="auto"/>
                          </w:divBdr>
                          <w:divsChild>
                            <w:div w:id="1104495297">
                              <w:marLeft w:val="0"/>
                              <w:marRight w:val="0"/>
                              <w:marTop w:val="0"/>
                              <w:marBottom w:val="0"/>
                              <w:divBdr>
                                <w:top w:val="none" w:sz="0" w:space="0" w:color="auto"/>
                                <w:left w:val="none" w:sz="0" w:space="0" w:color="auto"/>
                                <w:bottom w:val="none" w:sz="0" w:space="0" w:color="auto"/>
                                <w:right w:val="none" w:sz="0" w:space="0" w:color="auto"/>
                              </w:divBdr>
                              <w:divsChild>
                                <w:div w:id="1104495262">
                                  <w:marLeft w:val="0"/>
                                  <w:marRight w:val="0"/>
                                  <w:marTop w:val="0"/>
                                  <w:marBottom w:val="0"/>
                                  <w:divBdr>
                                    <w:top w:val="none" w:sz="0" w:space="0" w:color="auto"/>
                                    <w:left w:val="none" w:sz="0" w:space="0" w:color="auto"/>
                                    <w:bottom w:val="none" w:sz="0" w:space="0" w:color="auto"/>
                                    <w:right w:val="none" w:sz="0" w:space="0" w:color="auto"/>
                                  </w:divBdr>
                                  <w:divsChild>
                                    <w:div w:id="110449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495222">
      <w:marLeft w:val="0"/>
      <w:marRight w:val="0"/>
      <w:marTop w:val="0"/>
      <w:marBottom w:val="0"/>
      <w:divBdr>
        <w:top w:val="none" w:sz="0" w:space="0" w:color="auto"/>
        <w:left w:val="none" w:sz="0" w:space="0" w:color="auto"/>
        <w:bottom w:val="none" w:sz="0" w:space="0" w:color="auto"/>
        <w:right w:val="none" w:sz="0" w:space="0" w:color="auto"/>
      </w:divBdr>
    </w:div>
    <w:div w:id="1104495223">
      <w:marLeft w:val="0"/>
      <w:marRight w:val="0"/>
      <w:marTop w:val="0"/>
      <w:marBottom w:val="0"/>
      <w:divBdr>
        <w:top w:val="none" w:sz="0" w:space="0" w:color="auto"/>
        <w:left w:val="none" w:sz="0" w:space="0" w:color="auto"/>
        <w:bottom w:val="none" w:sz="0" w:space="0" w:color="auto"/>
        <w:right w:val="none" w:sz="0" w:space="0" w:color="auto"/>
      </w:divBdr>
      <w:divsChild>
        <w:div w:id="1104495282">
          <w:marLeft w:val="0"/>
          <w:marRight w:val="0"/>
          <w:marTop w:val="0"/>
          <w:marBottom w:val="0"/>
          <w:divBdr>
            <w:top w:val="none" w:sz="0" w:space="0" w:color="auto"/>
            <w:left w:val="none" w:sz="0" w:space="0" w:color="auto"/>
            <w:bottom w:val="none" w:sz="0" w:space="0" w:color="auto"/>
            <w:right w:val="none" w:sz="0" w:space="0" w:color="auto"/>
          </w:divBdr>
          <w:divsChild>
            <w:div w:id="1104495240">
              <w:marLeft w:val="0"/>
              <w:marRight w:val="0"/>
              <w:marTop w:val="0"/>
              <w:marBottom w:val="0"/>
              <w:divBdr>
                <w:top w:val="none" w:sz="0" w:space="0" w:color="auto"/>
                <w:left w:val="none" w:sz="0" w:space="0" w:color="auto"/>
                <w:bottom w:val="none" w:sz="0" w:space="0" w:color="auto"/>
                <w:right w:val="none" w:sz="0" w:space="0" w:color="auto"/>
              </w:divBdr>
              <w:divsChild>
                <w:div w:id="1104495215">
                  <w:marLeft w:val="0"/>
                  <w:marRight w:val="-6084"/>
                  <w:marTop w:val="0"/>
                  <w:marBottom w:val="0"/>
                  <w:divBdr>
                    <w:top w:val="none" w:sz="0" w:space="0" w:color="auto"/>
                    <w:left w:val="none" w:sz="0" w:space="0" w:color="auto"/>
                    <w:bottom w:val="none" w:sz="0" w:space="0" w:color="auto"/>
                    <w:right w:val="none" w:sz="0" w:space="0" w:color="auto"/>
                  </w:divBdr>
                  <w:divsChild>
                    <w:div w:id="1104495249">
                      <w:marLeft w:val="0"/>
                      <w:marRight w:val="5604"/>
                      <w:marTop w:val="0"/>
                      <w:marBottom w:val="0"/>
                      <w:divBdr>
                        <w:top w:val="none" w:sz="0" w:space="0" w:color="auto"/>
                        <w:left w:val="none" w:sz="0" w:space="0" w:color="auto"/>
                        <w:bottom w:val="none" w:sz="0" w:space="0" w:color="auto"/>
                        <w:right w:val="none" w:sz="0" w:space="0" w:color="auto"/>
                      </w:divBdr>
                      <w:divsChild>
                        <w:div w:id="1104495197">
                          <w:marLeft w:val="0"/>
                          <w:marRight w:val="0"/>
                          <w:marTop w:val="0"/>
                          <w:marBottom w:val="0"/>
                          <w:divBdr>
                            <w:top w:val="none" w:sz="0" w:space="0" w:color="auto"/>
                            <w:left w:val="none" w:sz="0" w:space="0" w:color="auto"/>
                            <w:bottom w:val="none" w:sz="0" w:space="0" w:color="auto"/>
                            <w:right w:val="none" w:sz="0" w:space="0" w:color="auto"/>
                          </w:divBdr>
                          <w:divsChild>
                            <w:div w:id="1104495194">
                              <w:marLeft w:val="0"/>
                              <w:marRight w:val="0"/>
                              <w:marTop w:val="0"/>
                              <w:marBottom w:val="0"/>
                              <w:divBdr>
                                <w:top w:val="none" w:sz="0" w:space="0" w:color="auto"/>
                                <w:left w:val="none" w:sz="0" w:space="0" w:color="auto"/>
                                <w:bottom w:val="none" w:sz="0" w:space="0" w:color="auto"/>
                                <w:right w:val="none" w:sz="0" w:space="0" w:color="auto"/>
                              </w:divBdr>
                              <w:divsChild>
                                <w:div w:id="11044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495228">
      <w:marLeft w:val="0"/>
      <w:marRight w:val="0"/>
      <w:marTop w:val="0"/>
      <w:marBottom w:val="0"/>
      <w:divBdr>
        <w:top w:val="none" w:sz="0" w:space="0" w:color="auto"/>
        <w:left w:val="none" w:sz="0" w:space="0" w:color="auto"/>
        <w:bottom w:val="none" w:sz="0" w:space="0" w:color="auto"/>
        <w:right w:val="none" w:sz="0" w:space="0" w:color="auto"/>
      </w:divBdr>
      <w:divsChild>
        <w:div w:id="1104495265">
          <w:marLeft w:val="0"/>
          <w:marRight w:val="0"/>
          <w:marTop w:val="0"/>
          <w:marBottom w:val="0"/>
          <w:divBdr>
            <w:top w:val="none" w:sz="0" w:space="0" w:color="auto"/>
            <w:left w:val="none" w:sz="0" w:space="0" w:color="auto"/>
            <w:bottom w:val="none" w:sz="0" w:space="0" w:color="auto"/>
            <w:right w:val="none" w:sz="0" w:space="0" w:color="auto"/>
          </w:divBdr>
          <w:divsChild>
            <w:div w:id="1104495235">
              <w:marLeft w:val="0"/>
              <w:marRight w:val="0"/>
              <w:marTop w:val="0"/>
              <w:marBottom w:val="0"/>
              <w:divBdr>
                <w:top w:val="none" w:sz="0" w:space="0" w:color="auto"/>
                <w:left w:val="none" w:sz="0" w:space="0" w:color="auto"/>
                <w:bottom w:val="none" w:sz="0" w:space="0" w:color="auto"/>
                <w:right w:val="none" w:sz="0" w:space="0" w:color="auto"/>
              </w:divBdr>
              <w:divsChild>
                <w:div w:id="1104495225">
                  <w:marLeft w:val="0"/>
                  <w:marRight w:val="-6084"/>
                  <w:marTop w:val="0"/>
                  <w:marBottom w:val="0"/>
                  <w:divBdr>
                    <w:top w:val="none" w:sz="0" w:space="0" w:color="auto"/>
                    <w:left w:val="none" w:sz="0" w:space="0" w:color="auto"/>
                    <w:bottom w:val="none" w:sz="0" w:space="0" w:color="auto"/>
                    <w:right w:val="none" w:sz="0" w:space="0" w:color="auto"/>
                  </w:divBdr>
                  <w:divsChild>
                    <w:div w:id="1104495196">
                      <w:marLeft w:val="0"/>
                      <w:marRight w:val="5604"/>
                      <w:marTop w:val="0"/>
                      <w:marBottom w:val="0"/>
                      <w:divBdr>
                        <w:top w:val="none" w:sz="0" w:space="0" w:color="auto"/>
                        <w:left w:val="none" w:sz="0" w:space="0" w:color="auto"/>
                        <w:bottom w:val="none" w:sz="0" w:space="0" w:color="auto"/>
                        <w:right w:val="none" w:sz="0" w:space="0" w:color="auto"/>
                      </w:divBdr>
                      <w:divsChild>
                        <w:div w:id="1104495285">
                          <w:marLeft w:val="0"/>
                          <w:marRight w:val="0"/>
                          <w:marTop w:val="0"/>
                          <w:marBottom w:val="0"/>
                          <w:divBdr>
                            <w:top w:val="none" w:sz="0" w:space="0" w:color="auto"/>
                            <w:left w:val="none" w:sz="0" w:space="0" w:color="auto"/>
                            <w:bottom w:val="none" w:sz="0" w:space="0" w:color="auto"/>
                            <w:right w:val="none" w:sz="0" w:space="0" w:color="auto"/>
                          </w:divBdr>
                          <w:divsChild>
                            <w:div w:id="1104495289">
                              <w:marLeft w:val="0"/>
                              <w:marRight w:val="0"/>
                              <w:marTop w:val="120"/>
                              <w:marBottom w:val="360"/>
                              <w:divBdr>
                                <w:top w:val="none" w:sz="0" w:space="0" w:color="auto"/>
                                <w:left w:val="none" w:sz="0" w:space="0" w:color="auto"/>
                                <w:bottom w:val="none" w:sz="0" w:space="0" w:color="auto"/>
                                <w:right w:val="none" w:sz="0" w:space="0" w:color="auto"/>
                              </w:divBdr>
                              <w:divsChild>
                                <w:div w:id="1104495206">
                                  <w:marLeft w:val="0"/>
                                  <w:marRight w:val="0"/>
                                  <w:marTop w:val="0"/>
                                  <w:marBottom w:val="0"/>
                                  <w:divBdr>
                                    <w:top w:val="none" w:sz="0" w:space="0" w:color="auto"/>
                                    <w:left w:val="none" w:sz="0" w:space="0" w:color="auto"/>
                                    <w:bottom w:val="none" w:sz="0" w:space="0" w:color="auto"/>
                                    <w:right w:val="none" w:sz="0" w:space="0" w:color="auto"/>
                                  </w:divBdr>
                                </w:div>
                                <w:div w:id="1104495217">
                                  <w:marLeft w:val="0"/>
                                  <w:marRight w:val="0"/>
                                  <w:marTop w:val="0"/>
                                  <w:marBottom w:val="0"/>
                                  <w:divBdr>
                                    <w:top w:val="none" w:sz="0" w:space="0" w:color="auto"/>
                                    <w:left w:val="none" w:sz="0" w:space="0" w:color="auto"/>
                                    <w:bottom w:val="none" w:sz="0" w:space="0" w:color="auto"/>
                                    <w:right w:val="none" w:sz="0" w:space="0" w:color="auto"/>
                                  </w:divBdr>
                                </w:div>
                                <w:div w:id="1104495231">
                                  <w:marLeft w:val="0"/>
                                  <w:marRight w:val="0"/>
                                  <w:marTop w:val="0"/>
                                  <w:marBottom w:val="0"/>
                                  <w:divBdr>
                                    <w:top w:val="none" w:sz="0" w:space="0" w:color="auto"/>
                                    <w:left w:val="none" w:sz="0" w:space="0" w:color="auto"/>
                                    <w:bottom w:val="none" w:sz="0" w:space="0" w:color="auto"/>
                                    <w:right w:val="none" w:sz="0" w:space="0" w:color="auto"/>
                                  </w:divBdr>
                                </w:div>
                                <w:div w:id="110449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5290">
                          <w:marLeft w:val="0"/>
                          <w:marRight w:val="0"/>
                          <w:marTop w:val="0"/>
                          <w:marBottom w:val="0"/>
                          <w:divBdr>
                            <w:top w:val="none" w:sz="0" w:space="0" w:color="auto"/>
                            <w:left w:val="none" w:sz="0" w:space="0" w:color="auto"/>
                            <w:bottom w:val="none" w:sz="0" w:space="0" w:color="auto"/>
                            <w:right w:val="none" w:sz="0" w:space="0" w:color="auto"/>
                          </w:divBdr>
                          <w:divsChild>
                            <w:div w:id="110449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495233">
      <w:marLeft w:val="0"/>
      <w:marRight w:val="0"/>
      <w:marTop w:val="0"/>
      <w:marBottom w:val="0"/>
      <w:divBdr>
        <w:top w:val="none" w:sz="0" w:space="0" w:color="auto"/>
        <w:left w:val="none" w:sz="0" w:space="0" w:color="auto"/>
        <w:bottom w:val="none" w:sz="0" w:space="0" w:color="auto"/>
        <w:right w:val="none" w:sz="0" w:space="0" w:color="auto"/>
      </w:divBdr>
      <w:divsChild>
        <w:div w:id="1104495244">
          <w:marLeft w:val="0"/>
          <w:marRight w:val="0"/>
          <w:marTop w:val="0"/>
          <w:marBottom w:val="0"/>
          <w:divBdr>
            <w:top w:val="none" w:sz="0" w:space="0" w:color="auto"/>
            <w:left w:val="none" w:sz="0" w:space="0" w:color="auto"/>
            <w:bottom w:val="none" w:sz="0" w:space="0" w:color="auto"/>
            <w:right w:val="none" w:sz="0" w:space="0" w:color="auto"/>
          </w:divBdr>
          <w:divsChild>
            <w:div w:id="1104495268">
              <w:marLeft w:val="0"/>
              <w:marRight w:val="0"/>
              <w:marTop w:val="0"/>
              <w:marBottom w:val="0"/>
              <w:divBdr>
                <w:top w:val="none" w:sz="0" w:space="0" w:color="auto"/>
                <w:left w:val="none" w:sz="0" w:space="0" w:color="auto"/>
                <w:bottom w:val="none" w:sz="0" w:space="0" w:color="auto"/>
                <w:right w:val="none" w:sz="0" w:space="0" w:color="auto"/>
              </w:divBdr>
              <w:divsChild>
                <w:div w:id="1104495224">
                  <w:marLeft w:val="0"/>
                  <w:marRight w:val="-6084"/>
                  <w:marTop w:val="0"/>
                  <w:marBottom w:val="0"/>
                  <w:divBdr>
                    <w:top w:val="none" w:sz="0" w:space="0" w:color="auto"/>
                    <w:left w:val="none" w:sz="0" w:space="0" w:color="auto"/>
                    <w:bottom w:val="none" w:sz="0" w:space="0" w:color="auto"/>
                    <w:right w:val="none" w:sz="0" w:space="0" w:color="auto"/>
                  </w:divBdr>
                  <w:divsChild>
                    <w:div w:id="1104495255">
                      <w:marLeft w:val="0"/>
                      <w:marRight w:val="5604"/>
                      <w:marTop w:val="0"/>
                      <w:marBottom w:val="0"/>
                      <w:divBdr>
                        <w:top w:val="none" w:sz="0" w:space="0" w:color="auto"/>
                        <w:left w:val="none" w:sz="0" w:space="0" w:color="auto"/>
                        <w:bottom w:val="none" w:sz="0" w:space="0" w:color="auto"/>
                        <w:right w:val="none" w:sz="0" w:space="0" w:color="auto"/>
                      </w:divBdr>
                      <w:divsChild>
                        <w:div w:id="1104495269">
                          <w:marLeft w:val="0"/>
                          <w:marRight w:val="0"/>
                          <w:marTop w:val="0"/>
                          <w:marBottom w:val="0"/>
                          <w:divBdr>
                            <w:top w:val="none" w:sz="0" w:space="0" w:color="auto"/>
                            <w:left w:val="none" w:sz="0" w:space="0" w:color="auto"/>
                            <w:bottom w:val="none" w:sz="0" w:space="0" w:color="auto"/>
                            <w:right w:val="none" w:sz="0" w:space="0" w:color="auto"/>
                          </w:divBdr>
                          <w:divsChild>
                            <w:div w:id="1104495200">
                              <w:marLeft w:val="0"/>
                              <w:marRight w:val="0"/>
                              <w:marTop w:val="120"/>
                              <w:marBottom w:val="360"/>
                              <w:divBdr>
                                <w:top w:val="none" w:sz="0" w:space="0" w:color="auto"/>
                                <w:left w:val="none" w:sz="0" w:space="0" w:color="auto"/>
                                <w:bottom w:val="none" w:sz="0" w:space="0" w:color="auto"/>
                                <w:right w:val="none" w:sz="0" w:space="0" w:color="auto"/>
                              </w:divBdr>
                              <w:divsChild>
                                <w:div w:id="11044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495245">
      <w:marLeft w:val="0"/>
      <w:marRight w:val="0"/>
      <w:marTop w:val="0"/>
      <w:marBottom w:val="0"/>
      <w:divBdr>
        <w:top w:val="none" w:sz="0" w:space="0" w:color="auto"/>
        <w:left w:val="none" w:sz="0" w:space="0" w:color="auto"/>
        <w:bottom w:val="none" w:sz="0" w:space="0" w:color="auto"/>
        <w:right w:val="none" w:sz="0" w:space="0" w:color="auto"/>
      </w:divBdr>
      <w:divsChild>
        <w:div w:id="1104495241">
          <w:marLeft w:val="300"/>
          <w:marRight w:val="300"/>
          <w:marTop w:val="0"/>
          <w:marBottom w:val="0"/>
          <w:divBdr>
            <w:top w:val="none" w:sz="0" w:space="0" w:color="auto"/>
            <w:left w:val="none" w:sz="0" w:space="0" w:color="auto"/>
            <w:bottom w:val="none" w:sz="0" w:space="0" w:color="auto"/>
            <w:right w:val="none" w:sz="0" w:space="0" w:color="auto"/>
          </w:divBdr>
          <w:divsChild>
            <w:div w:id="11044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5246">
      <w:marLeft w:val="0"/>
      <w:marRight w:val="0"/>
      <w:marTop w:val="0"/>
      <w:marBottom w:val="0"/>
      <w:divBdr>
        <w:top w:val="none" w:sz="0" w:space="0" w:color="auto"/>
        <w:left w:val="none" w:sz="0" w:space="0" w:color="auto"/>
        <w:bottom w:val="none" w:sz="0" w:space="0" w:color="auto"/>
        <w:right w:val="none" w:sz="0" w:space="0" w:color="auto"/>
      </w:divBdr>
      <w:divsChild>
        <w:div w:id="1104495230">
          <w:marLeft w:val="0"/>
          <w:marRight w:val="0"/>
          <w:marTop w:val="0"/>
          <w:marBottom w:val="0"/>
          <w:divBdr>
            <w:top w:val="none" w:sz="0" w:space="0" w:color="auto"/>
            <w:left w:val="none" w:sz="0" w:space="0" w:color="auto"/>
            <w:bottom w:val="none" w:sz="0" w:space="0" w:color="auto"/>
            <w:right w:val="none" w:sz="0" w:space="0" w:color="auto"/>
          </w:divBdr>
          <w:divsChild>
            <w:div w:id="1104495293">
              <w:marLeft w:val="0"/>
              <w:marRight w:val="0"/>
              <w:marTop w:val="0"/>
              <w:marBottom w:val="0"/>
              <w:divBdr>
                <w:top w:val="none" w:sz="0" w:space="0" w:color="auto"/>
                <w:left w:val="none" w:sz="0" w:space="0" w:color="auto"/>
                <w:bottom w:val="none" w:sz="0" w:space="0" w:color="auto"/>
                <w:right w:val="none" w:sz="0" w:space="0" w:color="auto"/>
              </w:divBdr>
              <w:divsChild>
                <w:div w:id="1104495234">
                  <w:marLeft w:val="0"/>
                  <w:marRight w:val="-6084"/>
                  <w:marTop w:val="0"/>
                  <w:marBottom w:val="0"/>
                  <w:divBdr>
                    <w:top w:val="none" w:sz="0" w:space="0" w:color="auto"/>
                    <w:left w:val="none" w:sz="0" w:space="0" w:color="auto"/>
                    <w:bottom w:val="none" w:sz="0" w:space="0" w:color="auto"/>
                    <w:right w:val="none" w:sz="0" w:space="0" w:color="auto"/>
                  </w:divBdr>
                  <w:divsChild>
                    <w:div w:id="1104495219">
                      <w:marLeft w:val="0"/>
                      <w:marRight w:val="5604"/>
                      <w:marTop w:val="0"/>
                      <w:marBottom w:val="0"/>
                      <w:divBdr>
                        <w:top w:val="none" w:sz="0" w:space="0" w:color="auto"/>
                        <w:left w:val="none" w:sz="0" w:space="0" w:color="auto"/>
                        <w:bottom w:val="none" w:sz="0" w:space="0" w:color="auto"/>
                        <w:right w:val="none" w:sz="0" w:space="0" w:color="auto"/>
                      </w:divBdr>
                      <w:divsChild>
                        <w:div w:id="1104495229">
                          <w:marLeft w:val="0"/>
                          <w:marRight w:val="0"/>
                          <w:marTop w:val="0"/>
                          <w:marBottom w:val="0"/>
                          <w:divBdr>
                            <w:top w:val="none" w:sz="0" w:space="0" w:color="auto"/>
                            <w:left w:val="none" w:sz="0" w:space="0" w:color="auto"/>
                            <w:bottom w:val="none" w:sz="0" w:space="0" w:color="auto"/>
                            <w:right w:val="none" w:sz="0" w:space="0" w:color="auto"/>
                          </w:divBdr>
                          <w:divsChild>
                            <w:div w:id="1104495252">
                              <w:marLeft w:val="0"/>
                              <w:marRight w:val="0"/>
                              <w:marTop w:val="0"/>
                              <w:marBottom w:val="0"/>
                              <w:divBdr>
                                <w:top w:val="none" w:sz="0" w:space="0" w:color="auto"/>
                                <w:left w:val="none" w:sz="0" w:space="0" w:color="auto"/>
                                <w:bottom w:val="none" w:sz="0" w:space="0" w:color="auto"/>
                                <w:right w:val="none" w:sz="0" w:space="0" w:color="auto"/>
                              </w:divBdr>
                              <w:divsChild>
                                <w:div w:id="11044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495247">
      <w:marLeft w:val="0"/>
      <w:marRight w:val="0"/>
      <w:marTop w:val="0"/>
      <w:marBottom w:val="0"/>
      <w:divBdr>
        <w:top w:val="none" w:sz="0" w:space="0" w:color="auto"/>
        <w:left w:val="none" w:sz="0" w:space="0" w:color="auto"/>
        <w:bottom w:val="none" w:sz="0" w:space="0" w:color="auto"/>
        <w:right w:val="none" w:sz="0" w:space="0" w:color="auto"/>
      </w:divBdr>
      <w:divsChild>
        <w:div w:id="1104495263">
          <w:marLeft w:val="300"/>
          <w:marRight w:val="300"/>
          <w:marTop w:val="0"/>
          <w:marBottom w:val="0"/>
          <w:divBdr>
            <w:top w:val="none" w:sz="0" w:space="0" w:color="auto"/>
            <w:left w:val="none" w:sz="0" w:space="0" w:color="auto"/>
            <w:bottom w:val="none" w:sz="0" w:space="0" w:color="auto"/>
            <w:right w:val="none" w:sz="0" w:space="0" w:color="auto"/>
          </w:divBdr>
          <w:divsChild>
            <w:div w:id="11044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5260">
      <w:marLeft w:val="0"/>
      <w:marRight w:val="0"/>
      <w:marTop w:val="0"/>
      <w:marBottom w:val="0"/>
      <w:divBdr>
        <w:top w:val="none" w:sz="0" w:space="0" w:color="auto"/>
        <w:left w:val="none" w:sz="0" w:space="0" w:color="auto"/>
        <w:bottom w:val="none" w:sz="0" w:space="0" w:color="auto"/>
        <w:right w:val="none" w:sz="0" w:space="0" w:color="auto"/>
      </w:divBdr>
      <w:divsChild>
        <w:div w:id="1104495281">
          <w:marLeft w:val="0"/>
          <w:marRight w:val="0"/>
          <w:marTop w:val="0"/>
          <w:marBottom w:val="0"/>
          <w:divBdr>
            <w:top w:val="none" w:sz="0" w:space="0" w:color="auto"/>
            <w:left w:val="none" w:sz="0" w:space="0" w:color="auto"/>
            <w:bottom w:val="none" w:sz="0" w:space="0" w:color="auto"/>
            <w:right w:val="none" w:sz="0" w:space="0" w:color="auto"/>
          </w:divBdr>
          <w:divsChild>
            <w:div w:id="1104495212">
              <w:marLeft w:val="0"/>
              <w:marRight w:val="0"/>
              <w:marTop w:val="0"/>
              <w:marBottom w:val="0"/>
              <w:divBdr>
                <w:top w:val="none" w:sz="0" w:space="0" w:color="auto"/>
                <w:left w:val="none" w:sz="0" w:space="0" w:color="auto"/>
                <w:bottom w:val="none" w:sz="0" w:space="0" w:color="auto"/>
                <w:right w:val="none" w:sz="0" w:space="0" w:color="auto"/>
              </w:divBdr>
              <w:divsChild>
                <w:div w:id="1104495292">
                  <w:marLeft w:val="0"/>
                  <w:marRight w:val="-6084"/>
                  <w:marTop w:val="0"/>
                  <w:marBottom w:val="0"/>
                  <w:divBdr>
                    <w:top w:val="none" w:sz="0" w:space="0" w:color="auto"/>
                    <w:left w:val="none" w:sz="0" w:space="0" w:color="auto"/>
                    <w:bottom w:val="none" w:sz="0" w:space="0" w:color="auto"/>
                    <w:right w:val="none" w:sz="0" w:space="0" w:color="auto"/>
                  </w:divBdr>
                  <w:divsChild>
                    <w:div w:id="1104495226">
                      <w:marLeft w:val="0"/>
                      <w:marRight w:val="5604"/>
                      <w:marTop w:val="0"/>
                      <w:marBottom w:val="0"/>
                      <w:divBdr>
                        <w:top w:val="none" w:sz="0" w:space="0" w:color="auto"/>
                        <w:left w:val="none" w:sz="0" w:space="0" w:color="auto"/>
                        <w:bottom w:val="none" w:sz="0" w:space="0" w:color="auto"/>
                        <w:right w:val="none" w:sz="0" w:space="0" w:color="auto"/>
                      </w:divBdr>
                      <w:divsChild>
                        <w:div w:id="1104495286">
                          <w:marLeft w:val="0"/>
                          <w:marRight w:val="0"/>
                          <w:marTop w:val="0"/>
                          <w:marBottom w:val="0"/>
                          <w:divBdr>
                            <w:top w:val="none" w:sz="0" w:space="0" w:color="auto"/>
                            <w:left w:val="none" w:sz="0" w:space="0" w:color="auto"/>
                            <w:bottom w:val="none" w:sz="0" w:space="0" w:color="auto"/>
                            <w:right w:val="none" w:sz="0" w:space="0" w:color="auto"/>
                          </w:divBdr>
                          <w:divsChild>
                            <w:div w:id="1104495239">
                              <w:marLeft w:val="0"/>
                              <w:marRight w:val="0"/>
                              <w:marTop w:val="120"/>
                              <w:marBottom w:val="360"/>
                              <w:divBdr>
                                <w:top w:val="none" w:sz="0" w:space="0" w:color="auto"/>
                                <w:left w:val="none" w:sz="0" w:space="0" w:color="auto"/>
                                <w:bottom w:val="none" w:sz="0" w:space="0" w:color="auto"/>
                                <w:right w:val="none" w:sz="0" w:space="0" w:color="auto"/>
                              </w:divBdr>
                              <w:divsChild>
                                <w:div w:id="1104495218">
                                  <w:marLeft w:val="0"/>
                                  <w:marRight w:val="0"/>
                                  <w:marTop w:val="0"/>
                                  <w:marBottom w:val="0"/>
                                  <w:divBdr>
                                    <w:top w:val="none" w:sz="0" w:space="0" w:color="auto"/>
                                    <w:left w:val="none" w:sz="0" w:space="0" w:color="auto"/>
                                    <w:bottom w:val="none" w:sz="0" w:space="0" w:color="auto"/>
                                    <w:right w:val="none" w:sz="0" w:space="0" w:color="auto"/>
                                  </w:divBdr>
                                </w:div>
                                <w:div w:id="1104495227">
                                  <w:marLeft w:val="0"/>
                                  <w:marRight w:val="0"/>
                                  <w:marTop w:val="0"/>
                                  <w:marBottom w:val="0"/>
                                  <w:divBdr>
                                    <w:top w:val="none" w:sz="0" w:space="0" w:color="auto"/>
                                    <w:left w:val="none" w:sz="0" w:space="0" w:color="auto"/>
                                    <w:bottom w:val="none" w:sz="0" w:space="0" w:color="auto"/>
                                    <w:right w:val="none" w:sz="0" w:space="0" w:color="auto"/>
                                  </w:divBdr>
                                </w:div>
                                <w:div w:id="1104495248">
                                  <w:marLeft w:val="0"/>
                                  <w:marRight w:val="0"/>
                                  <w:marTop w:val="0"/>
                                  <w:marBottom w:val="0"/>
                                  <w:divBdr>
                                    <w:top w:val="none" w:sz="0" w:space="0" w:color="auto"/>
                                    <w:left w:val="none" w:sz="0" w:space="0" w:color="auto"/>
                                    <w:bottom w:val="none" w:sz="0" w:space="0" w:color="auto"/>
                                    <w:right w:val="none" w:sz="0" w:space="0" w:color="auto"/>
                                  </w:divBdr>
                                </w:div>
                                <w:div w:id="11044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495267">
      <w:marLeft w:val="0"/>
      <w:marRight w:val="0"/>
      <w:marTop w:val="0"/>
      <w:marBottom w:val="0"/>
      <w:divBdr>
        <w:top w:val="none" w:sz="0" w:space="0" w:color="auto"/>
        <w:left w:val="none" w:sz="0" w:space="0" w:color="auto"/>
        <w:bottom w:val="none" w:sz="0" w:space="0" w:color="auto"/>
        <w:right w:val="none" w:sz="0" w:space="0" w:color="auto"/>
      </w:divBdr>
      <w:divsChild>
        <w:div w:id="1104495274">
          <w:marLeft w:val="0"/>
          <w:marRight w:val="0"/>
          <w:marTop w:val="0"/>
          <w:marBottom w:val="0"/>
          <w:divBdr>
            <w:top w:val="none" w:sz="0" w:space="0" w:color="auto"/>
            <w:left w:val="none" w:sz="0" w:space="0" w:color="auto"/>
            <w:bottom w:val="none" w:sz="0" w:space="0" w:color="auto"/>
            <w:right w:val="none" w:sz="0" w:space="0" w:color="auto"/>
          </w:divBdr>
          <w:divsChild>
            <w:div w:id="1104495295">
              <w:marLeft w:val="0"/>
              <w:marRight w:val="0"/>
              <w:marTop w:val="0"/>
              <w:marBottom w:val="0"/>
              <w:divBdr>
                <w:top w:val="none" w:sz="0" w:space="0" w:color="auto"/>
                <w:left w:val="none" w:sz="0" w:space="0" w:color="auto"/>
                <w:bottom w:val="none" w:sz="0" w:space="0" w:color="auto"/>
                <w:right w:val="none" w:sz="0" w:space="0" w:color="auto"/>
              </w:divBdr>
              <w:divsChild>
                <w:div w:id="1104495298">
                  <w:marLeft w:val="0"/>
                  <w:marRight w:val="-6084"/>
                  <w:marTop w:val="0"/>
                  <w:marBottom w:val="0"/>
                  <w:divBdr>
                    <w:top w:val="none" w:sz="0" w:space="0" w:color="auto"/>
                    <w:left w:val="none" w:sz="0" w:space="0" w:color="auto"/>
                    <w:bottom w:val="none" w:sz="0" w:space="0" w:color="auto"/>
                    <w:right w:val="none" w:sz="0" w:space="0" w:color="auto"/>
                  </w:divBdr>
                  <w:divsChild>
                    <w:div w:id="1104495192">
                      <w:marLeft w:val="0"/>
                      <w:marRight w:val="5604"/>
                      <w:marTop w:val="0"/>
                      <w:marBottom w:val="0"/>
                      <w:divBdr>
                        <w:top w:val="none" w:sz="0" w:space="0" w:color="auto"/>
                        <w:left w:val="none" w:sz="0" w:space="0" w:color="auto"/>
                        <w:bottom w:val="none" w:sz="0" w:space="0" w:color="auto"/>
                        <w:right w:val="none" w:sz="0" w:space="0" w:color="auto"/>
                      </w:divBdr>
                      <w:divsChild>
                        <w:div w:id="1104495272">
                          <w:marLeft w:val="0"/>
                          <w:marRight w:val="0"/>
                          <w:marTop w:val="0"/>
                          <w:marBottom w:val="0"/>
                          <w:divBdr>
                            <w:top w:val="none" w:sz="0" w:space="0" w:color="auto"/>
                            <w:left w:val="none" w:sz="0" w:space="0" w:color="auto"/>
                            <w:bottom w:val="none" w:sz="0" w:space="0" w:color="auto"/>
                            <w:right w:val="none" w:sz="0" w:space="0" w:color="auto"/>
                          </w:divBdr>
                          <w:divsChild>
                            <w:div w:id="1104495284">
                              <w:marLeft w:val="0"/>
                              <w:marRight w:val="0"/>
                              <w:marTop w:val="120"/>
                              <w:marBottom w:val="360"/>
                              <w:divBdr>
                                <w:top w:val="none" w:sz="0" w:space="0" w:color="auto"/>
                                <w:left w:val="none" w:sz="0" w:space="0" w:color="auto"/>
                                <w:bottom w:val="none" w:sz="0" w:space="0" w:color="auto"/>
                                <w:right w:val="none" w:sz="0" w:space="0" w:color="auto"/>
                              </w:divBdr>
                              <w:divsChild>
                                <w:div w:id="1104495188">
                                  <w:marLeft w:val="0"/>
                                  <w:marRight w:val="0"/>
                                  <w:marTop w:val="0"/>
                                  <w:marBottom w:val="0"/>
                                  <w:divBdr>
                                    <w:top w:val="none" w:sz="0" w:space="0" w:color="auto"/>
                                    <w:left w:val="none" w:sz="0" w:space="0" w:color="auto"/>
                                    <w:bottom w:val="none" w:sz="0" w:space="0" w:color="auto"/>
                                    <w:right w:val="none" w:sz="0" w:space="0" w:color="auto"/>
                                  </w:divBdr>
                                </w:div>
                                <w:div w:id="1104495205">
                                  <w:marLeft w:val="0"/>
                                  <w:marRight w:val="0"/>
                                  <w:marTop w:val="0"/>
                                  <w:marBottom w:val="0"/>
                                  <w:divBdr>
                                    <w:top w:val="none" w:sz="0" w:space="0" w:color="auto"/>
                                    <w:left w:val="none" w:sz="0" w:space="0" w:color="auto"/>
                                    <w:bottom w:val="none" w:sz="0" w:space="0" w:color="auto"/>
                                    <w:right w:val="none" w:sz="0" w:space="0" w:color="auto"/>
                                  </w:divBdr>
                                </w:div>
                                <w:div w:id="1104495232">
                                  <w:marLeft w:val="0"/>
                                  <w:marRight w:val="0"/>
                                  <w:marTop w:val="0"/>
                                  <w:marBottom w:val="0"/>
                                  <w:divBdr>
                                    <w:top w:val="none" w:sz="0" w:space="0" w:color="auto"/>
                                    <w:left w:val="none" w:sz="0" w:space="0" w:color="auto"/>
                                    <w:bottom w:val="none" w:sz="0" w:space="0" w:color="auto"/>
                                    <w:right w:val="none" w:sz="0" w:space="0" w:color="auto"/>
                                  </w:divBdr>
                                </w:div>
                                <w:div w:id="11044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495271">
      <w:marLeft w:val="0"/>
      <w:marRight w:val="0"/>
      <w:marTop w:val="0"/>
      <w:marBottom w:val="0"/>
      <w:divBdr>
        <w:top w:val="none" w:sz="0" w:space="0" w:color="auto"/>
        <w:left w:val="none" w:sz="0" w:space="0" w:color="auto"/>
        <w:bottom w:val="none" w:sz="0" w:space="0" w:color="auto"/>
        <w:right w:val="none" w:sz="0" w:space="0" w:color="auto"/>
      </w:divBdr>
      <w:divsChild>
        <w:div w:id="1104495277">
          <w:marLeft w:val="0"/>
          <w:marRight w:val="0"/>
          <w:marTop w:val="0"/>
          <w:marBottom w:val="0"/>
          <w:divBdr>
            <w:top w:val="none" w:sz="0" w:space="0" w:color="auto"/>
            <w:left w:val="none" w:sz="0" w:space="0" w:color="auto"/>
            <w:bottom w:val="none" w:sz="0" w:space="0" w:color="auto"/>
            <w:right w:val="none" w:sz="0" w:space="0" w:color="auto"/>
          </w:divBdr>
          <w:divsChild>
            <w:div w:id="1104495191">
              <w:marLeft w:val="0"/>
              <w:marRight w:val="0"/>
              <w:marTop w:val="0"/>
              <w:marBottom w:val="0"/>
              <w:divBdr>
                <w:top w:val="none" w:sz="0" w:space="0" w:color="auto"/>
                <w:left w:val="none" w:sz="0" w:space="0" w:color="auto"/>
                <w:bottom w:val="none" w:sz="0" w:space="0" w:color="auto"/>
                <w:right w:val="none" w:sz="0" w:space="0" w:color="auto"/>
              </w:divBdr>
              <w:divsChild>
                <w:div w:id="1104495294">
                  <w:marLeft w:val="0"/>
                  <w:marRight w:val="-6084"/>
                  <w:marTop w:val="0"/>
                  <w:marBottom w:val="0"/>
                  <w:divBdr>
                    <w:top w:val="none" w:sz="0" w:space="0" w:color="auto"/>
                    <w:left w:val="none" w:sz="0" w:space="0" w:color="auto"/>
                    <w:bottom w:val="none" w:sz="0" w:space="0" w:color="auto"/>
                    <w:right w:val="none" w:sz="0" w:space="0" w:color="auto"/>
                  </w:divBdr>
                  <w:divsChild>
                    <w:div w:id="1104495209">
                      <w:marLeft w:val="0"/>
                      <w:marRight w:val="5604"/>
                      <w:marTop w:val="0"/>
                      <w:marBottom w:val="0"/>
                      <w:divBdr>
                        <w:top w:val="none" w:sz="0" w:space="0" w:color="auto"/>
                        <w:left w:val="none" w:sz="0" w:space="0" w:color="auto"/>
                        <w:bottom w:val="none" w:sz="0" w:space="0" w:color="auto"/>
                        <w:right w:val="none" w:sz="0" w:space="0" w:color="auto"/>
                      </w:divBdr>
                      <w:divsChild>
                        <w:div w:id="1104495236">
                          <w:marLeft w:val="0"/>
                          <w:marRight w:val="0"/>
                          <w:marTop w:val="0"/>
                          <w:marBottom w:val="0"/>
                          <w:divBdr>
                            <w:top w:val="none" w:sz="0" w:space="0" w:color="auto"/>
                            <w:left w:val="none" w:sz="0" w:space="0" w:color="auto"/>
                            <w:bottom w:val="none" w:sz="0" w:space="0" w:color="auto"/>
                            <w:right w:val="none" w:sz="0" w:space="0" w:color="auto"/>
                          </w:divBdr>
                          <w:divsChild>
                            <w:div w:id="1104495287">
                              <w:marLeft w:val="0"/>
                              <w:marRight w:val="0"/>
                              <w:marTop w:val="120"/>
                              <w:marBottom w:val="360"/>
                              <w:divBdr>
                                <w:top w:val="none" w:sz="0" w:space="0" w:color="auto"/>
                                <w:left w:val="none" w:sz="0" w:space="0" w:color="auto"/>
                                <w:bottom w:val="none" w:sz="0" w:space="0" w:color="auto"/>
                                <w:right w:val="none" w:sz="0" w:space="0" w:color="auto"/>
                              </w:divBdr>
                              <w:divsChild>
                                <w:div w:id="1104495202">
                                  <w:marLeft w:val="0"/>
                                  <w:marRight w:val="0"/>
                                  <w:marTop w:val="0"/>
                                  <w:marBottom w:val="0"/>
                                  <w:divBdr>
                                    <w:top w:val="none" w:sz="0" w:space="0" w:color="auto"/>
                                    <w:left w:val="none" w:sz="0" w:space="0" w:color="auto"/>
                                    <w:bottom w:val="none" w:sz="0" w:space="0" w:color="auto"/>
                                    <w:right w:val="none" w:sz="0" w:space="0" w:color="auto"/>
                                  </w:divBdr>
                                </w:div>
                                <w:div w:id="1104495213">
                                  <w:marLeft w:val="0"/>
                                  <w:marRight w:val="0"/>
                                  <w:marTop w:val="0"/>
                                  <w:marBottom w:val="0"/>
                                  <w:divBdr>
                                    <w:top w:val="none" w:sz="0" w:space="0" w:color="auto"/>
                                    <w:left w:val="none" w:sz="0" w:space="0" w:color="auto"/>
                                    <w:bottom w:val="none" w:sz="0" w:space="0" w:color="auto"/>
                                    <w:right w:val="none" w:sz="0" w:space="0" w:color="auto"/>
                                  </w:divBdr>
                                </w:div>
                                <w:div w:id="1104495270">
                                  <w:marLeft w:val="0"/>
                                  <w:marRight w:val="0"/>
                                  <w:marTop w:val="0"/>
                                  <w:marBottom w:val="0"/>
                                  <w:divBdr>
                                    <w:top w:val="none" w:sz="0" w:space="0" w:color="auto"/>
                                    <w:left w:val="none" w:sz="0" w:space="0" w:color="auto"/>
                                    <w:bottom w:val="none" w:sz="0" w:space="0" w:color="auto"/>
                                    <w:right w:val="none" w:sz="0" w:space="0" w:color="auto"/>
                                  </w:divBdr>
                                </w:div>
                                <w:div w:id="11044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495278">
      <w:marLeft w:val="0"/>
      <w:marRight w:val="0"/>
      <w:marTop w:val="0"/>
      <w:marBottom w:val="0"/>
      <w:divBdr>
        <w:top w:val="none" w:sz="0" w:space="0" w:color="auto"/>
        <w:left w:val="none" w:sz="0" w:space="0" w:color="auto"/>
        <w:bottom w:val="none" w:sz="0" w:space="0" w:color="auto"/>
        <w:right w:val="none" w:sz="0" w:space="0" w:color="auto"/>
      </w:divBdr>
      <w:divsChild>
        <w:div w:id="1104495207">
          <w:marLeft w:val="0"/>
          <w:marRight w:val="0"/>
          <w:marTop w:val="0"/>
          <w:marBottom w:val="0"/>
          <w:divBdr>
            <w:top w:val="none" w:sz="0" w:space="0" w:color="auto"/>
            <w:left w:val="none" w:sz="0" w:space="0" w:color="auto"/>
            <w:bottom w:val="none" w:sz="0" w:space="0" w:color="auto"/>
            <w:right w:val="none" w:sz="0" w:space="0" w:color="auto"/>
          </w:divBdr>
          <w:divsChild>
            <w:div w:id="1104495243">
              <w:marLeft w:val="0"/>
              <w:marRight w:val="0"/>
              <w:marTop w:val="0"/>
              <w:marBottom w:val="0"/>
              <w:divBdr>
                <w:top w:val="none" w:sz="0" w:space="0" w:color="auto"/>
                <w:left w:val="none" w:sz="0" w:space="0" w:color="auto"/>
                <w:bottom w:val="none" w:sz="0" w:space="0" w:color="auto"/>
                <w:right w:val="none" w:sz="0" w:space="0" w:color="auto"/>
              </w:divBdr>
              <w:divsChild>
                <w:div w:id="1104495275">
                  <w:marLeft w:val="0"/>
                  <w:marRight w:val="-6084"/>
                  <w:marTop w:val="0"/>
                  <w:marBottom w:val="0"/>
                  <w:divBdr>
                    <w:top w:val="none" w:sz="0" w:space="0" w:color="auto"/>
                    <w:left w:val="none" w:sz="0" w:space="0" w:color="auto"/>
                    <w:bottom w:val="none" w:sz="0" w:space="0" w:color="auto"/>
                    <w:right w:val="none" w:sz="0" w:space="0" w:color="auto"/>
                  </w:divBdr>
                  <w:divsChild>
                    <w:div w:id="1104495276">
                      <w:marLeft w:val="0"/>
                      <w:marRight w:val="5604"/>
                      <w:marTop w:val="0"/>
                      <w:marBottom w:val="0"/>
                      <w:divBdr>
                        <w:top w:val="none" w:sz="0" w:space="0" w:color="auto"/>
                        <w:left w:val="none" w:sz="0" w:space="0" w:color="auto"/>
                        <w:bottom w:val="none" w:sz="0" w:space="0" w:color="auto"/>
                        <w:right w:val="none" w:sz="0" w:space="0" w:color="auto"/>
                      </w:divBdr>
                      <w:divsChild>
                        <w:div w:id="1104495195">
                          <w:marLeft w:val="0"/>
                          <w:marRight w:val="0"/>
                          <w:marTop w:val="0"/>
                          <w:marBottom w:val="0"/>
                          <w:divBdr>
                            <w:top w:val="none" w:sz="0" w:space="0" w:color="auto"/>
                            <w:left w:val="none" w:sz="0" w:space="0" w:color="auto"/>
                            <w:bottom w:val="none" w:sz="0" w:space="0" w:color="auto"/>
                            <w:right w:val="none" w:sz="0" w:space="0" w:color="auto"/>
                          </w:divBdr>
                          <w:divsChild>
                            <w:div w:id="1104495261">
                              <w:marLeft w:val="0"/>
                              <w:marRight w:val="0"/>
                              <w:marTop w:val="120"/>
                              <w:marBottom w:val="360"/>
                              <w:divBdr>
                                <w:top w:val="none" w:sz="0" w:space="0" w:color="auto"/>
                                <w:left w:val="none" w:sz="0" w:space="0" w:color="auto"/>
                                <w:bottom w:val="none" w:sz="0" w:space="0" w:color="auto"/>
                                <w:right w:val="none" w:sz="0" w:space="0" w:color="auto"/>
                              </w:divBdr>
                              <w:divsChild>
                                <w:div w:id="1104495189">
                                  <w:marLeft w:val="0"/>
                                  <w:marRight w:val="0"/>
                                  <w:marTop w:val="0"/>
                                  <w:marBottom w:val="0"/>
                                  <w:divBdr>
                                    <w:top w:val="none" w:sz="0" w:space="0" w:color="auto"/>
                                    <w:left w:val="none" w:sz="0" w:space="0" w:color="auto"/>
                                    <w:bottom w:val="none" w:sz="0" w:space="0" w:color="auto"/>
                                    <w:right w:val="none" w:sz="0" w:space="0" w:color="auto"/>
                                  </w:divBdr>
                                </w:div>
                                <w:div w:id="1104495190">
                                  <w:marLeft w:val="0"/>
                                  <w:marRight w:val="0"/>
                                  <w:marTop w:val="0"/>
                                  <w:marBottom w:val="0"/>
                                  <w:divBdr>
                                    <w:top w:val="none" w:sz="0" w:space="0" w:color="auto"/>
                                    <w:left w:val="none" w:sz="0" w:space="0" w:color="auto"/>
                                    <w:bottom w:val="none" w:sz="0" w:space="0" w:color="auto"/>
                                    <w:right w:val="none" w:sz="0" w:space="0" w:color="auto"/>
                                  </w:divBdr>
                                </w:div>
                                <w:div w:id="1104495216">
                                  <w:marLeft w:val="0"/>
                                  <w:marRight w:val="0"/>
                                  <w:marTop w:val="0"/>
                                  <w:marBottom w:val="0"/>
                                  <w:divBdr>
                                    <w:top w:val="none" w:sz="0" w:space="0" w:color="auto"/>
                                    <w:left w:val="none" w:sz="0" w:space="0" w:color="auto"/>
                                    <w:bottom w:val="none" w:sz="0" w:space="0" w:color="auto"/>
                                    <w:right w:val="none" w:sz="0" w:space="0" w:color="auto"/>
                                  </w:divBdr>
                                </w:div>
                                <w:div w:id="11044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495288">
      <w:marLeft w:val="0"/>
      <w:marRight w:val="0"/>
      <w:marTop w:val="150"/>
      <w:marBottom w:val="0"/>
      <w:divBdr>
        <w:top w:val="none" w:sz="0" w:space="0" w:color="auto"/>
        <w:left w:val="none" w:sz="0" w:space="0" w:color="auto"/>
        <w:bottom w:val="none" w:sz="0" w:space="0" w:color="auto"/>
        <w:right w:val="none" w:sz="0" w:space="0" w:color="auto"/>
      </w:divBdr>
      <w:divsChild>
        <w:div w:id="1104495251">
          <w:marLeft w:val="0"/>
          <w:marRight w:val="0"/>
          <w:marTop w:val="0"/>
          <w:marBottom w:val="0"/>
          <w:divBdr>
            <w:top w:val="none" w:sz="0" w:space="0" w:color="auto"/>
            <w:left w:val="none" w:sz="0" w:space="0" w:color="auto"/>
            <w:bottom w:val="none" w:sz="0" w:space="0" w:color="auto"/>
            <w:right w:val="none" w:sz="0" w:space="0" w:color="auto"/>
          </w:divBdr>
          <w:divsChild>
            <w:div w:id="1104495250">
              <w:marLeft w:val="0"/>
              <w:marRight w:val="0"/>
              <w:marTop w:val="0"/>
              <w:marBottom w:val="0"/>
              <w:divBdr>
                <w:top w:val="none" w:sz="0" w:space="0" w:color="auto"/>
                <w:left w:val="none" w:sz="0" w:space="0" w:color="auto"/>
                <w:bottom w:val="none" w:sz="0" w:space="0" w:color="auto"/>
                <w:right w:val="none" w:sz="0" w:space="0" w:color="auto"/>
              </w:divBdr>
              <w:divsChild>
                <w:div w:id="1104495283">
                  <w:marLeft w:val="0"/>
                  <w:marRight w:val="0"/>
                  <w:marTop w:val="0"/>
                  <w:marBottom w:val="0"/>
                  <w:divBdr>
                    <w:top w:val="none" w:sz="0" w:space="0" w:color="auto"/>
                    <w:left w:val="none" w:sz="0" w:space="0" w:color="auto"/>
                    <w:bottom w:val="none" w:sz="0" w:space="0" w:color="auto"/>
                    <w:right w:val="none" w:sz="0" w:space="0" w:color="auto"/>
                  </w:divBdr>
                  <w:divsChild>
                    <w:div w:id="1104495291">
                      <w:marLeft w:val="0"/>
                      <w:marRight w:val="0"/>
                      <w:marTop w:val="0"/>
                      <w:marBottom w:val="0"/>
                      <w:divBdr>
                        <w:top w:val="none" w:sz="0" w:space="0" w:color="auto"/>
                        <w:left w:val="none" w:sz="0" w:space="0" w:color="auto"/>
                        <w:bottom w:val="none" w:sz="0" w:space="0" w:color="auto"/>
                        <w:right w:val="none" w:sz="0" w:space="0" w:color="auto"/>
                      </w:divBdr>
                      <w:divsChild>
                        <w:div w:id="1104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nlinelibrary.wiley.com/doi/10.1002/2327-6924.12094/abstract;jsessionid=F527B60BADD1E50C0151D685A30E1860.f02t01" TargetMode="External"/><Relationship Id="rId18" Type="http://schemas.openxmlformats.org/officeDocument/2006/relationships/hyperlink" Target="http://www.guideline.gov/content.aspx?id=48292&amp;search=prostate+ultrasound+AND+chronic+kidney+diseas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webSettings" Target="webSettings.xml"/><Relationship Id="rId12" Type="http://schemas.openxmlformats.org/officeDocument/2006/relationships/hyperlink" Target="http://www.goldjournal.net/article/S00904295%2809%2900934-0/abstract" TargetMode="External"/><Relationship Id="rId17" Type="http://schemas.openxmlformats.org/officeDocument/2006/relationships/hyperlink" Target="http://www.goldjournal.net/article/S0090-4295%2813%2901041-8/abstrac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onlinelibrary.wiley.com/doi/10.1111/j.1440-1797.2010.01430.x/abstract" TargetMode="External"/><Relationship Id="rId20" Type="http://schemas.openxmlformats.org/officeDocument/2006/relationships/hyperlink" Target="http://annals.org/article.aspx?articleid=188453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dt.oxfordjournals.org/content/24/4/1238.abstract"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jama.jamanetwork.com/article.aspx?articleid=1841972" TargetMode="External"/><Relationship Id="rId23" Type="http://schemas.openxmlformats.org/officeDocument/2006/relationships/image" Target="media/image1.emf"/><Relationship Id="rId28" Type="http://schemas.openxmlformats.org/officeDocument/2006/relationships/theme" Target="theme/theme1.xml"/><Relationship Id="rId10" Type="http://schemas.openxmlformats.org/officeDocument/2006/relationships/hyperlink" Target="http://onlinelibrary.wiley.com/doi/10.1111/j.1742-1241.2012.03014.x/abstract;jsessionid=415D5ED2C6A92909EE36433B5A0FA256.f03t04" TargetMode="External"/><Relationship Id="rId19" Type="http://schemas.openxmlformats.org/officeDocument/2006/relationships/hyperlink" Target="http://cjasn.asnjournals.org/content/9/2/373.full.pdf+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nnlabmed.org/journal/viewJournal.html?year=2013&amp;vol=33&amp;page=233" TargetMode="External"/><Relationship Id="rId22" Type="http://schemas.microsoft.com/office/2011/relationships/commentsExtended" Target="commentsExtended.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013B0FAD299E84D95CDD0BE536861DB" ma:contentTypeVersion="1" ma:contentTypeDescription="Loo uus dokument" ma:contentTypeScope="" ma:versionID="c021716119f6929a42184b147b4ec446">
  <xsd:schema xmlns:xsd="http://www.w3.org/2001/XMLSchema" xmlns:xs="http://www.w3.org/2001/XMLSchema" xmlns:p="http://schemas.microsoft.com/office/2006/metadata/properties" xmlns:ns3="f915f44d-cef6-4a7a-b7cd-dbe143d5ec39" targetNamespace="http://schemas.microsoft.com/office/2006/metadata/properties" ma:root="true" ma:fieldsID="7329233399de4a518c9be92dc315a95c" ns3:_="">
    <xsd:import namespace="f915f44d-cef6-4a7a-b7cd-dbe143d5ec3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5f44d-cef6-4a7a-b7cd-dbe143d5ec39" elementFormDefault="qualified">
    <xsd:import namespace="http://schemas.microsoft.com/office/2006/documentManagement/types"/>
    <xsd:import namespace="http://schemas.microsoft.com/office/infopath/2007/PartnerControls"/>
    <xsd:element name="SharedWithUsers" ma:index="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942BF2-F1A9-4E9C-9E19-B0E42F74A2FF}">
  <ds:schemaRefs>
    <ds:schemaRef ds:uri="http://www.w3.org/XML/1998/namespace"/>
    <ds:schemaRef ds:uri="http://schemas.openxmlformats.org/package/2006/metadata/core-properties"/>
    <ds:schemaRef ds:uri="http://purl.org/dc/terms/"/>
    <ds:schemaRef ds:uri="f915f44d-cef6-4a7a-b7cd-dbe143d5ec39"/>
    <ds:schemaRef ds:uri="http://schemas.microsoft.com/office/2006/documentManagement/types"/>
    <ds:schemaRef ds:uri="http://purl.org/dc/elements/1.1/"/>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F68829B5-83DA-417B-AE06-A58545849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5f44d-cef6-4a7a-b7cd-dbe143d5e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E49D4D-8835-4FB4-8F95-86385EDE98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4625</Words>
  <Characters>26825</Characters>
  <Application>Microsoft Office Word</Application>
  <DocSecurity>0</DocSecurity>
  <Lines>223</Lines>
  <Paragraphs>62</Paragraphs>
  <ScaleCrop>false</ScaleCrop>
  <Company>Ravimiamet</Company>
  <LinksUpToDate>false</LinksUpToDate>
  <CharactersWithSpaces>31388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Non-pharmacological treatment</dc:title>
  <dc:subject/>
  <dc:creator>Kasutaja</dc:creator>
  <cp:keywords/>
  <dc:description/>
  <cp:lastModifiedBy>Mart Roosimaa</cp:lastModifiedBy>
  <cp:revision>3</cp:revision>
  <dcterms:created xsi:type="dcterms:W3CDTF">2015-02-20T08:36:00Z</dcterms:created>
  <dcterms:modified xsi:type="dcterms:W3CDTF">2015-02-23T13:25:00Z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0x0101006013B0FAD299E84D95CDD0BE536861DB</vt:lpwstr>
  </property>
</Properties>
</file>