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0885C" w14:textId="37661494" w:rsidR="005A51BC" w:rsidRPr="00063BD8" w:rsidRDefault="005A51BC" w:rsidP="00552A5F">
      <w:pPr>
        <w:rPr>
          <w:rFonts w:ascii="Verdana" w:hAnsi="Verdana"/>
          <w:b/>
          <w:bCs/>
          <w:color w:val="000080"/>
          <w:sz w:val="28"/>
          <w:szCs w:val="28"/>
          <w:lang w:val="fi-FI"/>
        </w:rPr>
      </w:pPr>
      <w:bookmarkStart w:id="0" w:name="_GoBack"/>
      <w:bookmarkEnd w:id="0"/>
      <w:r w:rsidRPr="00063BD8">
        <w:rPr>
          <w:rFonts w:ascii="Verdana" w:hAnsi="Verdana"/>
          <w:b/>
          <w:bCs/>
          <w:color w:val="000080"/>
          <w:sz w:val="28"/>
          <w:szCs w:val="28"/>
          <w:lang w:val="fi-FI"/>
        </w:rPr>
        <w:t xml:space="preserve">Kliiniline küsimus nr </w:t>
      </w:r>
      <w:r w:rsidR="00DF22F6" w:rsidRPr="00063BD8">
        <w:rPr>
          <w:rFonts w:ascii="Verdana" w:hAnsi="Verdana"/>
          <w:b/>
          <w:bCs/>
          <w:color w:val="000080"/>
          <w:sz w:val="28"/>
          <w:szCs w:val="28"/>
          <w:lang w:val="fi-FI"/>
        </w:rPr>
        <w:t>16</w:t>
      </w:r>
    </w:p>
    <w:p w14:paraId="1F992B48" w14:textId="77777777" w:rsidR="00552A5F" w:rsidRPr="00063BD8" w:rsidRDefault="00552A5F" w:rsidP="00552A5F">
      <w:pPr>
        <w:rPr>
          <w:rFonts w:ascii="Verdana" w:hAnsi="Verdana"/>
          <w:b/>
          <w:color w:val="000080"/>
          <w:sz w:val="28"/>
          <w:szCs w:val="28"/>
        </w:rPr>
      </w:pPr>
    </w:p>
    <w:p w14:paraId="179E4D3E" w14:textId="77777777" w:rsidR="00552A5F" w:rsidRPr="00063BD8" w:rsidRDefault="00552A5F" w:rsidP="00552A5F">
      <w:pPr>
        <w:spacing w:line="276" w:lineRule="auto"/>
        <w:rPr>
          <w:rFonts w:ascii="Verdana" w:hAnsi="Verdana"/>
          <w:i/>
          <w:color w:val="000080"/>
          <w:sz w:val="28"/>
          <w:szCs w:val="28"/>
        </w:rPr>
      </w:pPr>
      <w:r w:rsidRPr="00063BD8">
        <w:rPr>
          <w:rFonts w:ascii="Verdana" w:hAnsi="Verdana"/>
          <w:i/>
          <w:color w:val="000080"/>
          <w:sz w:val="28"/>
          <w:szCs w:val="28"/>
        </w:rPr>
        <w:t>Kliiniline küsimus tekst</w:t>
      </w:r>
    </w:p>
    <w:p w14:paraId="19A89454" w14:textId="77777777" w:rsidR="00DF22F6" w:rsidRPr="009E033D" w:rsidRDefault="00DF22F6" w:rsidP="009E033D">
      <w:pPr>
        <w:jc w:val="both"/>
        <w:rPr>
          <w:rFonts w:ascii="Times" w:hAnsi="Times"/>
          <w:sz w:val="28"/>
          <w:szCs w:val="28"/>
        </w:rPr>
      </w:pPr>
      <w:r w:rsidRPr="009E033D">
        <w:rPr>
          <w:rFonts w:ascii="Times" w:hAnsi="Times"/>
          <w:sz w:val="28"/>
          <w:szCs w:val="28"/>
        </w:rPr>
        <w:t>Kas kõikidel kroonilise neeruhaigusega patsientidel tuleb aneemia diagnoosimiseks</w:t>
      </w:r>
    </w:p>
    <w:p w14:paraId="734F1E53" w14:textId="1B9D1957" w:rsidR="00DF22F6" w:rsidRPr="009E033D" w:rsidRDefault="00DF22F6" w:rsidP="009E033D">
      <w:pPr>
        <w:pStyle w:val="ListParagraph"/>
        <w:spacing w:line="240" w:lineRule="auto"/>
        <w:ind w:left="0"/>
        <w:jc w:val="both"/>
        <w:rPr>
          <w:rFonts w:ascii="Times" w:hAnsi="Times" w:cs="Times New Roman"/>
          <w:sz w:val="28"/>
          <w:szCs w:val="28"/>
        </w:rPr>
      </w:pPr>
      <w:r w:rsidRPr="009E033D">
        <w:rPr>
          <w:rFonts w:ascii="Times" w:hAnsi="Times" w:cs="Times New Roman"/>
          <w:sz w:val="28"/>
          <w:szCs w:val="28"/>
        </w:rPr>
        <w:t>teostada kindlad laboratoorsed uuringud (hemogramm, transferriini saturatsioon, ferritiin) ja samasuguse sagedusega vs mitte?</w:t>
      </w:r>
    </w:p>
    <w:p w14:paraId="3D4B3EC1" w14:textId="07F20D77" w:rsidR="00DF22F6" w:rsidRPr="009E033D" w:rsidRDefault="00DF22F6" w:rsidP="009E033D">
      <w:pPr>
        <w:pStyle w:val="ListParagraph"/>
        <w:spacing w:line="240" w:lineRule="auto"/>
        <w:ind w:left="0"/>
        <w:jc w:val="both"/>
        <w:rPr>
          <w:rFonts w:ascii="Times" w:hAnsi="Times" w:cs="Times New Roman"/>
          <w:sz w:val="28"/>
          <w:szCs w:val="28"/>
        </w:rPr>
      </w:pPr>
      <w:r w:rsidRPr="009E033D">
        <w:rPr>
          <w:rFonts w:ascii="Times" w:hAnsi="Times" w:cs="Times New Roman"/>
          <w:b/>
          <w:bCs/>
          <w:sz w:val="28"/>
          <w:szCs w:val="28"/>
        </w:rPr>
        <w:t>Tulemusnäitajad:</w:t>
      </w:r>
      <w:r w:rsidRPr="009E033D">
        <w:rPr>
          <w:rFonts w:ascii="Times" w:hAnsi="Times" w:cs="Times New Roman"/>
          <w:sz w:val="28"/>
          <w:szCs w:val="28"/>
        </w:rPr>
        <w:t xml:space="preserve"> kroonilise neeruhaiguse progresseerumine, kroonilise ne</w:t>
      </w:r>
      <w:r w:rsidR="00143B55" w:rsidRPr="009E033D">
        <w:rPr>
          <w:rFonts w:ascii="Times" w:hAnsi="Times" w:cs="Times New Roman"/>
          <w:sz w:val="28"/>
          <w:szCs w:val="28"/>
        </w:rPr>
        <w:t xml:space="preserve">eruhaiguse </w:t>
      </w:r>
      <w:r w:rsidRPr="009E033D">
        <w:rPr>
          <w:rFonts w:ascii="Times" w:hAnsi="Times" w:cs="Times New Roman"/>
          <w:sz w:val="28"/>
          <w:szCs w:val="28"/>
        </w:rPr>
        <w:t>ravi tulemuslikkus, südame-veresoonkonna tüsistused, kukkumine, hospitaliseerimine, patsiendi elukvaliteet, ravikulu, elulemus, üldsuremuse vähenemine</w:t>
      </w:r>
    </w:p>
    <w:p w14:paraId="64729D81" w14:textId="585FD524" w:rsidR="005A51BC" w:rsidRDefault="005A51BC" w:rsidP="00552A5F">
      <w:pPr>
        <w:jc w:val="both"/>
        <w:rPr>
          <w:rFonts w:ascii="Verdana" w:hAnsi="Verdana"/>
          <w:color w:val="000080"/>
          <w:sz w:val="18"/>
          <w:szCs w:val="18"/>
          <w:u w:val="single"/>
        </w:rPr>
      </w:pPr>
    </w:p>
    <w:p w14:paraId="1C114F28" w14:textId="77777777" w:rsidR="005A51BC" w:rsidRPr="00063BD8" w:rsidRDefault="005A51BC" w:rsidP="00552A5F">
      <w:pPr>
        <w:jc w:val="both"/>
        <w:rPr>
          <w:rFonts w:ascii="Verdana" w:hAnsi="Verdana" w:cs="Arial"/>
          <w:b/>
          <w:color w:val="000080"/>
          <w:sz w:val="28"/>
          <w:szCs w:val="28"/>
          <w:lang w:val="fi-FI"/>
        </w:rPr>
      </w:pPr>
      <w:r>
        <w:rPr>
          <w:rFonts w:ascii="Verdana" w:hAnsi="Verdana"/>
          <w:color w:val="000080"/>
          <w:sz w:val="18"/>
          <w:szCs w:val="18"/>
          <w:u w:val="single"/>
        </w:rPr>
        <w:br/>
      </w:r>
      <w:r w:rsidRPr="00063BD8">
        <w:rPr>
          <w:rFonts w:ascii="Verdana" w:hAnsi="Verdana" w:cs="Arial"/>
          <w:b/>
          <w:color w:val="000080"/>
          <w:sz w:val="28"/>
          <w:szCs w:val="28"/>
          <w:lang w:val="fi-FI"/>
        </w:rPr>
        <w:t>Süstemaatilised ülevaated</w:t>
      </w:r>
    </w:p>
    <w:p w14:paraId="0F66D533" w14:textId="77777777" w:rsidR="00571EA7" w:rsidRDefault="00571EA7" w:rsidP="00552A5F">
      <w:pPr>
        <w:jc w:val="both"/>
        <w:rPr>
          <w:rFonts w:ascii="Verdana" w:hAnsi="Verdana" w:cs="Arial"/>
          <w:b/>
          <w:color w:val="000080"/>
          <w:sz w:val="18"/>
          <w:szCs w:val="18"/>
          <w:lang w:val="fi-FI"/>
        </w:rPr>
      </w:pPr>
    </w:p>
    <w:p w14:paraId="3105996E" w14:textId="7EAAED68" w:rsidR="00F506C1" w:rsidRDefault="00F506C1" w:rsidP="00552A5F">
      <w:pPr>
        <w:jc w:val="both"/>
        <w:rPr>
          <w:rFonts w:ascii="Times" w:hAnsi="Times" w:cs="Arial"/>
          <w:color w:val="000000" w:themeColor="text1"/>
          <w:sz w:val="28"/>
          <w:szCs w:val="28"/>
          <w:lang w:val="fi-FI"/>
        </w:rPr>
      </w:pPr>
      <w:r w:rsidRPr="00F506C1">
        <w:rPr>
          <w:rFonts w:ascii="Times" w:hAnsi="Times" w:cs="Arial"/>
          <w:color w:val="000000" w:themeColor="text1"/>
          <w:sz w:val="28"/>
          <w:szCs w:val="28"/>
          <w:lang w:val="fi-FI"/>
        </w:rPr>
        <w:t xml:space="preserve">Süstemaatilisi ülevaateid ega meta-analüüse antud teemal pole leitud. </w:t>
      </w:r>
      <w:r>
        <w:rPr>
          <w:rFonts w:ascii="Times" w:hAnsi="Times" w:cs="Arial"/>
          <w:color w:val="000000" w:themeColor="text1"/>
          <w:sz w:val="28"/>
          <w:szCs w:val="28"/>
          <w:lang w:val="fi-FI"/>
        </w:rPr>
        <w:t xml:space="preserve">Kõik leitud </w:t>
      </w:r>
      <w:r w:rsidRPr="00F506C1">
        <w:rPr>
          <w:rFonts w:ascii="Times" w:hAnsi="Times" w:cs="Arial"/>
          <w:color w:val="000000" w:themeColor="text1"/>
          <w:sz w:val="28"/>
          <w:szCs w:val="28"/>
          <w:lang w:val="fi-FI"/>
        </w:rPr>
        <w:t xml:space="preserve">uuringud on suhteliselt vanad. Allpooltoodud uuringutele on viidatud ka rahvusvahelistes ravijuhendites (sh. NICE Anemia CKD Guideline 2015). </w:t>
      </w:r>
    </w:p>
    <w:p w14:paraId="2E6BBF7B" w14:textId="6C33F9FD" w:rsidR="00505A0D" w:rsidRDefault="00F506C1" w:rsidP="00552A5F">
      <w:pPr>
        <w:jc w:val="both"/>
        <w:rPr>
          <w:rFonts w:ascii="Times" w:hAnsi="Times" w:cs="Arial"/>
          <w:color w:val="000000" w:themeColor="text1"/>
          <w:sz w:val="28"/>
          <w:szCs w:val="28"/>
          <w:lang w:val="fi-FI"/>
        </w:rPr>
      </w:pPr>
      <w:r w:rsidRPr="00F506C1">
        <w:rPr>
          <w:rFonts w:ascii="Times" w:hAnsi="Times" w:cs="Arial"/>
          <w:color w:val="000000" w:themeColor="text1"/>
          <w:sz w:val="28"/>
          <w:szCs w:val="28"/>
          <w:lang w:val="fi-FI"/>
        </w:rPr>
        <w:t xml:space="preserve">Hemoglobiini </w:t>
      </w:r>
      <w:r>
        <w:rPr>
          <w:rFonts w:ascii="Times" w:hAnsi="Times" w:cs="Arial"/>
          <w:color w:val="000000" w:themeColor="text1"/>
          <w:sz w:val="28"/>
          <w:szCs w:val="28"/>
          <w:lang w:val="fi-FI"/>
        </w:rPr>
        <w:t>taseme määramise vajalikkuse ja</w:t>
      </w:r>
      <w:r w:rsidRPr="00F506C1">
        <w:rPr>
          <w:rFonts w:ascii="Times" w:hAnsi="Times" w:cs="Arial"/>
          <w:color w:val="000000" w:themeColor="text1"/>
          <w:sz w:val="28"/>
          <w:szCs w:val="28"/>
          <w:lang w:val="fi-FI"/>
        </w:rPr>
        <w:t xml:space="preserve"> sageduse kohta andmed põhinevad suure Ameerika Ühendriikide kohortuuringu andmetel (</w:t>
      </w:r>
      <w:r w:rsidR="00571EA7" w:rsidRPr="00F506C1">
        <w:rPr>
          <w:rFonts w:ascii="Times" w:hAnsi="Times" w:cs="Arial"/>
          <w:color w:val="000000" w:themeColor="text1"/>
          <w:sz w:val="28"/>
          <w:szCs w:val="28"/>
          <w:lang w:val="fi-FI"/>
        </w:rPr>
        <w:t xml:space="preserve">NHANES III </w:t>
      </w:r>
      <w:r w:rsidRPr="00F506C1">
        <w:rPr>
          <w:rFonts w:ascii="Times" w:hAnsi="Times" w:cs="Arial"/>
          <w:color w:val="000000" w:themeColor="text1"/>
          <w:sz w:val="28"/>
          <w:szCs w:val="28"/>
          <w:lang w:val="fi-FI"/>
        </w:rPr>
        <w:t>r</w:t>
      </w:r>
      <w:r w:rsidR="00571EA7" w:rsidRPr="00F506C1">
        <w:rPr>
          <w:rFonts w:ascii="Times" w:hAnsi="Times" w:cs="Arial"/>
          <w:color w:val="000000" w:themeColor="text1"/>
          <w:sz w:val="28"/>
          <w:szCs w:val="28"/>
          <w:lang w:val="fi-FI"/>
        </w:rPr>
        <w:t>iikl</w:t>
      </w:r>
      <w:r w:rsidRPr="00F506C1">
        <w:rPr>
          <w:rFonts w:ascii="Times" w:hAnsi="Times" w:cs="Arial"/>
          <w:color w:val="000000" w:themeColor="text1"/>
          <w:sz w:val="28"/>
          <w:szCs w:val="28"/>
          <w:lang w:val="fi-FI"/>
        </w:rPr>
        <w:t xml:space="preserve">ik </w:t>
      </w:r>
      <w:r w:rsidR="00FB07DE" w:rsidRPr="00F506C1">
        <w:rPr>
          <w:rFonts w:ascii="Times" w:hAnsi="Times" w:cs="Arial"/>
          <w:color w:val="000000" w:themeColor="text1"/>
          <w:sz w:val="28"/>
          <w:szCs w:val="28"/>
          <w:lang w:val="fi-FI"/>
        </w:rPr>
        <w:t>tervise ja toitumuse uuring</w:t>
      </w:r>
      <w:r>
        <w:rPr>
          <w:rFonts w:ascii="Times" w:hAnsi="Times" w:cs="Arial"/>
          <w:color w:val="000000" w:themeColor="text1"/>
          <w:sz w:val="28"/>
          <w:szCs w:val="28"/>
          <w:lang w:val="fi-FI"/>
        </w:rPr>
        <w:t>)</w:t>
      </w:r>
      <w:r w:rsidR="00FB07DE" w:rsidRPr="00F506C1">
        <w:rPr>
          <w:rFonts w:ascii="Times" w:hAnsi="Times" w:cs="Arial"/>
          <w:color w:val="000000" w:themeColor="text1"/>
          <w:sz w:val="28"/>
          <w:szCs w:val="28"/>
          <w:lang w:val="fi-FI"/>
        </w:rPr>
        <w:t>, mille</w:t>
      </w:r>
      <w:r w:rsidR="00571EA7" w:rsidRPr="00F506C1">
        <w:rPr>
          <w:rFonts w:ascii="Times" w:hAnsi="Times" w:cs="Arial"/>
          <w:color w:val="000000" w:themeColor="text1"/>
          <w:sz w:val="28"/>
          <w:szCs w:val="28"/>
          <w:lang w:val="fi-FI"/>
        </w:rPr>
        <w:t xml:space="preserve"> raames oli</w:t>
      </w:r>
      <w:r w:rsidR="00CB3914">
        <w:rPr>
          <w:rFonts w:ascii="Times" w:hAnsi="Times" w:cs="Arial"/>
          <w:color w:val="000000" w:themeColor="text1"/>
          <w:sz w:val="28"/>
          <w:szCs w:val="28"/>
          <w:lang w:val="fi-FI"/>
        </w:rPr>
        <w:t xml:space="preserve"> läbi viidud mitu </w:t>
      </w:r>
      <w:r w:rsidR="00F25BEA">
        <w:rPr>
          <w:rFonts w:ascii="Times" w:hAnsi="Times" w:cs="Arial"/>
          <w:color w:val="000000" w:themeColor="text1"/>
          <w:sz w:val="28"/>
          <w:szCs w:val="28"/>
          <w:lang w:val="fi-FI"/>
        </w:rPr>
        <w:t>läbilõike</w:t>
      </w:r>
      <w:r w:rsidR="00CB3914">
        <w:rPr>
          <w:rFonts w:ascii="Times" w:hAnsi="Times" w:cs="Arial"/>
          <w:color w:val="000000" w:themeColor="text1"/>
          <w:sz w:val="28"/>
          <w:szCs w:val="28"/>
          <w:lang w:val="fi-FI"/>
        </w:rPr>
        <w:t>uuringut</w:t>
      </w:r>
      <w:r w:rsidR="00FB07DE" w:rsidRPr="00F506C1">
        <w:rPr>
          <w:rFonts w:ascii="Times" w:hAnsi="Times" w:cs="Arial"/>
          <w:color w:val="000000" w:themeColor="text1"/>
          <w:sz w:val="28"/>
          <w:szCs w:val="28"/>
          <w:lang w:val="fi-FI"/>
        </w:rPr>
        <w:t>, et hinnata an</w:t>
      </w:r>
      <w:r w:rsidR="00F25BEA">
        <w:rPr>
          <w:rFonts w:ascii="Times" w:hAnsi="Times" w:cs="Arial"/>
          <w:color w:val="000000" w:themeColor="text1"/>
          <w:sz w:val="28"/>
          <w:szCs w:val="28"/>
          <w:lang w:val="fi-FI"/>
        </w:rPr>
        <w:t>eemia levimust KNH puhul ning an</w:t>
      </w:r>
      <w:r w:rsidR="00FB07DE" w:rsidRPr="00F506C1">
        <w:rPr>
          <w:rFonts w:ascii="Times" w:hAnsi="Times" w:cs="Arial"/>
          <w:color w:val="000000" w:themeColor="text1"/>
          <w:sz w:val="28"/>
          <w:szCs w:val="28"/>
          <w:lang w:val="fi-FI"/>
        </w:rPr>
        <w:t>eemia se</w:t>
      </w:r>
      <w:r w:rsidR="00CB3914">
        <w:rPr>
          <w:rFonts w:ascii="Times" w:hAnsi="Times" w:cs="Arial"/>
          <w:color w:val="000000" w:themeColor="text1"/>
          <w:sz w:val="28"/>
          <w:szCs w:val="28"/>
          <w:lang w:val="fi-FI"/>
        </w:rPr>
        <w:t>ost neerufunktsiooni alanemisega (Melissa E. Stauffer et al. 2014, Brad C. Astor et al.</w:t>
      </w:r>
      <w:r w:rsidR="00505A0D">
        <w:rPr>
          <w:rFonts w:ascii="Times" w:hAnsi="Times" w:cs="Arial"/>
          <w:color w:val="000000" w:themeColor="text1"/>
          <w:sz w:val="28"/>
          <w:szCs w:val="28"/>
          <w:lang w:val="fi-FI"/>
        </w:rPr>
        <w:t xml:space="preserve"> </w:t>
      </w:r>
      <w:r w:rsidR="00CB3914">
        <w:rPr>
          <w:rFonts w:ascii="Times" w:hAnsi="Times" w:cs="Arial"/>
          <w:color w:val="000000" w:themeColor="text1"/>
          <w:sz w:val="28"/>
          <w:szCs w:val="28"/>
          <w:lang w:val="fi-FI"/>
        </w:rPr>
        <w:t>2002, Inker LA et al. 2011). Samuti NHANES raames hinnati ka rauadefitsiidi esinemissagedust KNHga patsentidel (TSAT ja ferritiini tase)</w:t>
      </w:r>
      <w:r w:rsidR="00505A0D">
        <w:rPr>
          <w:rFonts w:ascii="Times" w:hAnsi="Times" w:cs="Arial"/>
          <w:color w:val="000000" w:themeColor="text1"/>
          <w:sz w:val="28"/>
          <w:szCs w:val="28"/>
          <w:lang w:val="fi-FI"/>
        </w:rPr>
        <w:t xml:space="preserve"> (Fishbane 2009, Hsu 2002)</w:t>
      </w:r>
      <w:r w:rsidR="00CB3914">
        <w:rPr>
          <w:rFonts w:ascii="Times" w:hAnsi="Times" w:cs="Arial"/>
          <w:color w:val="000000" w:themeColor="text1"/>
          <w:sz w:val="28"/>
          <w:szCs w:val="28"/>
          <w:lang w:val="fi-FI"/>
        </w:rPr>
        <w:t>.</w:t>
      </w:r>
    </w:p>
    <w:p w14:paraId="658C9038" w14:textId="71242D81" w:rsidR="006222E5" w:rsidRDefault="00505A0D" w:rsidP="00552A5F">
      <w:pPr>
        <w:jc w:val="both"/>
        <w:rPr>
          <w:rFonts w:ascii="Times" w:hAnsi="Times" w:cs="Arial"/>
          <w:color w:val="000000" w:themeColor="text1"/>
          <w:sz w:val="28"/>
          <w:szCs w:val="28"/>
          <w:lang w:val="fi-FI"/>
        </w:rPr>
      </w:pPr>
      <w:r>
        <w:rPr>
          <w:rFonts w:ascii="Times" w:hAnsi="Times" w:cs="Arial"/>
          <w:color w:val="000000" w:themeColor="text1"/>
          <w:sz w:val="28"/>
          <w:szCs w:val="28"/>
          <w:lang w:val="fi-FI"/>
        </w:rPr>
        <w:t xml:space="preserve">Simona Stancu et al. </w:t>
      </w:r>
      <w:r w:rsidR="006F72CE">
        <w:rPr>
          <w:rFonts w:ascii="Times" w:hAnsi="Times" w:cs="Arial"/>
          <w:color w:val="000000" w:themeColor="text1"/>
          <w:sz w:val="28"/>
          <w:szCs w:val="28"/>
          <w:lang w:val="fi-FI"/>
        </w:rPr>
        <w:t xml:space="preserve">uuringus hinnati rauaravi efektiivsust ja raua perifeersete indeksite tundlikkust erütropoeesi hindamisel. Uuringule on viidatud NICE ja KHA-CARI ravijuhistes. Uuringu puuduseks on väike osalejate arv. </w:t>
      </w:r>
    </w:p>
    <w:p w14:paraId="4FD96F3C" w14:textId="77777777" w:rsidR="00F506C1" w:rsidRPr="00F506C1" w:rsidRDefault="00F506C1" w:rsidP="00552A5F">
      <w:pPr>
        <w:jc w:val="both"/>
        <w:rPr>
          <w:rFonts w:ascii="Times" w:hAnsi="Times" w:cs="Arial"/>
          <w:color w:val="000000" w:themeColor="text1"/>
          <w:sz w:val="28"/>
          <w:szCs w:val="28"/>
          <w:lang w:val="fi-FI"/>
        </w:rPr>
      </w:pPr>
    </w:p>
    <w:p w14:paraId="1FD5D8B5" w14:textId="77777777" w:rsidR="005A51BC" w:rsidRPr="00063BD8" w:rsidRDefault="005A51BC" w:rsidP="005A51BC">
      <w:pPr>
        <w:autoSpaceDE w:val="0"/>
        <w:autoSpaceDN w:val="0"/>
        <w:adjustRightInd w:val="0"/>
        <w:jc w:val="both"/>
        <w:rPr>
          <w:rFonts w:ascii="Verdana" w:hAnsi="Verdana" w:cs="ArialMT"/>
          <w:b/>
          <w:color w:val="000080"/>
          <w:sz w:val="28"/>
          <w:szCs w:val="28"/>
          <w:lang w:val="fi-FI" w:eastAsia="en-US"/>
        </w:rPr>
      </w:pPr>
      <w:r w:rsidRPr="00063BD8">
        <w:rPr>
          <w:rFonts w:ascii="Verdana" w:hAnsi="Verdana" w:cs="ArialMT"/>
          <w:b/>
          <w:color w:val="000080"/>
          <w:sz w:val="28"/>
          <w:szCs w:val="28"/>
          <w:lang w:val="fi-FI" w:eastAsia="en-US"/>
        </w:rPr>
        <w:t>Viited</w:t>
      </w:r>
    </w:p>
    <w:p w14:paraId="69E75784" w14:textId="77777777" w:rsidR="005A51BC" w:rsidRPr="002D065A" w:rsidRDefault="005A51BC" w:rsidP="005A51BC">
      <w:pPr>
        <w:autoSpaceDE w:val="0"/>
        <w:autoSpaceDN w:val="0"/>
        <w:adjustRightInd w:val="0"/>
        <w:jc w:val="both"/>
        <w:rPr>
          <w:rFonts w:ascii="Verdana" w:hAnsi="Verdana" w:cs="ArialMT"/>
          <w:color w:val="000080"/>
          <w:sz w:val="18"/>
          <w:szCs w:val="18"/>
          <w:lang w:val="fi-FI" w:eastAsia="en-US"/>
        </w:rPr>
      </w:pPr>
    </w:p>
    <w:tbl>
      <w:tblPr>
        <w:tblW w:w="11199" w:type="dxa"/>
        <w:tblInd w:w="-102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7797"/>
        <w:gridCol w:w="3402"/>
      </w:tblGrid>
      <w:tr w:rsidR="00321E5E" w:rsidRPr="00FE17E8" w14:paraId="7CFC2D14" w14:textId="77777777" w:rsidTr="00FF1C1A">
        <w:tc>
          <w:tcPr>
            <w:tcW w:w="7797" w:type="dxa"/>
            <w:shd w:val="clear" w:color="auto" w:fill="auto"/>
          </w:tcPr>
          <w:p w14:paraId="6B1552E5" w14:textId="77777777" w:rsidR="005A51BC" w:rsidRPr="002D065A" w:rsidRDefault="005A51BC" w:rsidP="005A51BC">
            <w:pPr>
              <w:spacing w:before="75" w:after="225"/>
              <w:rPr>
                <w:rFonts w:ascii="Verdana" w:hAnsi="Verdana" w:cs="Arial"/>
                <w:b/>
                <w:color w:val="000080"/>
                <w:sz w:val="18"/>
                <w:szCs w:val="18"/>
                <w:lang w:val="fi-FI"/>
              </w:rPr>
            </w:pPr>
            <w:r w:rsidRPr="002D065A">
              <w:rPr>
                <w:rFonts w:ascii="Verdana" w:hAnsi="Verdana" w:cs="Arial"/>
                <w:b/>
                <w:color w:val="000080"/>
                <w:sz w:val="18"/>
                <w:szCs w:val="18"/>
                <w:lang w:val="fi-FI"/>
              </w:rPr>
              <w:t>Kokkuvõtte (abstract või kokkuvõtlikum info)</w:t>
            </w:r>
          </w:p>
        </w:tc>
        <w:tc>
          <w:tcPr>
            <w:tcW w:w="3402" w:type="dxa"/>
            <w:shd w:val="clear" w:color="auto" w:fill="auto"/>
          </w:tcPr>
          <w:p w14:paraId="2C1A0345" w14:textId="77777777" w:rsidR="005A51BC" w:rsidRPr="00832974" w:rsidRDefault="005A51BC" w:rsidP="005A51BC">
            <w:pPr>
              <w:spacing w:before="75" w:after="225"/>
              <w:rPr>
                <w:rFonts w:ascii="Verdana" w:hAnsi="Verdana" w:cs="Arial"/>
                <w:b/>
                <w:color w:val="000080"/>
                <w:sz w:val="18"/>
                <w:szCs w:val="18"/>
                <w:lang w:val="en-US"/>
              </w:rPr>
            </w:pPr>
            <w:r>
              <w:rPr>
                <w:rFonts w:ascii="Verdana" w:hAnsi="Verdana" w:cs="Arial"/>
                <w:b/>
                <w:bCs/>
                <w:color w:val="000080"/>
                <w:sz w:val="18"/>
                <w:szCs w:val="18"/>
                <w:lang w:val="en-US"/>
              </w:rPr>
              <w:t>Viide kirjandusallikale</w:t>
            </w:r>
          </w:p>
        </w:tc>
      </w:tr>
      <w:tr w:rsidR="00852B2C" w:rsidRPr="00FE17E8" w14:paraId="442D0FC6" w14:textId="77777777" w:rsidTr="00FF1C1A">
        <w:tc>
          <w:tcPr>
            <w:tcW w:w="7797" w:type="dxa"/>
            <w:shd w:val="clear" w:color="auto" w:fill="auto"/>
          </w:tcPr>
          <w:p w14:paraId="1AD7B64A" w14:textId="77777777" w:rsidR="00852B2C" w:rsidRPr="0008045E" w:rsidRDefault="00852B2C" w:rsidP="00852B2C">
            <w:pPr>
              <w:jc w:val="both"/>
              <w:rPr>
                <w:rFonts w:ascii="Times" w:hAnsi="Times"/>
                <w:b/>
                <w:sz w:val="28"/>
                <w:szCs w:val="28"/>
                <w:lang w:val="en-US" w:eastAsia="en-US"/>
              </w:rPr>
            </w:pPr>
            <w:r w:rsidRPr="0008045E">
              <w:rPr>
                <w:rFonts w:ascii="Times" w:hAnsi="Times"/>
                <w:b/>
                <w:sz w:val="28"/>
                <w:szCs w:val="28"/>
                <w:lang w:val="en-US" w:eastAsia="en-US"/>
              </w:rPr>
              <w:t>Melissa E. Stauffer, Tao Fan</w:t>
            </w:r>
            <w:r>
              <w:rPr>
                <w:rFonts w:ascii="Times" w:hAnsi="Times"/>
                <w:b/>
                <w:sz w:val="28"/>
                <w:szCs w:val="28"/>
                <w:lang w:val="en-US" w:eastAsia="en-US"/>
              </w:rPr>
              <w:t>.</w:t>
            </w:r>
            <w:r w:rsidRPr="0008045E">
              <w:rPr>
                <w:rFonts w:ascii="Times" w:hAnsi="Times"/>
                <w:b/>
                <w:sz w:val="28"/>
                <w:szCs w:val="28"/>
                <w:lang w:val="en-US" w:eastAsia="en-US"/>
              </w:rPr>
              <w:t xml:space="preserve"> Prevalence of Anemia in Chronic Kidney Disease in the United States 2014</w:t>
            </w:r>
            <w:r>
              <w:rPr>
                <w:rFonts w:ascii="Times" w:hAnsi="Times"/>
                <w:b/>
                <w:sz w:val="28"/>
                <w:szCs w:val="28"/>
                <w:lang w:val="en-US" w:eastAsia="en-US"/>
              </w:rPr>
              <w:t xml:space="preserve"> (NHANES)</w:t>
            </w:r>
          </w:p>
          <w:p w14:paraId="18DE89F3" w14:textId="77777777" w:rsidR="00852B2C" w:rsidRPr="0008045E" w:rsidRDefault="00852B2C" w:rsidP="00852B2C">
            <w:pPr>
              <w:jc w:val="both"/>
              <w:rPr>
                <w:rFonts w:ascii="Times" w:hAnsi="Times"/>
                <w:sz w:val="28"/>
                <w:szCs w:val="28"/>
                <w:lang w:val="en-US" w:eastAsia="en-US"/>
              </w:rPr>
            </w:pPr>
            <w:r w:rsidRPr="0008045E">
              <w:rPr>
                <w:rFonts w:ascii="Times" w:hAnsi="Times"/>
                <w:sz w:val="28"/>
                <w:szCs w:val="28"/>
                <w:lang w:val="en-US" w:eastAsia="en-US"/>
              </w:rPr>
              <w:t xml:space="preserve">Abstract </w:t>
            </w:r>
          </w:p>
          <w:p w14:paraId="2C5EFCE8" w14:textId="77777777" w:rsidR="00852B2C" w:rsidRPr="0008045E" w:rsidRDefault="00852B2C" w:rsidP="00852B2C">
            <w:pPr>
              <w:jc w:val="both"/>
              <w:rPr>
                <w:rFonts w:ascii="Times" w:hAnsi="Times"/>
                <w:sz w:val="28"/>
                <w:szCs w:val="28"/>
                <w:lang w:val="en-US" w:eastAsia="en-US"/>
              </w:rPr>
            </w:pPr>
            <w:r w:rsidRPr="0008045E">
              <w:rPr>
                <w:rFonts w:ascii="Times" w:hAnsi="Times"/>
                <w:sz w:val="28"/>
                <w:szCs w:val="28"/>
                <w:lang w:val="en-US" w:eastAsia="en-US"/>
              </w:rPr>
              <w:t xml:space="preserve">Anemia is one of the many complications of chronic kidney disease (CKD). However, the current prevalence of anemia in CKD patients in the United States is not known. Data from the National Health and Nutrition Examination Survey (NHANES) in 2007–2008 and 2009–2010 were used to determine the prevalence of anemia in subjects with CKD. The analysis was limited to adults </w:t>
            </w:r>
            <w:r w:rsidRPr="0008045E">
              <w:rPr>
                <w:rFonts w:ascii="Times" w:hAnsi="Times"/>
                <w:sz w:val="28"/>
                <w:szCs w:val="28"/>
                <w:lang w:val="en-US" w:eastAsia="en-US"/>
              </w:rPr>
              <w:lastRenderedPageBreak/>
              <w:t xml:space="preserve">aged &gt;18 who participated in both the interview and exam components of the survey. Three outcomes were assessed: the prevalence of CKD, the prevalence of anemia in subjects with CKD, and the self-reported treatment of anemia. CKD was classified into 5 stages based on the glomerular filtration rate and evidence of kidney damage, in accordance with the guidelines of the National Kidney Foundation. Anemia was defined as serum </w:t>
            </w:r>
            <w:r>
              <w:rPr>
                <w:rFonts w:ascii="Times" w:hAnsi="Times"/>
                <w:sz w:val="28"/>
                <w:szCs w:val="28"/>
                <w:lang w:val="en-US" w:eastAsia="en-US"/>
              </w:rPr>
              <w:t>hemoglobin levels =&lt;12 g/ dL in women and =&lt;</w:t>
            </w:r>
            <w:r w:rsidRPr="0008045E">
              <w:rPr>
                <w:rFonts w:ascii="Times" w:hAnsi="Times"/>
                <w:sz w:val="28"/>
                <w:szCs w:val="28"/>
                <w:lang w:val="en-US" w:eastAsia="en-US"/>
              </w:rPr>
              <w:t xml:space="preserve">13 g/dL in men. We found that an estimated 14.0% of the US adult population had CKD in 2007–2010. </w:t>
            </w:r>
            <w:r w:rsidRPr="0008045E">
              <w:rPr>
                <w:rFonts w:ascii="Times" w:hAnsi="Times"/>
                <w:sz w:val="28"/>
                <w:szCs w:val="28"/>
                <w:u w:val="single"/>
                <w:lang w:val="en-US" w:eastAsia="en-US"/>
              </w:rPr>
              <w:t>Anemia was twice as prevalent in people with CKD (15.4%) as in the general population (7.6%).</w:t>
            </w:r>
            <w:r w:rsidRPr="0008045E">
              <w:rPr>
                <w:rFonts w:ascii="Times" w:hAnsi="Times"/>
                <w:sz w:val="28"/>
                <w:szCs w:val="28"/>
                <w:lang w:val="en-US" w:eastAsia="en-US"/>
              </w:rPr>
              <w:t xml:space="preserve"> </w:t>
            </w:r>
            <w:r w:rsidRPr="0008045E">
              <w:rPr>
                <w:rFonts w:ascii="Times" w:hAnsi="Times"/>
                <w:sz w:val="28"/>
                <w:szCs w:val="28"/>
                <w:u w:val="single"/>
                <w:lang w:val="en-US" w:eastAsia="en-US"/>
              </w:rPr>
              <w:t xml:space="preserve">The prevalence of anemia increased with stage of CKD, from 8.4% at stage 1 to 53.4% at stage 5. </w:t>
            </w:r>
            <w:r w:rsidRPr="0008045E">
              <w:rPr>
                <w:rFonts w:ascii="Times" w:hAnsi="Times"/>
                <w:sz w:val="28"/>
                <w:szCs w:val="28"/>
                <w:lang w:val="en-US" w:eastAsia="en-US"/>
              </w:rPr>
              <w:t>A total of 22.8% of CKD patients with anemia reported being treated for anemia within the previous 3 months–14.6% of patients at CKD stages 1–2 and 26.4% of patients at stages 3–4. These results update our knowledge of the prevalence and treatment of anemia in CKD in the United States.</w:t>
            </w:r>
          </w:p>
          <w:p w14:paraId="53190AA6" w14:textId="77777777" w:rsidR="00852B2C" w:rsidRDefault="00852B2C" w:rsidP="00852B2C">
            <w:pPr>
              <w:jc w:val="both"/>
              <w:rPr>
                <w:rFonts w:ascii="Times" w:hAnsi="Times"/>
                <w:b/>
                <w:color w:val="000000" w:themeColor="text1"/>
                <w:sz w:val="28"/>
                <w:szCs w:val="28"/>
              </w:rPr>
            </w:pPr>
          </w:p>
          <w:p w14:paraId="02BA6F41" w14:textId="77777777" w:rsidR="00852B2C" w:rsidRDefault="00852B2C" w:rsidP="00852B2C">
            <w:pPr>
              <w:jc w:val="both"/>
              <w:rPr>
                <w:rFonts w:ascii="Times" w:hAnsi="Times" w:cs="Arial"/>
                <w:b/>
                <w:color w:val="000000" w:themeColor="text1"/>
                <w:sz w:val="28"/>
                <w:szCs w:val="28"/>
                <w:lang w:val="fi-FI"/>
              </w:rPr>
            </w:pPr>
            <w:r w:rsidRPr="00FB07DE">
              <w:rPr>
                <w:rFonts w:ascii="Times" w:hAnsi="Times" w:cs="Arial"/>
                <w:b/>
                <w:color w:val="000000" w:themeColor="text1"/>
                <w:sz w:val="28"/>
                <w:szCs w:val="28"/>
                <w:lang w:val="fi-FI"/>
              </w:rPr>
              <w:t>NHANES III on Amerika Ühendriikide riikliku tervise ja toitumuse uuring, mille raames oli</w:t>
            </w:r>
            <w:r>
              <w:rPr>
                <w:rFonts w:ascii="Times" w:hAnsi="Times" w:cs="Arial"/>
                <w:b/>
                <w:color w:val="000000" w:themeColor="text1"/>
                <w:sz w:val="28"/>
                <w:szCs w:val="28"/>
                <w:lang w:val="fi-FI"/>
              </w:rPr>
              <w:t xml:space="preserve"> läbi viidud mitu uuringut</w:t>
            </w:r>
            <w:r w:rsidRPr="00FB07DE">
              <w:rPr>
                <w:rFonts w:ascii="Times" w:hAnsi="Times" w:cs="Arial"/>
                <w:b/>
                <w:color w:val="000000" w:themeColor="text1"/>
                <w:sz w:val="28"/>
                <w:szCs w:val="28"/>
                <w:lang w:val="fi-FI"/>
              </w:rPr>
              <w:t>, et hinnata aneemia levimust KNH puhul</w:t>
            </w:r>
            <w:r>
              <w:rPr>
                <w:rFonts w:ascii="Times" w:hAnsi="Times" w:cs="Arial"/>
                <w:b/>
                <w:color w:val="000000" w:themeColor="text1"/>
                <w:sz w:val="28"/>
                <w:szCs w:val="28"/>
                <w:lang w:val="fi-FI"/>
              </w:rPr>
              <w:t xml:space="preserve"> ning an</w:t>
            </w:r>
            <w:r w:rsidRPr="00FB07DE">
              <w:rPr>
                <w:rFonts w:ascii="Times" w:hAnsi="Times" w:cs="Arial"/>
                <w:b/>
                <w:color w:val="000000" w:themeColor="text1"/>
                <w:sz w:val="28"/>
                <w:szCs w:val="28"/>
                <w:lang w:val="fi-FI"/>
              </w:rPr>
              <w:t xml:space="preserve">eemia seost neerufunktsiooniga. </w:t>
            </w:r>
            <w:r>
              <w:rPr>
                <w:rFonts w:ascii="Times" w:hAnsi="Times" w:cs="Arial"/>
                <w:b/>
                <w:color w:val="000000" w:themeColor="text1"/>
                <w:sz w:val="28"/>
                <w:szCs w:val="28"/>
                <w:lang w:val="fi-FI"/>
              </w:rPr>
              <w:t xml:space="preserve">2014 aastal viidi läbi läbilõikeuuring, mille käigus hinnati aneemia esinemissagedust KNHga inimestel ning korrelatsiooni KNH staadiumi ja aneemia esinemise vahel. Tulemustest selgus, et aneemia esinemissagedus oli 2 korda suurem KNH rühmas võrreldes üldpopulatsiooniga. Samuti oli leitud, et aneemia esinemissagedus korreleerub KNH ataadiumiga: 1 staadiumis aneemia protsent on 8,4%, 5 staadiumis 53,4%. </w:t>
            </w:r>
          </w:p>
          <w:p w14:paraId="4D55AFEF" w14:textId="77777777" w:rsidR="003D337E" w:rsidRDefault="003D337E" w:rsidP="00852B2C">
            <w:pPr>
              <w:jc w:val="both"/>
              <w:rPr>
                <w:rFonts w:ascii="Times" w:hAnsi="Times" w:cs="Arial"/>
                <w:b/>
                <w:color w:val="000000" w:themeColor="text1"/>
                <w:sz w:val="28"/>
                <w:szCs w:val="28"/>
                <w:lang w:val="fi-FI"/>
              </w:rPr>
            </w:pPr>
          </w:p>
          <w:p w14:paraId="7FDE5F41" w14:textId="10D16D2A" w:rsidR="00852B2C" w:rsidRPr="003D337E" w:rsidRDefault="00852B2C" w:rsidP="003D337E">
            <w:pPr>
              <w:pStyle w:val="Heading1"/>
              <w:shd w:val="clear" w:color="auto" w:fill="FFFFFF"/>
              <w:spacing w:before="0" w:beforeAutospacing="0" w:after="0" w:afterAutospacing="0"/>
              <w:ind w:right="300"/>
              <w:jc w:val="both"/>
              <w:textAlignment w:val="baseline"/>
              <w:rPr>
                <w:rFonts w:ascii="Times" w:hAnsi="Times"/>
                <w:b w:val="0"/>
                <w:color w:val="000000" w:themeColor="text1"/>
                <w:sz w:val="24"/>
                <w:szCs w:val="24"/>
              </w:rPr>
            </w:pPr>
            <w:r w:rsidRPr="0008045E">
              <w:rPr>
                <w:rFonts w:ascii="Times" w:hAnsi="Times" w:cs="Arial"/>
                <w:b w:val="0"/>
                <w:color w:val="000000" w:themeColor="text1"/>
                <w:sz w:val="24"/>
                <w:szCs w:val="24"/>
                <w:lang w:val="fi-FI"/>
              </w:rPr>
              <w:t>(</w:t>
            </w:r>
            <w:r w:rsidRPr="0008045E">
              <w:rPr>
                <w:rStyle w:val="authornames"/>
                <w:rFonts w:ascii="Times" w:hAnsi="Times"/>
                <w:b w:val="0"/>
                <w:color w:val="000000" w:themeColor="text1"/>
                <w:sz w:val="24"/>
                <w:szCs w:val="24"/>
                <w:bdr w:val="none" w:sz="0" w:space="0" w:color="auto" w:frame="1"/>
              </w:rPr>
              <w:t xml:space="preserve">Brad C. Astor et al. </w:t>
            </w:r>
            <w:r w:rsidRPr="0008045E">
              <w:rPr>
                <w:rFonts w:ascii="Times" w:hAnsi="Times"/>
                <w:b w:val="0"/>
                <w:color w:val="000000" w:themeColor="text1"/>
                <w:sz w:val="24"/>
                <w:szCs w:val="24"/>
                <w:bdr w:val="none" w:sz="0" w:space="0" w:color="auto" w:frame="1"/>
              </w:rPr>
              <w:t xml:space="preserve"> Association of Kidney Function With Anemia</w:t>
            </w:r>
            <w:r w:rsidRPr="0008045E">
              <w:rPr>
                <w:rStyle w:val="subtitle1"/>
                <w:rFonts w:ascii="Times" w:hAnsi="Times"/>
                <w:b w:val="0"/>
                <w:color w:val="000000" w:themeColor="text1"/>
                <w:sz w:val="24"/>
                <w:szCs w:val="24"/>
                <w:bdr w:val="none" w:sz="0" w:space="0" w:color="auto" w:frame="1"/>
              </w:rPr>
              <w:t xml:space="preserve">The Third National Health and Nutrition Examination Survey (1988-1994)) </w:t>
            </w:r>
            <w:r w:rsidRPr="0008045E">
              <w:rPr>
                <w:rFonts w:ascii="Times" w:hAnsi="Times" w:cs="Arial"/>
                <w:b w:val="0"/>
                <w:color w:val="000000" w:themeColor="text1"/>
                <w:sz w:val="24"/>
                <w:szCs w:val="24"/>
                <w:lang w:val="fi-FI"/>
              </w:rPr>
              <w:t>2002 aastal läbiviidud läbilõikeuuring, et hinnata korrelatsiooni olemasolu neerufunktsiooni ja hemoglobiini taseme vahel. Hinnati 15419 inimeste andmeid ning  selgus, et madalam neerufunktsioon (&lt; 60ml/min/1,73m2) on statistiliselt oluliselt kõrgema aneemia esinemissagedusega.)</w:t>
            </w:r>
          </w:p>
        </w:tc>
        <w:tc>
          <w:tcPr>
            <w:tcW w:w="3402" w:type="dxa"/>
            <w:shd w:val="clear" w:color="auto" w:fill="auto"/>
          </w:tcPr>
          <w:p w14:paraId="094AEDFA" w14:textId="77777777" w:rsidR="000F565E" w:rsidRPr="0064780E" w:rsidRDefault="00BA5A54" w:rsidP="000F565E">
            <w:pPr>
              <w:autoSpaceDE w:val="0"/>
              <w:autoSpaceDN w:val="0"/>
              <w:adjustRightInd w:val="0"/>
              <w:ind w:firstLine="20"/>
              <w:rPr>
                <w:rFonts w:ascii="Verdana" w:hAnsi="Verdana"/>
                <w:sz w:val="18"/>
                <w:szCs w:val="18"/>
              </w:rPr>
            </w:pPr>
            <w:hyperlink r:id="rId9" w:history="1">
              <w:r w:rsidR="000F565E" w:rsidRPr="0064780E">
                <w:rPr>
                  <w:rStyle w:val="Hyperlink"/>
                  <w:rFonts w:ascii="Verdana" w:hAnsi="Verdana"/>
                  <w:sz w:val="18"/>
                  <w:szCs w:val="18"/>
                </w:rPr>
                <w:t>http://www.plosone.org/article/fetchObject.action?uri=info:doi/10.1371/journal.pone.0084943&amp;representation=PDF</w:t>
              </w:r>
            </w:hyperlink>
            <w:r w:rsidR="000F565E" w:rsidRPr="0064780E">
              <w:rPr>
                <w:rFonts w:ascii="Verdana" w:hAnsi="Verdana"/>
                <w:sz w:val="18"/>
                <w:szCs w:val="18"/>
              </w:rPr>
              <w:t xml:space="preserve"> (2014)</w:t>
            </w:r>
          </w:p>
          <w:p w14:paraId="1A9835F6" w14:textId="77777777" w:rsidR="000F565E" w:rsidRDefault="000F565E" w:rsidP="000F565E">
            <w:pPr>
              <w:autoSpaceDE w:val="0"/>
              <w:autoSpaceDN w:val="0"/>
              <w:adjustRightInd w:val="0"/>
              <w:ind w:firstLine="20"/>
            </w:pPr>
          </w:p>
          <w:p w14:paraId="5C5AE34D" w14:textId="77777777" w:rsidR="000F565E" w:rsidRDefault="000F565E" w:rsidP="000F565E">
            <w:pPr>
              <w:autoSpaceDE w:val="0"/>
              <w:autoSpaceDN w:val="0"/>
              <w:adjustRightInd w:val="0"/>
              <w:ind w:firstLine="20"/>
            </w:pPr>
          </w:p>
          <w:p w14:paraId="25CEDF02" w14:textId="77777777" w:rsidR="000F565E" w:rsidRDefault="00BA5A54" w:rsidP="000F565E">
            <w:pPr>
              <w:autoSpaceDE w:val="0"/>
              <w:autoSpaceDN w:val="0"/>
              <w:adjustRightInd w:val="0"/>
              <w:ind w:firstLine="20"/>
              <w:rPr>
                <w:rStyle w:val="Hyperlink"/>
                <w:rFonts w:ascii="Verdana" w:hAnsi="Verdana" w:cs="SabonLTStd-Roman"/>
                <w:sz w:val="18"/>
                <w:szCs w:val="18"/>
              </w:rPr>
            </w:pPr>
            <w:hyperlink r:id="rId10" w:history="1">
              <w:r w:rsidR="000F565E" w:rsidRPr="00CE2206">
                <w:rPr>
                  <w:rStyle w:val="Hyperlink"/>
                  <w:rFonts w:ascii="Verdana" w:hAnsi="Verdana" w:cs="SabonLTStd-Roman"/>
                  <w:sz w:val="18"/>
                  <w:szCs w:val="18"/>
                </w:rPr>
                <w:t>http://archinte.jamanetwork.com/article.aspx?articleid=211681</w:t>
              </w:r>
            </w:hyperlink>
            <w:r w:rsidR="000F565E">
              <w:rPr>
                <w:rStyle w:val="Hyperlink"/>
                <w:rFonts w:ascii="Verdana" w:hAnsi="Verdana" w:cs="SabonLTStd-Roman"/>
                <w:sz w:val="18"/>
                <w:szCs w:val="18"/>
              </w:rPr>
              <w:t xml:space="preserve"> </w:t>
            </w:r>
          </w:p>
          <w:p w14:paraId="0C4E27FF" w14:textId="77777777" w:rsidR="000F565E" w:rsidRPr="0064780E" w:rsidRDefault="000F565E" w:rsidP="000F565E">
            <w:pPr>
              <w:autoSpaceDE w:val="0"/>
              <w:autoSpaceDN w:val="0"/>
              <w:adjustRightInd w:val="0"/>
              <w:ind w:firstLine="20"/>
              <w:rPr>
                <w:rFonts w:ascii="Verdana" w:hAnsi="Verdana" w:cs="SabonLTStd-Roman"/>
                <w:color w:val="000000" w:themeColor="text1"/>
                <w:sz w:val="18"/>
                <w:szCs w:val="18"/>
              </w:rPr>
            </w:pPr>
            <w:r>
              <w:rPr>
                <w:rStyle w:val="Hyperlink"/>
                <w:rFonts w:ascii="Verdana" w:hAnsi="Verdana" w:cs="SabonLTStd-Roman"/>
                <w:color w:val="000000" w:themeColor="text1"/>
                <w:sz w:val="18"/>
                <w:szCs w:val="18"/>
                <w:u w:val="none"/>
              </w:rPr>
              <w:t>(</w:t>
            </w:r>
            <w:r w:rsidRPr="0064780E">
              <w:rPr>
                <w:rStyle w:val="Hyperlink"/>
                <w:rFonts w:ascii="Verdana" w:hAnsi="Verdana" w:cs="SabonLTStd-Roman"/>
                <w:color w:val="000000" w:themeColor="text1"/>
                <w:sz w:val="18"/>
                <w:szCs w:val="18"/>
                <w:u w:val="none"/>
              </w:rPr>
              <w:t>2002</w:t>
            </w:r>
            <w:r>
              <w:rPr>
                <w:rStyle w:val="Hyperlink"/>
                <w:rFonts w:ascii="Verdana" w:hAnsi="Verdana" w:cs="SabonLTStd-Roman"/>
                <w:color w:val="000000" w:themeColor="text1"/>
                <w:sz w:val="18"/>
                <w:szCs w:val="18"/>
                <w:u w:val="none"/>
              </w:rPr>
              <w:t>)</w:t>
            </w:r>
          </w:p>
          <w:p w14:paraId="10F939DA" w14:textId="77777777" w:rsidR="00852B2C" w:rsidRDefault="00852B2C" w:rsidP="005A51BC">
            <w:pPr>
              <w:spacing w:before="75" w:after="225"/>
              <w:rPr>
                <w:rFonts w:ascii="Verdana" w:hAnsi="Verdana" w:cs="Arial"/>
                <w:b/>
                <w:bCs/>
                <w:color w:val="000080"/>
                <w:sz w:val="18"/>
                <w:szCs w:val="18"/>
                <w:lang w:val="en-US"/>
              </w:rPr>
            </w:pPr>
          </w:p>
        </w:tc>
      </w:tr>
      <w:tr w:rsidR="000E774A" w:rsidRPr="00FE17E8" w14:paraId="59235F5F" w14:textId="77777777" w:rsidTr="00DF22F6">
        <w:trPr>
          <w:trHeight w:val="334"/>
        </w:trPr>
        <w:tc>
          <w:tcPr>
            <w:tcW w:w="7797" w:type="dxa"/>
            <w:shd w:val="clear" w:color="auto" w:fill="auto"/>
          </w:tcPr>
          <w:p w14:paraId="7B123520" w14:textId="0C9082DD" w:rsidR="000E774A" w:rsidRDefault="0018039C" w:rsidP="00557CCB">
            <w:pPr>
              <w:spacing w:before="75" w:after="225"/>
              <w:jc w:val="both"/>
              <w:rPr>
                <w:rFonts w:ascii="Times" w:hAnsi="Times" w:cs="Times"/>
                <w:b/>
                <w:color w:val="1A1718"/>
                <w:sz w:val="28"/>
                <w:szCs w:val="28"/>
                <w:lang w:val="en-US"/>
              </w:rPr>
            </w:pPr>
            <w:r w:rsidRPr="00736E8C">
              <w:rPr>
                <w:rFonts w:ascii="Times" w:hAnsi="Times" w:cs="Times"/>
                <w:b/>
                <w:color w:val="1A1718"/>
                <w:sz w:val="28"/>
                <w:szCs w:val="28"/>
                <w:lang w:val="en-US"/>
              </w:rPr>
              <w:lastRenderedPageBreak/>
              <w:t>Inker LA, Coresh J, Levey AS et al. Estimated GFR, albuminuria, and complications of chronic kidney</w:t>
            </w:r>
            <w:r w:rsidR="00557CCB">
              <w:rPr>
                <w:rFonts w:ascii="Times" w:hAnsi="Times" w:cs="Times"/>
                <w:b/>
                <w:color w:val="1A1718"/>
                <w:sz w:val="28"/>
                <w:szCs w:val="28"/>
                <w:lang w:val="en-US"/>
              </w:rPr>
              <w:t xml:space="preserve"> disease. J Am Soc Nephrol 2011</w:t>
            </w:r>
          </w:p>
          <w:p w14:paraId="68F5BCBE" w14:textId="39FE7210" w:rsidR="00557CCB" w:rsidRPr="00557CCB" w:rsidRDefault="00557CCB" w:rsidP="00557CCB">
            <w:pPr>
              <w:jc w:val="both"/>
              <w:rPr>
                <w:rFonts w:ascii="Times" w:hAnsi="Times"/>
                <w:sz w:val="28"/>
                <w:szCs w:val="28"/>
                <w:lang w:val="en-US" w:eastAsia="en-US"/>
              </w:rPr>
            </w:pPr>
            <w:r w:rsidRPr="00557CCB">
              <w:rPr>
                <w:rFonts w:ascii="Times" w:hAnsi="Times"/>
                <w:sz w:val="28"/>
                <w:szCs w:val="28"/>
                <w:lang w:val="en-US" w:eastAsia="en-US"/>
              </w:rPr>
              <w:t xml:space="preserve">Higher levels of albuminuria associate with increased risk for adverse outcomes independent of estimated GFR (eGFR), but whether albuminuria also associates with concurrent complications specific to chronic kidney disease (CKD) is unknown. Here, we </w:t>
            </w:r>
            <w:r w:rsidRPr="00557CCB">
              <w:rPr>
                <w:rFonts w:ascii="Times" w:hAnsi="Times"/>
                <w:sz w:val="28"/>
                <w:szCs w:val="28"/>
                <w:lang w:val="en-US" w:eastAsia="en-US"/>
              </w:rPr>
              <w:lastRenderedPageBreak/>
              <w:t>assessed the association of spot albumin-to</w:t>
            </w:r>
            <w:r>
              <w:rPr>
                <w:rFonts w:ascii="Times" w:hAnsi="Times"/>
                <w:sz w:val="28"/>
                <w:szCs w:val="28"/>
                <w:lang w:val="en-US" w:eastAsia="en-US"/>
              </w:rPr>
              <w:t>-</w:t>
            </w:r>
            <w:r w:rsidRPr="00557CCB">
              <w:rPr>
                <w:rFonts w:ascii="Times" w:hAnsi="Times"/>
                <w:sz w:val="28"/>
                <w:szCs w:val="28"/>
                <w:lang w:val="en-US" w:eastAsia="en-US"/>
              </w:rPr>
              <w:t>creatinine ratio with anemia, acidosis, hyperphosphatemia, hypoalbuminemia, hyperparathyroidism, and hypertension among 30,528 adult participants in NHANES 1988 –1994 and 1999 –2006. After multivariable adjustment including eGFR, higher albumin-to-creatinine ratios associated with anemia, acidosis, hypoalbuminemia, hyperparathyroidism, and hypertension but only weakly associated with acidosis and anemia. Furthermore, the associations between albumin-to-creatinine ratio and both anemia and acidosis were not consistent across eGFR strata. Higher albumin-to-creatinine ratio levels did not associate with hyperphosphatemia. Lower eGFR associated with higher prevalence ratios for all complications, and these associations were stronger than those observed for the albumin-to-creatinine ratio; after multivariable adjustment, however, the associations between eGFR and both hypoalbuminemia and hypertension were NS. In conclusion, albuminuria and eGFR differentially associate with complications of CKD</w:t>
            </w:r>
            <w:r>
              <w:rPr>
                <w:rFonts w:ascii="Times" w:hAnsi="Times"/>
                <w:sz w:val="28"/>
                <w:szCs w:val="28"/>
                <w:lang w:val="en-US" w:eastAsia="en-US"/>
              </w:rPr>
              <w:t>.</w:t>
            </w:r>
          </w:p>
          <w:p w14:paraId="29EB677F" w14:textId="77777777" w:rsidR="00557CCB" w:rsidRDefault="00557CCB" w:rsidP="00557CCB">
            <w:pPr>
              <w:jc w:val="both"/>
              <w:rPr>
                <w:rFonts w:ascii="Times" w:hAnsi="Times"/>
                <w:sz w:val="28"/>
                <w:szCs w:val="28"/>
                <w:lang w:val="en-US" w:eastAsia="en-US"/>
              </w:rPr>
            </w:pPr>
          </w:p>
          <w:p w14:paraId="4663F977" w14:textId="5E2EE763" w:rsidR="00557CCB" w:rsidRPr="00557CCB" w:rsidRDefault="00557CCB" w:rsidP="00557CCB">
            <w:pPr>
              <w:jc w:val="both"/>
              <w:rPr>
                <w:rFonts w:ascii="Times" w:hAnsi="Times"/>
                <w:b/>
                <w:sz w:val="28"/>
                <w:szCs w:val="28"/>
                <w:lang w:val="en-US" w:eastAsia="en-US"/>
              </w:rPr>
            </w:pPr>
            <w:r w:rsidRPr="00557CCB">
              <w:rPr>
                <w:rFonts w:ascii="Times" w:hAnsi="Times"/>
                <w:b/>
                <w:sz w:val="28"/>
                <w:szCs w:val="28"/>
                <w:lang w:val="en-US" w:eastAsia="en-US"/>
              </w:rPr>
              <w:t>Selles uuringus samuti kasutatud NHANES andmed, uuriti seoseid albuminuria (albumiini/kretiniini suhe), arvutusliku filtratsioonikiiruse (eGFR) ja KNH tüsistuste vahel (aneemia, atsidoos, hüpoalbumineemi</w:t>
            </w:r>
            <w:r w:rsidR="004F1188">
              <w:rPr>
                <w:rFonts w:ascii="Times" w:hAnsi="Times"/>
                <w:b/>
                <w:sz w:val="28"/>
                <w:szCs w:val="28"/>
                <w:lang w:val="en-US" w:eastAsia="en-US"/>
              </w:rPr>
              <w:t>a, hüperfosfateemia, hüperparatü</w:t>
            </w:r>
            <w:r w:rsidRPr="00557CCB">
              <w:rPr>
                <w:rFonts w:ascii="Times" w:hAnsi="Times"/>
                <w:b/>
                <w:sz w:val="28"/>
                <w:szCs w:val="28"/>
                <w:lang w:val="en-US" w:eastAsia="en-US"/>
              </w:rPr>
              <w:t>reoidism, hüpertensioon).</w:t>
            </w:r>
          </w:p>
          <w:p w14:paraId="6B5EA963" w14:textId="1A4B8DDF" w:rsidR="00557CCB" w:rsidRPr="006C264B" w:rsidRDefault="00557CCB" w:rsidP="006C264B">
            <w:pPr>
              <w:jc w:val="both"/>
              <w:rPr>
                <w:rFonts w:ascii="Times" w:hAnsi="Times"/>
                <w:b/>
                <w:sz w:val="28"/>
                <w:szCs w:val="28"/>
                <w:lang w:val="en-US" w:eastAsia="en-US"/>
              </w:rPr>
            </w:pPr>
            <w:r w:rsidRPr="00557CCB">
              <w:rPr>
                <w:rFonts w:ascii="Times" w:hAnsi="Times"/>
                <w:b/>
                <w:sz w:val="28"/>
                <w:szCs w:val="28"/>
                <w:lang w:val="en-US" w:eastAsia="en-US"/>
              </w:rPr>
              <w:t xml:space="preserve">Kõrgem albumiini/kreatiniini suhe oli seotud aneemiaga sõltumata eGFRst. Samuti oli näidatud seost madalama eGFRi ja aneemia esinemissageduse tõusu vahel. Seos eGFR ja aneemia vahel oli statistiliselt tugevam kui albuminuria ja aneemia vaheline seos. </w:t>
            </w:r>
          </w:p>
        </w:tc>
        <w:tc>
          <w:tcPr>
            <w:tcW w:w="3402" w:type="dxa"/>
            <w:shd w:val="clear" w:color="auto" w:fill="auto"/>
          </w:tcPr>
          <w:p w14:paraId="28C9908D" w14:textId="39371683" w:rsidR="00931013" w:rsidRPr="00557CCB" w:rsidRDefault="00BA5A54" w:rsidP="00DF22F6">
            <w:pPr>
              <w:rPr>
                <w:rFonts w:ascii="Verdana" w:hAnsi="Verdana"/>
                <w:sz w:val="18"/>
                <w:szCs w:val="18"/>
              </w:rPr>
            </w:pPr>
            <w:hyperlink r:id="rId11" w:history="1">
              <w:r w:rsidR="00557CCB" w:rsidRPr="00557CCB">
                <w:rPr>
                  <w:rStyle w:val="Hyperlink"/>
                  <w:rFonts w:ascii="Verdana" w:hAnsi="Verdana"/>
                  <w:sz w:val="18"/>
                  <w:szCs w:val="18"/>
                </w:rPr>
                <w:t>http://jasn.asnjournals.org/content/22/12/2322.full.pdf+html</w:t>
              </w:r>
            </w:hyperlink>
          </w:p>
          <w:p w14:paraId="29952118" w14:textId="461EDB22" w:rsidR="00557CCB" w:rsidRDefault="00557CCB" w:rsidP="00DF22F6">
            <w:pPr>
              <w:rPr>
                <w:rFonts w:ascii="Verdana" w:hAnsi="Verdana" w:cs="Arial"/>
                <w:b/>
                <w:bCs/>
                <w:color w:val="000080"/>
                <w:sz w:val="18"/>
                <w:szCs w:val="18"/>
                <w:lang w:val="en-US"/>
              </w:rPr>
            </w:pPr>
          </w:p>
        </w:tc>
      </w:tr>
      <w:tr w:rsidR="000E774A" w:rsidRPr="00FE17E8" w14:paraId="7AB226CE" w14:textId="77777777" w:rsidTr="00FF1C1A">
        <w:tc>
          <w:tcPr>
            <w:tcW w:w="7797" w:type="dxa"/>
            <w:shd w:val="clear" w:color="auto" w:fill="auto"/>
          </w:tcPr>
          <w:p w14:paraId="5C713905" w14:textId="58034D73" w:rsidR="008D3EBA" w:rsidRDefault="008D3EBA" w:rsidP="008D3EBA">
            <w:pPr>
              <w:rPr>
                <w:rFonts w:ascii="Times" w:hAnsi="Times"/>
                <w:b/>
                <w:sz w:val="28"/>
                <w:szCs w:val="28"/>
                <w:lang w:val="en-US" w:eastAsia="en-US"/>
              </w:rPr>
            </w:pPr>
            <w:r w:rsidRPr="006F7DE4">
              <w:rPr>
                <w:rFonts w:ascii="Times" w:hAnsi="Times"/>
                <w:b/>
                <w:sz w:val="28"/>
                <w:szCs w:val="28"/>
                <w:lang w:val="en-US" w:eastAsia="en-US"/>
              </w:rPr>
              <w:lastRenderedPageBreak/>
              <w:t>Steven Fishbane et al. Iron Indices in Chronic Kidney Disease in the National Health and Nutritional Examination Survey 1988 –2004</w:t>
            </w:r>
            <w:r>
              <w:rPr>
                <w:rFonts w:ascii="Times" w:hAnsi="Times"/>
                <w:b/>
                <w:sz w:val="28"/>
                <w:szCs w:val="28"/>
                <w:lang w:val="en-US" w:eastAsia="en-US"/>
              </w:rPr>
              <w:t xml:space="preserve"> (2009)</w:t>
            </w:r>
          </w:p>
          <w:p w14:paraId="46D4686F" w14:textId="77777777" w:rsidR="008D3EBA" w:rsidRDefault="008D3EBA" w:rsidP="008D3EBA">
            <w:pPr>
              <w:jc w:val="both"/>
              <w:rPr>
                <w:rFonts w:ascii="Times" w:hAnsi="Times"/>
                <w:sz w:val="28"/>
                <w:szCs w:val="28"/>
                <w:lang w:val="en-US" w:eastAsia="en-US"/>
              </w:rPr>
            </w:pPr>
            <w:r w:rsidRPr="0008544D">
              <w:rPr>
                <w:rFonts w:ascii="Times" w:hAnsi="Times"/>
                <w:i/>
                <w:sz w:val="28"/>
                <w:szCs w:val="28"/>
                <w:u w:val="single"/>
                <w:lang w:val="en-US" w:eastAsia="en-US"/>
              </w:rPr>
              <w:t>Background and objectives:</w:t>
            </w:r>
            <w:r w:rsidRPr="008D3EBA">
              <w:rPr>
                <w:rFonts w:ascii="Times" w:hAnsi="Times"/>
                <w:sz w:val="28"/>
                <w:szCs w:val="28"/>
                <w:lang w:val="en-US" w:eastAsia="en-US"/>
              </w:rPr>
              <w:t xml:space="preserve"> Anemia is a common and early complication of nondialysis chronic kidney disease (CKD). One contributing factor is iron deficiency, which may be particularly problematic during erythropoietin replacement therapy. </w:t>
            </w:r>
            <w:r w:rsidRPr="008D3EBA">
              <w:rPr>
                <w:rFonts w:ascii="Times" w:hAnsi="Times"/>
                <w:sz w:val="28"/>
                <w:szCs w:val="28"/>
                <w:u w:val="single"/>
                <w:lang w:val="en-US" w:eastAsia="en-US"/>
              </w:rPr>
              <w:t>The aim of this study was to examine the prevalence of iron deficiency in nondialysis CKD.</w:t>
            </w:r>
            <w:r w:rsidRPr="008D3EBA">
              <w:rPr>
                <w:rFonts w:ascii="Times" w:hAnsi="Times"/>
                <w:sz w:val="28"/>
                <w:szCs w:val="28"/>
                <w:lang w:val="en-US" w:eastAsia="en-US"/>
              </w:rPr>
              <w:t xml:space="preserve"> Design, setting, participants, &amp; measurements: The National Health and Nutritional Examination Survey (NHANES) data for NHANES III (1988 to 1994) and subsequent NHANES 2-yr datasets, 1999 to 2000, 2001 to 2002, and 2003 to 2004 were analyzed for individuals &gt;18 yr old. </w:t>
            </w:r>
            <w:r w:rsidRPr="0008544D">
              <w:rPr>
                <w:rFonts w:ascii="Times" w:hAnsi="Times"/>
                <w:i/>
                <w:sz w:val="28"/>
                <w:szCs w:val="28"/>
                <w:u w:val="single"/>
                <w:lang w:val="en-US" w:eastAsia="en-US"/>
              </w:rPr>
              <w:t>Results:</w:t>
            </w:r>
            <w:r w:rsidRPr="008D3EBA">
              <w:rPr>
                <w:rFonts w:ascii="Times" w:hAnsi="Times"/>
                <w:sz w:val="28"/>
                <w:szCs w:val="28"/>
                <w:lang w:val="en-US" w:eastAsia="en-US"/>
              </w:rPr>
              <w:t xml:space="preserve"> </w:t>
            </w:r>
            <w:r w:rsidRPr="0008544D">
              <w:rPr>
                <w:rFonts w:ascii="Times" w:hAnsi="Times"/>
                <w:sz w:val="28"/>
                <w:szCs w:val="28"/>
                <w:u w:val="single"/>
                <w:lang w:val="en-US" w:eastAsia="en-US"/>
              </w:rPr>
              <w:t>It was found that low levels of iron tests [either serum ferritin &lt; 100 ng/ml or transferrin saturation (TSAT) &lt; 20%] were present in most patients with reduced creatinine clearance (CrCl). The percentage of low iron tests was higher among women than men, present in 57.8 to 58.8% of men and 69.9 to 72.8% of women (P &lt; 0.001). With declining levels of CrCl, in women, TSAT levels</w:t>
            </w:r>
            <w:r w:rsidRPr="008D3EBA">
              <w:rPr>
                <w:rFonts w:ascii="Times" w:hAnsi="Times"/>
                <w:sz w:val="28"/>
                <w:szCs w:val="28"/>
                <w:lang w:val="en-US" w:eastAsia="en-US"/>
              </w:rPr>
              <w:t xml:space="preserve"> </w:t>
            </w:r>
            <w:r w:rsidRPr="0008544D">
              <w:rPr>
                <w:rFonts w:ascii="Times" w:hAnsi="Times"/>
                <w:sz w:val="28"/>
                <w:szCs w:val="28"/>
                <w:u w:val="single"/>
                <w:lang w:val="en-US" w:eastAsia="en-US"/>
              </w:rPr>
              <w:t xml:space="preserve">decreased, whereas, surprisingly, serum ferritin tended to progressively increase. The percentage of anemic subjects increased progressively with declining quartiles of TSAT but was unrelated to serum ferritin quartiles. </w:t>
            </w:r>
            <w:r w:rsidRPr="0008544D">
              <w:rPr>
                <w:rFonts w:ascii="Times" w:hAnsi="Times"/>
                <w:i/>
                <w:sz w:val="28"/>
                <w:szCs w:val="28"/>
                <w:u w:val="single"/>
                <w:lang w:val="en-US" w:eastAsia="en-US"/>
              </w:rPr>
              <w:t>Conclusions:</w:t>
            </w:r>
            <w:r w:rsidRPr="008D3EBA">
              <w:rPr>
                <w:rFonts w:ascii="Times" w:hAnsi="Times"/>
                <w:sz w:val="28"/>
                <w:szCs w:val="28"/>
                <w:lang w:val="en-US" w:eastAsia="en-US"/>
              </w:rPr>
              <w:t xml:space="preserve"> It was found that low levels of iron tests, following National Kidney Foundation/Kidney Disease Outcomes Quality Initiative guidelines (either serum ferritin &lt; 100 ng/ml or TSAT &lt; 20%) were present in most patients with reduced CrCl.</w:t>
            </w:r>
          </w:p>
          <w:p w14:paraId="517EFA91" w14:textId="77777777" w:rsidR="0008544D" w:rsidRDefault="0008544D" w:rsidP="008D3EBA">
            <w:pPr>
              <w:jc w:val="both"/>
              <w:rPr>
                <w:rFonts w:ascii="Times" w:hAnsi="Times"/>
                <w:sz w:val="28"/>
                <w:szCs w:val="28"/>
                <w:lang w:val="en-US" w:eastAsia="en-US"/>
              </w:rPr>
            </w:pPr>
          </w:p>
          <w:p w14:paraId="715A4F40" w14:textId="3B3119CE" w:rsidR="00C6654F" w:rsidRPr="003D337E" w:rsidRDefault="00292BEE" w:rsidP="009C75F8">
            <w:pPr>
              <w:jc w:val="both"/>
              <w:rPr>
                <w:rFonts w:ascii="Times" w:hAnsi="Times"/>
                <w:sz w:val="28"/>
                <w:szCs w:val="28"/>
                <w:lang w:val="en-US" w:eastAsia="en-US"/>
              </w:rPr>
            </w:pPr>
            <w:r w:rsidRPr="003D337E">
              <w:rPr>
                <w:rFonts w:ascii="Times" w:hAnsi="Times"/>
                <w:b/>
                <w:sz w:val="28"/>
                <w:szCs w:val="28"/>
                <w:lang w:val="en-US" w:eastAsia="en-US"/>
              </w:rPr>
              <w:t xml:space="preserve">2009 aastal läbiviidud uuring (NHANES andmebaasi põhine) näitas, et rauafunktsiooni näitajad (TSAT või seerumi ferritin) olid madalamad enamikel alanenud CCr haigetest. </w:t>
            </w:r>
            <w:r w:rsidR="003D337E" w:rsidRPr="003D337E">
              <w:rPr>
                <w:rFonts w:ascii="Times" w:hAnsi="Times"/>
                <w:b/>
                <w:sz w:val="28"/>
                <w:szCs w:val="28"/>
                <w:lang w:val="en-US" w:eastAsia="en-US"/>
              </w:rPr>
              <w:t>Madalate rauanäitajate protsent oli kõrgem naistel. CCr alanemisel naistel alanes ka TSAT tase, kuid ferritiitini tase oli tõusutendentsiga</w:t>
            </w:r>
            <w:r w:rsidR="003D337E">
              <w:rPr>
                <w:rFonts w:ascii="Times" w:hAnsi="Times"/>
                <w:sz w:val="28"/>
                <w:szCs w:val="28"/>
                <w:lang w:val="en-US" w:eastAsia="en-US"/>
              </w:rPr>
              <w:t>.</w:t>
            </w:r>
          </w:p>
        </w:tc>
        <w:tc>
          <w:tcPr>
            <w:tcW w:w="3402" w:type="dxa"/>
            <w:shd w:val="clear" w:color="auto" w:fill="auto"/>
          </w:tcPr>
          <w:p w14:paraId="04875CE4" w14:textId="77777777" w:rsidR="008D3EBA" w:rsidRDefault="00BA5A54" w:rsidP="008D3EBA">
            <w:pPr>
              <w:ind w:right="30"/>
              <w:rPr>
                <w:rFonts w:ascii="Verdana" w:hAnsi="Verdana" w:cs="Arial"/>
                <w:color w:val="000080"/>
                <w:sz w:val="18"/>
                <w:szCs w:val="18"/>
                <w:lang w:val="en-US"/>
              </w:rPr>
            </w:pPr>
            <w:hyperlink r:id="rId12" w:history="1">
              <w:r w:rsidR="008D3EBA" w:rsidRPr="00B6203F">
                <w:rPr>
                  <w:rStyle w:val="Hyperlink"/>
                  <w:rFonts w:ascii="Verdana" w:hAnsi="Verdana" w:cs="Arial"/>
                  <w:sz w:val="18"/>
                  <w:szCs w:val="18"/>
                  <w:lang w:val="en-US"/>
                </w:rPr>
                <w:t>http://cjasn.asnjournals.org/content/4/1/57.full.pdf+html</w:t>
              </w:r>
            </w:hyperlink>
          </w:p>
          <w:p w14:paraId="4EADC02C" w14:textId="4542FE90" w:rsidR="00C66072" w:rsidRPr="00925471" w:rsidRDefault="00C66072" w:rsidP="006C264B">
            <w:pPr>
              <w:autoSpaceDE w:val="0"/>
              <w:autoSpaceDN w:val="0"/>
              <w:adjustRightInd w:val="0"/>
              <w:ind w:firstLine="20"/>
              <w:rPr>
                <w:rFonts w:ascii="Verdana" w:hAnsi="Verdana" w:cs="SabonLTStd-Roman"/>
                <w:color w:val="000080"/>
                <w:sz w:val="18"/>
                <w:szCs w:val="18"/>
              </w:rPr>
            </w:pPr>
          </w:p>
        </w:tc>
      </w:tr>
      <w:tr w:rsidR="005437D6" w:rsidRPr="00FE17E8" w14:paraId="2934A667" w14:textId="77777777" w:rsidTr="00FF1C1A">
        <w:tc>
          <w:tcPr>
            <w:tcW w:w="7797" w:type="dxa"/>
            <w:shd w:val="clear" w:color="auto" w:fill="auto"/>
          </w:tcPr>
          <w:p w14:paraId="0A256A55" w14:textId="77777777" w:rsidR="005437D6" w:rsidRDefault="005437D6" w:rsidP="005437D6">
            <w:pPr>
              <w:rPr>
                <w:rFonts w:ascii="Times" w:hAnsi="Times"/>
                <w:b/>
                <w:color w:val="000000" w:themeColor="text1"/>
                <w:sz w:val="28"/>
                <w:szCs w:val="28"/>
              </w:rPr>
            </w:pPr>
            <w:r w:rsidRPr="005437D6">
              <w:rPr>
                <w:rFonts w:ascii="Times" w:hAnsi="Times"/>
                <w:b/>
                <w:sz w:val="28"/>
                <w:szCs w:val="28"/>
                <w:lang w:val="en-US" w:eastAsia="en-US"/>
              </w:rPr>
              <w:t>CHI-YUAN HSU et al.</w:t>
            </w:r>
            <w:r>
              <w:rPr>
                <w:rFonts w:ascii="Times" w:hAnsi="Times"/>
                <w:sz w:val="20"/>
                <w:szCs w:val="20"/>
                <w:lang w:val="en-US" w:eastAsia="en-US"/>
              </w:rPr>
              <w:t xml:space="preserve"> </w:t>
            </w:r>
            <w:r w:rsidRPr="005343EF">
              <w:rPr>
                <w:rFonts w:ascii="Times" w:hAnsi="Times"/>
                <w:b/>
                <w:color w:val="000000" w:themeColor="text1"/>
                <w:sz w:val="28"/>
                <w:szCs w:val="28"/>
              </w:rPr>
              <w:t>Iron Status and Hemoglobin Level in C</w:t>
            </w:r>
            <w:r>
              <w:rPr>
                <w:rFonts w:ascii="Times" w:hAnsi="Times"/>
                <w:b/>
                <w:color w:val="000000" w:themeColor="text1"/>
                <w:sz w:val="28"/>
                <w:szCs w:val="28"/>
              </w:rPr>
              <w:t>hronic Renal Insufficiency (2002</w:t>
            </w:r>
            <w:r w:rsidRPr="005343EF">
              <w:rPr>
                <w:rFonts w:ascii="Times" w:hAnsi="Times"/>
                <w:b/>
                <w:color w:val="000000" w:themeColor="text1"/>
                <w:sz w:val="28"/>
                <w:szCs w:val="28"/>
              </w:rPr>
              <w:t>)</w:t>
            </w:r>
          </w:p>
          <w:p w14:paraId="586CE5EA" w14:textId="7E3FED09" w:rsidR="005437D6" w:rsidRDefault="005437D6" w:rsidP="005437D6">
            <w:pPr>
              <w:jc w:val="both"/>
              <w:rPr>
                <w:rFonts w:ascii="Times" w:hAnsi="Times"/>
                <w:sz w:val="28"/>
                <w:szCs w:val="28"/>
                <w:lang w:val="en-US" w:eastAsia="en-US"/>
              </w:rPr>
            </w:pPr>
            <w:r w:rsidRPr="005437D6">
              <w:rPr>
                <w:rFonts w:ascii="Times" w:hAnsi="Times"/>
                <w:i/>
                <w:sz w:val="28"/>
                <w:szCs w:val="28"/>
                <w:u w:val="single"/>
                <w:lang w:val="en-US" w:eastAsia="en-US"/>
              </w:rPr>
              <w:t>Abstract.</w:t>
            </w:r>
            <w:r w:rsidRPr="005437D6">
              <w:rPr>
                <w:rFonts w:ascii="Times" w:hAnsi="Times"/>
                <w:sz w:val="28"/>
                <w:szCs w:val="28"/>
                <w:lang w:val="en-US" w:eastAsia="en-US"/>
              </w:rPr>
              <w:t xml:space="preserve"> Much has been written on the important contribution of iron deficiency toward anemia and epoetin resistance among end-stage renal disease (ESRD) patients, but there are few studies of iron status among chronic renal insufficiency (CRI) subjects not yet requiring dialysis. The National Kidney Foundation-Kidney Disease Outcomes Quality Initiative (NKF-K/DOQI) Practice Guidelines </w:t>
            </w:r>
            <w:r>
              <w:rPr>
                <w:rFonts w:ascii="Times" w:hAnsi="Times"/>
                <w:sz w:val="28"/>
                <w:szCs w:val="28"/>
                <w:lang w:val="en-US" w:eastAsia="en-US"/>
              </w:rPr>
              <w:t>recommend maintaining ferritin &gt;</w:t>
            </w:r>
            <w:r w:rsidRPr="005437D6">
              <w:rPr>
                <w:rFonts w:ascii="Times" w:hAnsi="Times"/>
                <w:sz w:val="28"/>
                <w:szCs w:val="28"/>
                <w:lang w:val="en-US" w:eastAsia="en-US"/>
              </w:rPr>
              <w:t>100 ng/ml and</w:t>
            </w:r>
            <w:r>
              <w:rPr>
                <w:rFonts w:ascii="Times" w:hAnsi="Times"/>
                <w:sz w:val="28"/>
                <w:szCs w:val="28"/>
                <w:lang w:val="en-US" w:eastAsia="en-US"/>
              </w:rPr>
              <w:t xml:space="preserve"> transferrin saturation (TSAT) &gt;</w:t>
            </w:r>
            <w:r w:rsidRPr="005437D6">
              <w:rPr>
                <w:rFonts w:ascii="Times" w:hAnsi="Times"/>
                <w:sz w:val="28"/>
                <w:szCs w:val="28"/>
                <w:lang w:val="en-US" w:eastAsia="en-US"/>
              </w:rPr>
              <w:t>20% to ensure adequate iron supply for erythropoiesis among patients with chronic kidney disease, whether or not they are dialysis-dependent. Analysis of the nationally representative data from the Third National Health and Nutrition Examination Survey (NHANES III 1988–1994) revealed that only a minority of anemic CRI subjects in the United States met these K/DOQI targets. For example, in the range of creatinine clearance (CrCl) 30 to 50 ml/min, less than on</w:t>
            </w:r>
            <w:r>
              <w:rPr>
                <w:rFonts w:ascii="Times" w:hAnsi="Times"/>
                <w:sz w:val="28"/>
                <w:szCs w:val="28"/>
                <w:lang w:val="en-US" w:eastAsia="en-US"/>
              </w:rPr>
              <w:t>e third of men with hemoglobin &lt;</w:t>
            </w:r>
            <w:r w:rsidRPr="005437D6">
              <w:rPr>
                <w:rFonts w:ascii="Times" w:hAnsi="Times"/>
                <w:sz w:val="28"/>
                <w:szCs w:val="28"/>
                <w:lang w:val="en-US" w:eastAsia="en-US"/>
              </w:rPr>
              <w:t xml:space="preserve">12 </w:t>
            </w:r>
            <w:r>
              <w:rPr>
                <w:rFonts w:ascii="Times" w:hAnsi="Times"/>
                <w:sz w:val="28"/>
                <w:szCs w:val="28"/>
                <w:lang w:val="en-US" w:eastAsia="en-US"/>
              </w:rPr>
              <w:t>g/dl and women with hemoglobin &lt;11 g/dl had ferritin &gt;</w:t>
            </w:r>
            <w:r w:rsidRPr="005437D6">
              <w:rPr>
                <w:rFonts w:ascii="Times" w:hAnsi="Times"/>
                <w:sz w:val="28"/>
                <w:szCs w:val="28"/>
                <w:lang w:val="en-US" w:eastAsia="en-US"/>
              </w:rPr>
              <w:t>100 ng</w:t>
            </w:r>
            <w:r>
              <w:rPr>
                <w:rFonts w:ascii="Times" w:hAnsi="Times"/>
                <w:sz w:val="28"/>
                <w:szCs w:val="28"/>
                <w:lang w:val="en-US" w:eastAsia="en-US"/>
              </w:rPr>
              <w:t>/ml and TSAT &gt;</w:t>
            </w:r>
            <w:r w:rsidRPr="005437D6">
              <w:rPr>
                <w:rFonts w:ascii="Times" w:hAnsi="Times"/>
                <w:sz w:val="28"/>
                <w:szCs w:val="28"/>
                <w:lang w:val="en-US" w:eastAsia="en-US"/>
              </w:rPr>
              <w:t>20%. In addition, TSAT levels above 20% were independently associated with higher hemoglobin levels. Such data raise the question whether the K/DOQI targets should be reevaluated. It is concluded that ferritin and TSAT targets derived from ESRD studies may not be applicable to subjects with CRI. Further studies are needed to guide optimization of iron status and hemoglobin level in the much larger CRI population.</w:t>
            </w:r>
          </w:p>
          <w:p w14:paraId="27E46424" w14:textId="3064E77A" w:rsidR="007E0151" w:rsidRDefault="007E0151" w:rsidP="005437D6">
            <w:pPr>
              <w:jc w:val="both"/>
              <w:rPr>
                <w:rFonts w:ascii="Times" w:hAnsi="Times"/>
                <w:b/>
                <w:sz w:val="28"/>
                <w:szCs w:val="28"/>
                <w:lang w:val="en-US" w:eastAsia="en-US"/>
              </w:rPr>
            </w:pPr>
            <w:r>
              <w:rPr>
                <w:rFonts w:ascii="Times" w:hAnsi="Times"/>
                <w:b/>
                <w:sz w:val="28"/>
                <w:szCs w:val="28"/>
                <w:lang w:val="en-US" w:eastAsia="en-US"/>
              </w:rPr>
              <w:t xml:space="preserve">Uuringus samuti kasutatud NHANES andmebaasi, et selgitada välja kuidas rauafunktsiooni näitajad on seotud KNH staadiumiga. </w:t>
            </w:r>
          </w:p>
          <w:p w14:paraId="00F23D21" w14:textId="18751B2B" w:rsidR="005437D6" w:rsidRPr="006F7DE4" w:rsidRDefault="007E0151" w:rsidP="00184103">
            <w:pPr>
              <w:jc w:val="both"/>
              <w:rPr>
                <w:rFonts w:ascii="Times" w:hAnsi="Times"/>
                <w:b/>
                <w:sz w:val="28"/>
                <w:szCs w:val="28"/>
                <w:lang w:val="en-US" w:eastAsia="en-US"/>
              </w:rPr>
            </w:pPr>
            <w:r>
              <w:rPr>
                <w:rFonts w:ascii="Times" w:hAnsi="Times"/>
                <w:b/>
                <w:sz w:val="28"/>
                <w:szCs w:val="28"/>
                <w:lang w:val="en-US" w:eastAsia="en-US"/>
              </w:rPr>
              <w:t>Vähem kui 1/3 KNHga uuritavatest</w:t>
            </w:r>
            <w:r w:rsidR="009C75F8">
              <w:rPr>
                <w:rFonts w:ascii="Times" w:hAnsi="Times"/>
                <w:b/>
                <w:sz w:val="28"/>
                <w:szCs w:val="28"/>
                <w:lang w:val="en-US" w:eastAsia="en-US"/>
              </w:rPr>
              <w:t xml:space="preserve"> (CrCl 30-50ml/min)</w:t>
            </w:r>
            <w:r>
              <w:rPr>
                <w:rFonts w:ascii="Times" w:hAnsi="Times"/>
                <w:b/>
                <w:sz w:val="28"/>
                <w:szCs w:val="28"/>
                <w:lang w:val="en-US" w:eastAsia="en-US"/>
              </w:rPr>
              <w:t xml:space="preserve"> TSAT tase oli &gt; 20% ja feriitiini tase &gt;100mkg/l. </w:t>
            </w:r>
          </w:p>
        </w:tc>
        <w:tc>
          <w:tcPr>
            <w:tcW w:w="3402" w:type="dxa"/>
            <w:shd w:val="clear" w:color="auto" w:fill="auto"/>
          </w:tcPr>
          <w:p w14:paraId="49885B79" w14:textId="77777777" w:rsidR="005437D6" w:rsidRDefault="00BA5A54" w:rsidP="005437D6">
            <w:pPr>
              <w:spacing w:beforeLines="1" w:before="2" w:afterLines="1" w:after="2"/>
              <w:jc w:val="both"/>
              <w:rPr>
                <w:rFonts w:ascii="Verdana" w:hAnsi="Verdana"/>
                <w:sz w:val="18"/>
                <w:szCs w:val="18"/>
              </w:rPr>
            </w:pPr>
            <w:hyperlink r:id="rId13" w:history="1">
              <w:r w:rsidR="005437D6" w:rsidRPr="00B6203F">
                <w:rPr>
                  <w:rStyle w:val="Hyperlink"/>
                  <w:rFonts w:ascii="Verdana" w:hAnsi="Verdana"/>
                  <w:sz w:val="18"/>
                  <w:szCs w:val="18"/>
                </w:rPr>
                <w:t>http://jasn.asnjournals.org/content/13/11/2783.full.pdf+html</w:t>
              </w:r>
            </w:hyperlink>
          </w:p>
          <w:p w14:paraId="681FDB80" w14:textId="77777777" w:rsidR="005437D6" w:rsidRDefault="005437D6" w:rsidP="008D3EBA">
            <w:pPr>
              <w:ind w:right="30"/>
              <w:rPr>
                <w:rFonts w:ascii="Verdana" w:hAnsi="Verdana" w:cs="Arial"/>
                <w:color w:val="000080"/>
                <w:sz w:val="18"/>
                <w:szCs w:val="18"/>
                <w:lang w:val="en-US"/>
              </w:rPr>
            </w:pPr>
          </w:p>
        </w:tc>
      </w:tr>
      <w:tr w:rsidR="005343EF" w:rsidRPr="00FE17E8" w14:paraId="55F94414" w14:textId="77777777" w:rsidTr="00FF1C1A">
        <w:tc>
          <w:tcPr>
            <w:tcW w:w="7797" w:type="dxa"/>
            <w:shd w:val="clear" w:color="auto" w:fill="auto"/>
          </w:tcPr>
          <w:p w14:paraId="2B11AC3C" w14:textId="4FCF0C4D" w:rsidR="005343EF" w:rsidRDefault="00D53451" w:rsidP="00D53451">
            <w:pPr>
              <w:pStyle w:val="Heading1"/>
              <w:shd w:val="clear" w:color="auto" w:fill="FFFFFF"/>
              <w:spacing w:before="150" w:beforeAutospacing="0" w:after="0" w:afterAutospacing="0"/>
              <w:textAlignment w:val="baseline"/>
              <w:rPr>
                <w:rFonts w:ascii="Times" w:hAnsi="Times" w:cs="Lucida Sans Unicode"/>
                <w:color w:val="000000" w:themeColor="text1"/>
                <w:sz w:val="28"/>
                <w:szCs w:val="28"/>
              </w:rPr>
            </w:pPr>
            <w:r w:rsidRPr="00D53451">
              <w:rPr>
                <w:rFonts w:ascii="Times" w:hAnsi="Times" w:cs="Lucida Sans Unicode"/>
                <w:color w:val="000000" w:themeColor="text1"/>
                <w:sz w:val="28"/>
                <w:szCs w:val="28"/>
              </w:rPr>
              <w:t>Simona Stancu et al. Can the Response to Iron Therapy Be Predicted in Anemic Nondialysis Patients wi</w:t>
            </w:r>
            <w:r w:rsidR="00D63E36">
              <w:rPr>
                <w:rFonts w:ascii="Times" w:hAnsi="Times" w:cs="Lucida Sans Unicode"/>
                <w:color w:val="000000" w:themeColor="text1"/>
                <w:sz w:val="28"/>
                <w:szCs w:val="28"/>
              </w:rPr>
              <w:t>th Chronic Kidney Disease? (2010</w:t>
            </w:r>
            <w:r w:rsidRPr="00D53451">
              <w:rPr>
                <w:rFonts w:ascii="Times" w:hAnsi="Times" w:cs="Lucida Sans Unicode"/>
                <w:color w:val="000000" w:themeColor="text1"/>
                <w:sz w:val="28"/>
                <w:szCs w:val="28"/>
              </w:rPr>
              <w:t>)</w:t>
            </w:r>
          </w:p>
          <w:p w14:paraId="735104BD" w14:textId="3CBEDAD4" w:rsidR="00F4049A" w:rsidRPr="00D63E36" w:rsidRDefault="00F4049A" w:rsidP="00F4049A">
            <w:pPr>
              <w:shd w:val="clear" w:color="auto" w:fill="FFFFFF"/>
              <w:spacing w:before="225" w:after="225"/>
              <w:jc w:val="both"/>
              <w:textAlignment w:val="baseline"/>
              <w:rPr>
                <w:rFonts w:ascii="Times" w:hAnsi="Times" w:cs="Lucida Sans Unicode"/>
                <w:color w:val="000000" w:themeColor="text1"/>
                <w:sz w:val="28"/>
                <w:szCs w:val="28"/>
                <w:lang w:val="en-US" w:eastAsia="en-US"/>
              </w:rPr>
            </w:pPr>
            <w:r w:rsidRPr="00D63E36">
              <w:rPr>
                <w:rFonts w:ascii="Times" w:hAnsi="Times" w:cs="Lucida Sans Unicode"/>
                <w:i/>
                <w:color w:val="000000" w:themeColor="text1"/>
                <w:sz w:val="28"/>
                <w:szCs w:val="28"/>
                <w:u w:val="single"/>
                <w:lang w:val="en-US" w:eastAsia="en-US"/>
              </w:rPr>
              <w:t>Background and objectives:</w:t>
            </w:r>
            <w:r w:rsidRPr="00D63E36">
              <w:rPr>
                <w:rFonts w:ascii="Times" w:hAnsi="Times" w:cs="Lucida Sans Unicode"/>
                <w:color w:val="000000" w:themeColor="text1"/>
                <w:sz w:val="28"/>
                <w:szCs w:val="28"/>
                <w:lang w:val="en-US" w:eastAsia="en-US"/>
              </w:rPr>
              <w:t xml:space="preserve"> Anemia is iron responsive in 30 to 50% of nondialysis patients with chronic kidney disease (CKD), but the utility of bone marrow iron stores and peripheral iron indices to predict the erythropoietic response is not settled. We investigated the accuracy of peripheral and central iron indices to predict the response to intravenous iron in nondialysis patients with CKD and anemia.</w:t>
            </w:r>
            <w:r w:rsidR="002F6E06" w:rsidRPr="00D63E36">
              <w:rPr>
                <w:rFonts w:ascii="Times" w:hAnsi="Times" w:cs="Lucida Sans Unicode"/>
                <w:color w:val="000000" w:themeColor="text1"/>
                <w:sz w:val="28"/>
                <w:szCs w:val="28"/>
                <w:lang w:val="en-US" w:eastAsia="en-US"/>
              </w:rPr>
              <w:t xml:space="preserve"> </w:t>
            </w:r>
            <w:r w:rsidRPr="00D63E36">
              <w:rPr>
                <w:rFonts w:ascii="Times" w:hAnsi="Times" w:cs="Lucida Sans Unicode"/>
                <w:i/>
                <w:color w:val="000000" w:themeColor="text1"/>
                <w:sz w:val="28"/>
                <w:szCs w:val="28"/>
                <w:u w:val="single"/>
                <w:lang w:val="en-US" w:eastAsia="en-US"/>
              </w:rPr>
              <w:t>Design, setting, participants, &amp; measurements:</w:t>
            </w:r>
            <w:r w:rsidRPr="00D63E36">
              <w:rPr>
                <w:rFonts w:ascii="Times" w:hAnsi="Times" w:cs="Lucida Sans Unicode"/>
                <w:color w:val="000000" w:themeColor="text1"/>
                <w:sz w:val="28"/>
                <w:szCs w:val="28"/>
                <w:lang w:val="en-US" w:eastAsia="en-US"/>
              </w:rPr>
              <w:t xml:space="preserve"> A diagnostic study was conducted on </w:t>
            </w:r>
            <w:r w:rsidRPr="00D63E36">
              <w:rPr>
                <w:rFonts w:ascii="Times" w:hAnsi="Times" w:cs="Lucida Sans Unicode"/>
                <w:color w:val="000000" w:themeColor="text1"/>
                <w:sz w:val="28"/>
                <w:szCs w:val="28"/>
                <w:u w:val="single"/>
                <w:lang w:val="en-US" w:eastAsia="en-US"/>
              </w:rPr>
              <w:t>100 nondialysis patients who had CKD and anemia and were erythropoiesis-stimulating agent and iron naive.</w:t>
            </w:r>
            <w:r w:rsidRPr="00D63E36">
              <w:rPr>
                <w:rFonts w:ascii="Times" w:hAnsi="Times" w:cs="Lucida Sans Unicode"/>
                <w:color w:val="000000" w:themeColor="text1"/>
                <w:sz w:val="28"/>
                <w:szCs w:val="28"/>
                <w:lang w:val="en-US" w:eastAsia="en-US"/>
              </w:rPr>
              <w:t xml:space="preserve"> Bone marrow iron stores were evaluated by aspiration. Hemoglobin, transferrin saturation index (TSAT), and ferritin were measured at baseline and </w:t>
            </w:r>
            <w:r w:rsidRPr="00D63E36">
              <w:rPr>
                <w:rFonts w:ascii="Times" w:hAnsi="Times" w:cs="Lucida Sans Unicode"/>
                <w:color w:val="000000" w:themeColor="text1"/>
                <w:sz w:val="28"/>
                <w:szCs w:val="28"/>
                <w:u w:val="single"/>
                <w:lang w:val="en-US" w:eastAsia="en-US"/>
              </w:rPr>
              <w:t>1 month</w:t>
            </w:r>
            <w:r w:rsidRPr="00D63E36">
              <w:rPr>
                <w:rFonts w:ascii="Times" w:hAnsi="Times" w:cs="Lucida Sans Unicode"/>
                <w:color w:val="000000" w:themeColor="text1"/>
                <w:sz w:val="28"/>
                <w:szCs w:val="28"/>
                <w:lang w:val="en-US" w:eastAsia="en-US"/>
              </w:rPr>
              <w:t xml:space="preserve"> after 1000 mg of intravenous iron sucrose. Posttest predictive values for the erythropoietic response (≥1-g/dl increase in hemoglobin) of peripheral and central iron indices were calculated.</w:t>
            </w:r>
            <w:r w:rsidR="002F6E06" w:rsidRPr="00D63E36">
              <w:rPr>
                <w:rFonts w:ascii="Times" w:hAnsi="Times" w:cs="Lucida Sans Unicode"/>
                <w:color w:val="000000" w:themeColor="text1"/>
                <w:sz w:val="28"/>
                <w:szCs w:val="28"/>
                <w:lang w:val="en-US" w:eastAsia="en-US"/>
              </w:rPr>
              <w:t xml:space="preserve"> </w:t>
            </w:r>
            <w:r w:rsidRPr="00D63E36">
              <w:rPr>
                <w:rFonts w:ascii="Times" w:hAnsi="Times" w:cs="Lucida Sans Unicode"/>
                <w:i/>
                <w:color w:val="000000" w:themeColor="text1"/>
                <w:sz w:val="28"/>
                <w:szCs w:val="28"/>
                <w:u w:val="single"/>
                <w:lang w:val="en-US" w:eastAsia="en-US"/>
              </w:rPr>
              <w:t>Results:</w:t>
            </w:r>
            <w:r w:rsidRPr="00D63E36">
              <w:rPr>
                <w:rFonts w:ascii="Times" w:hAnsi="Times" w:cs="Lucida Sans Unicode"/>
                <w:color w:val="000000" w:themeColor="text1"/>
                <w:sz w:val="28"/>
                <w:szCs w:val="28"/>
                <w:lang w:val="en-US" w:eastAsia="en-US"/>
              </w:rPr>
              <w:t xml:space="preserve"> The erythropoietic response was noted in a higher proportion in bone marrow iron-deplete than in iron-replete patients (63 </w:t>
            </w:r>
            <w:r w:rsidRPr="00D63E36">
              <w:rPr>
                <w:rFonts w:ascii="Times" w:hAnsi="Times" w:cs="Lucida Sans Unicode"/>
                <w:i/>
                <w:iCs/>
                <w:color w:val="000000" w:themeColor="text1"/>
                <w:sz w:val="28"/>
                <w:szCs w:val="28"/>
                <w:bdr w:val="none" w:sz="0" w:space="0" w:color="auto" w:frame="1"/>
                <w:lang w:val="en-US" w:eastAsia="en-US"/>
              </w:rPr>
              <w:t>versus</w:t>
            </w:r>
            <w:r w:rsidRPr="00D63E36">
              <w:rPr>
                <w:rFonts w:ascii="Times" w:hAnsi="Times" w:cs="Lucida Sans Unicode"/>
                <w:color w:val="000000" w:themeColor="text1"/>
                <w:sz w:val="28"/>
                <w:szCs w:val="28"/>
                <w:lang w:val="en-US" w:eastAsia="en-US"/>
              </w:rPr>
              <w:t> 30%). Peripheral iron indices had a moderate accuracy in predicting response. The positive (PPV) and negative predictive values (NPV) were 76 and 72% for a TSAT of 15% and 74 and 70% for a ferritin of 75 ng/ml, respectively. In the final logistic regression model, including TSAT and ferritin, the chances of a positive response increased by 7% for each 1% decrease in TSAT.</w:t>
            </w:r>
            <w:r w:rsidR="002F6E06" w:rsidRPr="00D63E36">
              <w:rPr>
                <w:rFonts w:ascii="Times" w:hAnsi="Times" w:cs="Lucida Sans Unicode"/>
                <w:color w:val="000000" w:themeColor="text1"/>
                <w:sz w:val="28"/>
                <w:szCs w:val="28"/>
                <w:lang w:val="en-US" w:eastAsia="en-US"/>
              </w:rPr>
              <w:t xml:space="preserve"> </w:t>
            </w:r>
            <w:r w:rsidRPr="00D63E36">
              <w:rPr>
                <w:rFonts w:ascii="Times" w:hAnsi="Times" w:cs="Lucida Sans Unicode"/>
                <w:i/>
                <w:color w:val="000000" w:themeColor="text1"/>
                <w:sz w:val="28"/>
                <w:szCs w:val="28"/>
                <w:u w:val="single"/>
                <w:lang w:val="en-US" w:eastAsia="en-US"/>
              </w:rPr>
              <w:t>Conclusions:</w:t>
            </w:r>
            <w:r w:rsidRPr="00D63E36">
              <w:rPr>
                <w:rFonts w:ascii="Times" w:hAnsi="Times" w:cs="Lucida Sans Unicode"/>
                <w:color w:val="000000" w:themeColor="text1"/>
                <w:sz w:val="28"/>
                <w:szCs w:val="28"/>
                <w:lang w:val="en-US" w:eastAsia="en-US"/>
              </w:rPr>
              <w:t xml:space="preserve"> Because an erythropoietic response is seen in half of patients and even one third of those with iron-replete stores responded whereas peripheral indices had only a moderate utility in predicting response, the therapeutic trial to intravenous iron seems to be a useful tool in the management of anemia in nondialysis patients with CKD.</w:t>
            </w:r>
          </w:p>
          <w:p w14:paraId="3C85D5A7" w14:textId="206FD94F" w:rsidR="00D53451" w:rsidRPr="00D53451" w:rsidRDefault="002F6E06" w:rsidP="008A606A">
            <w:pPr>
              <w:pStyle w:val="Heading1"/>
              <w:shd w:val="clear" w:color="auto" w:fill="FFFFFF"/>
              <w:spacing w:before="150" w:beforeAutospacing="0" w:after="0" w:afterAutospacing="0"/>
              <w:jc w:val="both"/>
              <w:textAlignment w:val="baseline"/>
              <w:rPr>
                <w:rFonts w:ascii="Times" w:hAnsi="Times" w:cs="Lucida Sans Unicode"/>
                <w:color w:val="000000" w:themeColor="text1"/>
                <w:sz w:val="28"/>
                <w:szCs w:val="28"/>
              </w:rPr>
            </w:pPr>
            <w:r>
              <w:rPr>
                <w:rFonts w:ascii="Times" w:hAnsi="Times" w:cs="Lucida Sans Unicode"/>
                <w:color w:val="000000" w:themeColor="text1"/>
                <w:sz w:val="28"/>
                <w:szCs w:val="28"/>
              </w:rPr>
              <w:t>Sellele uuringule</w:t>
            </w:r>
            <w:r w:rsidR="00D1520D">
              <w:rPr>
                <w:rFonts w:ascii="Times" w:hAnsi="Times" w:cs="Lucida Sans Unicode"/>
                <w:color w:val="000000" w:themeColor="text1"/>
                <w:sz w:val="28"/>
                <w:szCs w:val="28"/>
              </w:rPr>
              <w:t xml:space="preserve"> on viidatud NICE </w:t>
            </w:r>
            <w:r w:rsidR="00B744AF">
              <w:rPr>
                <w:rFonts w:ascii="Times" w:hAnsi="Times" w:cs="Lucida Sans Unicode"/>
                <w:color w:val="000000" w:themeColor="text1"/>
                <w:sz w:val="28"/>
                <w:szCs w:val="28"/>
              </w:rPr>
              <w:t xml:space="preserve">ja KHA-CARI </w:t>
            </w:r>
            <w:r w:rsidR="00D1520D">
              <w:rPr>
                <w:rFonts w:ascii="Times" w:hAnsi="Times" w:cs="Lucida Sans Unicode"/>
                <w:color w:val="000000" w:themeColor="text1"/>
                <w:sz w:val="28"/>
                <w:szCs w:val="28"/>
              </w:rPr>
              <w:t>ravijuhendi</w:t>
            </w:r>
            <w:r w:rsidR="00B744AF">
              <w:rPr>
                <w:rFonts w:ascii="Times" w:hAnsi="Times" w:cs="Lucida Sans Unicode"/>
                <w:color w:val="000000" w:themeColor="text1"/>
                <w:sz w:val="28"/>
                <w:szCs w:val="28"/>
              </w:rPr>
              <w:t>te</w:t>
            </w:r>
            <w:r w:rsidR="00D1520D">
              <w:rPr>
                <w:rFonts w:ascii="Times" w:hAnsi="Times" w:cs="Lucida Sans Unicode"/>
                <w:color w:val="000000" w:themeColor="text1"/>
                <w:sz w:val="28"/>
                <w:szCs w:val="28"/>
              </w:rPr>
              <w:t>s. Puuduseks on väike osalejate arv (100 inimest). Hinnati luuüdi vastust suures doosis IV rauaravile 1 kuu peale rauapreparaasi manustamist. Patsiendid olid KNHga mittedialüüsravil, enne pole saanud ei rauda ega ESA. Tulemuseks oli positiivne erütropoees</w:t>
            </w:r>
            <w:r w:rsidR="00841696">
              <w:rPr>
                <w:rFonts w:ascii="Times" w:hAnsi="Times" w:cs="Lucida Sans Unicode"/>
                <w:color w:val="000000" w:themeColor="text1"/>
                <w:sz w:val="28"/>
                <w:szCs w:val="28"/>
              </w:rPr>
              <w:t xml:space="preserve">i vastus suurel protsendil, kuid raua perifeersete indeksite (TSAT ja ferritiin) määramine oli ainult mõõduka </w:t>
            </w:r>
            <w:r w:rsidR="008A606A">
              <w:rPr>
                <w:rFonts w:ascii="Times" w:hAnsi="Times" w:cs="Lucida Sans Unicode"/>
                <w:color w:val="000000" w:themeColor="text1"/>
                <w:sz w:val="28"/>
                <w:szCs w:val="28"/>
              </w:rPr>
              <w:t>tundlikkusega</w:t>
            </w:r>
            <w:r w:rsidR="00841696">
              <w:rPr>
                <w:rFonts w:ascii="Times" w:hAnsi="Times" w:cs="Lucida Sans Unicode"/>
                <w:color w:val="000000" w:themeColor="text1"/>
                <w:sz w:val="28"/>
                <w:szCs w:val="28"/>
              </w:rPr>
              <w:t>.</w:t>
            </w:r>
          </w:p>
        </w:tc>
        <w:tc>
          <w:tcPr>
            <w:tcW w:w="3402" w:type="dxa"/>
            <w:shd w:val="clear" w:color="auto" w:fill="auto"/>
          </w:tcPr>
          <w:p w14:paraId="1D553924" w14:textId="166543D7" w:rsidR="005343EF" w:rsidRDefault="00BA5A54" w:rsidP="00D53451">
            <w:pPr>
              <w:autoSpaceDE w:val="0"/>
              <w:autoSpaceDN w:val="0"/>
              <w:adjustRightInd w:val="0"/>
              <w:ind w:firstLine="20"/>
            </w:pPr>
            <w:hyperlink r:id="rId14" w:history="1">
              <w:r w:rsidR="00C437A5" w:rsidRPr="00B6203F">
                <w:rPr>
                  <w:rStyle w:val="Hyperlink"/>
                </w:rPr>
                <w:t>http://cjasn.asnjournals.org/content/5/3/409.full.pdf+html</w:t>
              </w:r>
            </w:hyperlink>
          </w:p>
          <w:p w14:paraId="756244E0" w14:textId="32205477" w:rsidR="00C437A5" w:rsidRDefault="00C437A5" w:rsidP="00D53451">
            <w:pPr>
              <w:autoSpaceDE w:val="0"/>
              <w:autoSpaceDN w:val="0"/>
              <w:adjustRightInd w:val="0"/>
              <w:ind w:firstLine="20"/>
            </w:pPr>
          </w:p>
        </w:tc>
      </w:tr>
    </w:tbl>
    <w:p w14:paraId="01598736" w14:textId="77777777" w:rsidR="005A51BC" w:rsidRDefault="005A51BC" w:rsidP="005A51BC">
      <w:pPr>
        <w:rPr>
          <w:lang w:val="en-US"/>
        </w:rPr>
      </w:pPr>
    </w:p>
    <w:p w14:paraId="66660308" w14:textId="77777777" w:rsidR="005A51BC" w:rsidRDefault="005A51BC" w:rsidP="005A51BC">
      <w:pPr>
        <w:jc w:val="both"/>
        <w:rPr>
          <w:rFonts w:ascii="Verdana" w:hAnsi="Verdana"/>
          <w:b/>
          <w:color w:val="000080"/>
          <w:sz w:val="18"/>
          <w:szCs w:val="18"/>
        </w:rPr>
      </w:pPr>
    </w:p>
    <w:p w14:paraId="3D77441C" w14:textId="77777777" w:rsidR="00661519" w:rsidRDefault="00661519" w:rsidP="005A51BC">
      <w:pPr>
        <w:jc w:val="both"/>
        <w:rPr>
          <w:rFonts w:ascii="Verdana" w:hAnsi="Verdana"/>
          <w:b/>
          <w:color w:val="000080"/>
          <w:sz w:val="18"/>
          <w:szCs w:val="18"/>
        </w:rPr>
      </w:pPr>
    </w:p>
    <w:p w14:paraId="728F33B4" w14:textId="77777777" w:rsidR="005A51BC" w:rsidRPr="00063BD8" w:rsidRDefault="005A51BC" w:rsidP="007D0211">
      <w:pPr>
        <w:jc w:val="both"/>
        <w:rPr>
          <w:rFonts w:ascii="Verdana" w:hAnsi="Verdana"/>
          <w:b/>
          <w:color w:val="000080"/>
          <w:sz w:val="28"/>
          <w:szCs w:val="28"/>
        </w:rPr>
      </w:pPr>
      <w:r w:rsidRPr="00063BD8">
        <w:rPr>
          <w:rFonts w:ascii="Verdana" w:hAnsi="Verdana"/>
          <w:b/>
          <w:color w:val="000080"/>
          <w:sz w:val="28"/>
          <w:szCs w:val="28"/>
        </w:rPr>
        <w:t>Ravijuhendid</w:t>
      </w:r>
    </w:p>
    <w:p w14:paraId="4F518CBA" w14:textId="77777777" w:rsidR="009B6DF0" w:rsidRDefault="009B6DF0" w:rsidP="007D0211">
      <w:pPr>
        <w:jc w:val="both"/>
        <w:rPr>
          <w:rFonts w:ascii="Verdana" w:hAnsi="Verdana"/>
          <w:b/>
          <w:color w:val="000080"/>
        </w:rPr>
      </w:pPr>
    </w:p>
    <w:p w14:paraId="0690A9B8" w14:textId="1A0A02D6" w:rsidR="009B6DF0" w:rsidRDefault="009B6DF0" w:rsidP="007D0211">
      <w:pPr>
        <w:jc w:val="both"/>
        <w:rPr>
          <w:rFonts w:ascii="Times" w:hAnsi="Times"/>
          <w:b/>
          <w:color w:val="000000" w:themeColor="text1"/>
          <w:sz w:val="36"/>
          <w:szCs w:val="36"/>
        </w:rPr>
      </w:pPr>
      <w:r w:rsidRPr="00B00803">
        <w:rPr>
          <w:rFonts w:ascii="Times" w:hAnsi="Times"/>
          <w:b/>
          <w:color w:val="000000" w:themeColor="text1"/>
          <w:sz w:val="36"/>
          <w:szCs w:val="36"/>
        </w:rPr>
        <w:t>KDIGO CKD management (lk. 81-82)</w:t>
      </w:r>
    </w:p>
    <w:p w14:paraId="00C5B573" w14:textId="5A172EE8" w:rsidR="0086635C" w:rsidRDefault="0086635C" w:rsidP="00EB5287">
      <w:pPr>
        <w:jc w:val="both"/>
        <w:rPr>
          <w:rFonts w:ascii="Times" w:hAnsi="Times"/>
          <w:color w:val="000000" w:themeColor="text1"/>
          <w:sz w:val="28"/>
          <w:szCs w:val="28"/>
        </w:rPr>
      </w:pPr>
      <w:r w:rsidRPr="0086635C">
        <w:rPr>
          <w:rFonts w:ascii="Times" w:hAnsi="Times"/>
          <w:color w:val="000000" w:themeColor="text1"/>
          <w:sz w:val="28"/>
          <w:szCs w:val="28"/>
        </w:rPr>
        <w:t>Info aneemia definitsiooni ja esinemissageduse kohta. Aneemia definitsioon põhineb WHO andmetel 2008)</w:t>
      </w:r>
      <w:r>
        <w:rPr>
          <w:rFonts w:ascii="Times" w:hAnsi="Times"/>
          <w:color w:val="000000" w:themeColor="text1"/>
          <w:sz w:val="28"/>
          <w:szCs w:val="28"/>
        </w:rPr>
        <w:t xml:space="preserve">. </w:t>
      </w:r>
    </w:p>
    <w:p w14:paraId="0B0A558C" w14:textId="03C17C4C" w:rsidR="0086635C" w:rsidRPr="00AE5385" w:rsidRDefault="0086635C" w:rsidP="00AE5385">
      <w:pPr>
        <w:jc w:val="both"/>
      </w:pPr>
      <w:r>
        <w:rPr>
          <w:rFonts w:ascii="Times" w:hAnsi="Times"/>
          <w:color w:val="000000" w:themeColor="text1"/>
          <w:sz w:val="28"/>
          <w:szCs w:val="28"/>
        </w:rPr>
        <w:t>Andmed KNH aneemia esinemissageduse ja Hgb määramise sageduse kohta võetud 2011 aasta artiklist  (</w:t>
      </w:r>
      <w:r w:rsidRPr="0086635C">
        <w:rPr>
          <w:rFonts w:ascii="Times" w:hAnsi="Times" w:cs="Times"/>
          <w:color w:val="1A1718"/>
          <w:sz w:val="28"/>
          <w:szCs w:val="28"/>
          <w:lang w:val="en-US"/>
        </w:rPr>
        <w:t>Inker LA, Coresh J, Levey AS et al. Estimated GFR, albuminuria, and</w:t>
      </w:r>
      <w:r w:rsidRPr="00B00803">
        <w:rPr>
          <w:rFonts w:ascii="Times" w:hAnsi="Times" w:cs="Times"/>
          <w:b/>
          <w:color w:val="1A1718"/>
          <w:sz w:val="28"/>
          <w:szCs w:val="28"/>
          <w:lang w:val="en-US"/>
        </w:rPr>
        <w:t xml:space="preserve"> </w:t>
      </w:r>
      <w:r w:rsidRPr="0086635C">
        <w:rPr>
          <w:rFonts w:ascii="Times" w:hAnsi="Times" w:cs="Times"/>
          <w:color w:val="1A1718"/>
          <w:sz w:val="28"/>
          <w:szCs w:val="28"/>
          <w:lang w:val="en-US"/>
        </w:rPr>
        <w:t>complications of chronic kidney disease. J Am Soc Nephrol 2011; 22: 2322–2331.</w:t>
      </w:r>
      <w:r>
        <w:rPr>
          <w:rFonts w:ascii="Times" w:hAnsi="Times" w:cs="Times"/>
          <w:b/>
          <w:color w:val="1A1718"/>
          <w:sz w:val="28"/>
          <w:szCs w:val="28"/>
          <w:lang w:val="en-US"/>
        </w:rPr>
        <w:t>)</w:t>
      </w:r>
      <w:r w:rsidR="00E83FCB" w:rsidRPr="00E83FCB">
        <w:rPr>
          <w:rFonts w:ascii="Times" w:hAnsi="Times" w:cs="Times"/>
          <w:color w:val="1A1718"/>
          <w:sz w:val="28"/>
          <w:szCs w:val="28"/>
          <w:lang w:val="en-US"/>
        </w:rPr>
        <w:t xml:space="preserve"> </w:t>
      </w:r>
      <w:r w:rsidR="00E83FCB">
        <w:rPr>
          <w:rFonts w:ascii="Times" w:hAnsi="Times" w:cs="Times"/>
          <w:color w:val="1A1718"/>
          <w:sz w:val="28"/>
          <w:szCs w:val="28"/>
          <w:lang w:val="en-US"/>
        </w:rPr>
        <w:t>– antud uuringus on kasutatud NHANES III (</w:t>
      </w:r>
      <w:r w:rsidR="00E83FCB" w:rsidRPr="00EB5287">
        <w:rPr>
          <w:rFonts w:ascii="Times" w:hAnsi="Times"/>
          <w:color w:val="000000"/>
          <w:sz w:val="28"/>
          <w:szCs w:val="28"/>
          <w:shd w:val="clear" w:color="auto" w:fill="FFFFFF"/>
        </w:rPr>
        <w:t>National Health and Nutrition Examination Survey</w:t>
      </w:r>
      <w:r w:rsidR="00E83FCB" w:rsidRPr="00EB5287">
        <w:rPr>
          <w:rStyle w:val="apple-converted-space"/>
          <w:rFonts w:ascii="Times" w:hAnsi="Times"/>
          <w:color w:val="000000"/>
          <w:sz w:val="28"/>
          <w:szCs w:val="28"/>
          <w:shd w:val="clear" w:color="auto" w:fill="FFFFFF"/>
        </w:rPr>
        <w:t> </w:t>
      </w:r>
      <w:r w:rsidR="00E83FCB">
        <w:rPr>
          <w:rFonts w:ascii="Times" w:hAnsi="Times" w:cs="Times"/>
          <w:color w:val="1A1718"/>
          <w:sz w:val="28"/>
          <w:szCs w:val="28"/>
          <w:lang w:val="en-US"/>
        </w:rPr>
        <w:t xml:space="preserve">2002) raames kirjeldatud kohorti. </w:t>
      </w:r>
    </w:p>
    <w:p w14:paraId="76CBABC4" w14:textId="77777777" w:rsidR="009B6DF0" w:rsidRPr="007D0211" w:rsidRDefault="009B6DF0" w:rsidP="007D0211">
      <w:pPr>
        <w:jc w:val="both"/>
        <w:rPr>
          <w:rFonts w:ascii="Times" w:hAnsi="Times"/>
          <w:b/>
          <w:color w:val="000080"/>
        </w:rPr>
      </w:pPr>
    </w:p>
    <w:p w14:paraId="25150AA7" w14:textId="77777777" w:rsidR="009B6DF0" w:rsidRPr="00B00803" w:rsidRDefault="009B6DF0" w:rsidP="007D0211">
      <w:pPr>
        <w:widowControl w:val="0"/>
        <w:autoSpaceDE w:val="0"/>
        <w:autoSpaceDN w:val="0"/>
        <w:adjustRightInd w:val="0"/>
        <w:spacing w:after="240"/>
        <w:jc w:val="both"/>
        <w:rPr>
          <w:rFonts w:ascii="Times" w:hAnsi="Times" w:cs="Times"/>
          <w:b/>
          <w:sz w:val="28"/>
          <w:szCs w:val="28"/>
          <w:u w:val="single"/>
          <w:lang w:val="en-US"/>
        </w:rPr>
      </w:pPr>
      <w:r w:rsidRPr="00B00803">
        <w:rPr>
          <w:rFonts w:ascii="Times" w:hAnsi="Times" w:cs="Times"/>
          <w:b/>
          <w:color w:val="1A1718"/>
          <w:sz w:val="28"/>
          <w:szCs w:val="28"/>
          <w:u w:val="single"/>
          <w:lang w:val="en-US"/>
        </w:rPr>
        <w:t>Definition and identification of anemia in CKD</w:t>
      </w:r>
    </w:p>
    <w:p w14:paraId="33466C8E" w14:textId="1F426EB7" w:rsidR="009B6DF0" w:rsidRPr="00B00803" w:rsidRDefault="009B6DF0" w:rsidP="007D0211">
      <w:pPr>
        <w:widowControl w:val="0"/>
        <w:numPr>
          <w:ilvl w:val="0"/>
          <w:numId w:val="17"/>
        </w:numPr>
        <w:tabs>
          <w:tab w:val="left" w:pos="220"/>
          <w:tab w:val="left" w:pos="720"/>
        </w:tabs>
        <w:autoSpaceDE w:val="0"/>
        <w:autoSpaceDN w:val="0"/>
        <w:adjustRightInd w:val="0"/>
        <w:spacing w:after="240"/>
        <w:ind w:hanging="720"/>
        <w:jc w:val="both"/>
        <w:rPr>
          <w:rFonts w:ascii="Times" w:hAnsi="Times" w:cs="Times"/>
          <w:b/>
          <w:sz w:val="28"/>
          <w:szCs w:val="28"/>
          <w:lang w:val="en-US"/>
        </w:rPr>
      </w:pPr>
      <w:r w:rsidRPr="00B00803">
        <w:rPr>
          <w:rFonts w:ascii="Times" w:hAnsi="Times" w:cs="Times"/>
          <w:b/>
          <w:color w:val="1A1718"/>
          <w:sz w:val="28"/>
          <w:szCs w:val="28"/>
          <w:lang w:val="en-US"/>
        </w:rPr>
        <w:t xml:space="preserve">3.2.1:  Diagnose anemia in adults and children &gt;15 years with CKD when the Hb concentration is &lt;13.0 g/ dl (&lt;130 g/l) in males and &lt;12.0 g/dl (&lt;120 g/l) in females. (Not Graded) </w:t>
      </w:r>
    </w:p>
    <w:p w14:paraId="6076E09D" w14:textId="0BB1BF24" w:rsidR="009A718D" w:rsidRPr="00B00803" w:rsidRDefault="009A718D" w:rsidP="007D0211">
      <w:pPr>
        <w:widowControl w:val="0"/>
        <w:numPr>
          <w:ilvl w:val="0"/>
          <w:numId w:val="17"/>
        </w:numPr>
        <w:tabs>
          <w:tab w:val="left" w:pos="220"/>
          <w:tab w:val="left" w:pos="720"/>
        </w:tabs>
        <w:autoSpaceDE w:val="0"/>
        <w:autoSpaceDN w:val="0"/>
        <w:adjustRightInd w:val="0"/>
        <w:spacing w:after="240"/>
        <w:ind w:hanging="720"/>
        <w:jc w:val="both"/>
        <w:rPr>
          <w:rFonts w:ascii="Times" w:hAnsi="Times" w:cs="Times"/>
          <w:b/>
          <w:sz w:val="28"/>
          <w:szCs w:val="28"/>
          <w:lang w:val="en-US"/>
        </w:rPr>
      </w:pPr>
      <w:r w:rsidRPr="00B00803">
        <w:rPr>
          <w:rFonts w:ascii="Times" w:hAnsi="Times" w:cs="Times"/>
          <w:b/>
          <w:color w:val="1A1718"/>
          <w:sz w:val="28"/>
          <w:szCs w:val="28"/>
          <w:lang w:val="en-US"/>
        </w:rPr>
        <w:t>Diagnoosi aneemiat KNHga täi</w:t>
      </w:r>
      <w:r w:rsidR="00D419C5" w:rsidRPr="00B00803">
        <w:rPr>
          <w:rFonts w:ascii="Times" w:hAnsi="Times" w:cs="Times"/>
          <w:b/>
          <w:color w:val="1A1718"/>
          <w:sz w:val="28"/>
          <w:szCs w:val="28"/>
          <w:lang w:val="en-US"/>
        </w:rPr>
        <w:t>skasvanutel ja lastel vanuses &gt;</w:t>
      </w:r>
      <w:r w:rsidRPr="00B00803">
        <w:rPr>
          <w:rFonts w:ascii="Times" w:hAnsi="Times" w:cs="Times"/>
          <w:b/>
          <w:color w:val="1A1718"/>
          <w:sz w:val="28"/>
          <w:szCs w:val="28"/>
          <w:lang w:val="en-US"/>
        </w:rPr>
        <w:t>15 aastat kui Hgb kontsentratsioon on &lt;130</w:t>
      </w:r>
      <w:r w:rsidR="00274E30">
        <w:rPr>
          <w:rFonts w:ascii="Times" w:hAnsi="Times" w:cs="Times"/>
          <w:b/>
          <w:color w:val="1A1718"/>
          <w:sz w:val="28"/>
          <w:szCs w:val="28"/>
          <w:lang w:val="en-US"/>
        </w:rPr>
        <w:t xml:space="preserve"> </w:t>
      </w:r>
      <w:r w:rsidRPr="00B00803">
        <w:rPr>
          <w:rFonts w:ascii="Times" w:hAnsi="Times" w:cs="Times"/>
          <w:b/>
          <w:color w:val="1A1718"/>
          <w:sz w:val="28"/>
          <w:szCs w:val="28"/>
          <w:lang w:val="en-US"/>
        </w:rPr>
        <w:t>g/l meestel ja &lt;120 g/l naistel.</w:t>
      </w:r>
    </w:p>
    <w:p w14:paraId="4E19E174" w14:textId="37ED8EFD" w:rsidR="001B7241" w:rsidRPr="00B00803" w:rsidRDefault="00FC580B" w:rsidP="00E83FCB">
      <w:pPr>
        <w:jc w:val="both"/>
        <w:rPr>
          <w:rFonts w:ascii="Times" w:hAnsi="Times" w:cs="Times"/>
          <w:color w:val="1A1718"/>
          <w:sz w:val="28"/>
          <w:szCs w:val="28"/>
          <w:lang w:val="en-US"/>
        </w:rPr>
      </w:pPr>
      <w:r w:rsidRPr="00B00803">
        <w:rPr>
          <w:rFonts w:ascii="Times" w:hAnsi="Times" w:cs="Times"/>
          <w:b/>
          <w:color w:val="1A1718"/>
          <w:sz w:val="28"/>
          <w:szCs w:val="28"/>
          <w:lang w:val="en-US"/>
        </w:rPr>
        <w:t>Soovitus põhineb WHO andmetel</w:t>
      </w:r>
      <w:r w:rsidR="006339DB" w:rsidRPr="00B00803">
        <w:rPr>
          <w:rFonts w:ascii="Times" w:hAnsi="Times" w:cs="Times"/>
          <w:b/>
          <w:color w:val="1A1718"/>
          <w:sz w:val="28"/>
          <w:szCs w:val="28"/>
          <w:lang w:val="en-US"/>
        </w:rPr>
        <w:t xml:space="preserve"> (</w:t>
      </w:r>
      <w:r w:rsidR="006339DB" w:rsidRPr="00B00803">
        <w:rPr>
          <w:rFonts w:ascii="Times" w:hAnsi="Times" w:cs="Times"/>
          <w:color w:val="1A1718"/>
          <w:sz w:val="28"/>
          <w:szCs w:val="28"/>
          <w:lang w:val="en-US"/>
        </w:rPr>
        <w:t xml:space="preserve">World Health Organization. Worldwide prevalence of anaemia 1993–2005: WHO global database on anaemia. de Benoist B, McLean E, Egli I, and Cogswell M (eds), 2008) </w:t>
      </w:r>
    </w:p>
    <w:p w14:paraId="41F0589D" w14:textId="77777777" w:rsidR="006339DB" w:rsidRPr="006339DB" w:rsidRDefault="006339DB" w:rsidP="006339DB">
      <w:pPr>
        <w:widowControl w:val="0"/>
        <w:tabs>
          <w:tab w:val="left" w:pos="220"/>
          <w:tab w:val="left" w:pos="720"/>
        </w:tabs>
        <w:autoSpaceDE w:val="0"/>
        <w:autoSpaceDN w:val="0"/>
        <w:adjustRightInd w:val="0"/>
        <w:spacing w:after="186"/>
        <w:ind w:left="720"/>
        <w:rPr>
          <w:rFonts w:ascii="Times" w:hAnsi="Times" w:cs="Times"/>
          <w:color w:val="1A1718"/>
          <w:sz w:val="18"/>
          <w:szCs w:val="18"/>
          <w:lang w:val="en-US"/>
        </w:rPr>
      </w:pPr>
    </w:p>
    <w:p w14:paraId="5519EC52" w14:textId="77777777" w:rsidR="001B7241" w:rsidRPr="00B00803" w:rsidRDefault="001B7241" w:rsidP="007D0211">
      <w:pPr>
        <w:pStyle w:val="ListParagraph"/>
        <w:widowControl w:val="0"/>
        <w:numPr>
          <w:ilvl w:val="0"/>
          <w:numId w:val="17"/>
        </w:numPr>
        <w:autoSpaceDE w:val="0"/>
        <w:autoSpaceDN w:val="0"/>
        <w:adjustRightInd w:val="0"/>
        <w:spacing w:after="240"/>
        <w:jc w:val="both"/>
        <w:rPr>
          <w:rFonts w:ascii="Times" w:hAnsi="Times" w:cs="Times"/>
          <w:b/>
          <w:sz w:val="28"/>
          <w:szCs w:val="28"/>
          <w:lang w:val="en-US"/>
        </w:rPr>
      </w:pPr>
      <w:r w:rsidRPr="00B00803">
        <w:rPr>
          <w:rFonts w:ascii="Times" w:hAnsi="Times" w:cs="Times"/>
          <w:b/>
          <w:color w:val="1A1718"/>
          <w:sz w:val="28"/>
          <w:szCs w:val="28"/>
          <w:lang w:val="en-US"/>
        </w:rPr>
        <w:t>3.2.3: To identify anemia in people with CKD measure Hb concentration (Not Graded): </w:t>
      </w:r>
    </w:p>
    <w:p w14:paraId="5008EB07" w14:textId="3EC4FEDB" w:rsidR="001B7241" w:rsidRPr="00B00803" w:rsidRDefault="006339DB" w:rsidP="006339DB">
      <w:pPr>
        <w:widowControl w:val="0"/>
        <w:autoSpaceDE w:val="0"/>
        <w:autoSpaceDN w:val="0"/>
        <w:adjustRightInd w:val="0"/>
        <w:spacing w:after="240"/>
        <w:ind w:left="720"/>
        <w:jc w:val="both"/>
        <w:rPr>
          <w:rFonts w:ascii="Times" w:hAnsi="Times" w:cs="Times"/>
          <w:b/>
          <w:color w:val="1A1718"/>
          <w:sz w:val="28"/>
          <w:szCs w:val="28"/>
          <w:lang w:val="en-US"/>
        </w:rPr>
      </w:pPr>
      <w:r w:rsidRPr="00B00803">
        <w:rPr>
          <w:rFonts w:ascii="Times" w:hAnsi="Times" w:cs="Times"/>
          <w:b/>
          <w:color w:val="1A1718"/>
          <w:sz w:val="28"/>
          <w:szCs w:val="28"/>
          <w:lang w:val="en-US"/>
        </w:rPr>
        <w:t>-</w:t>
      </w:r>
      <w:r w:rsidR="001B7241" w:rsidRPr="00B00803">
        <w:rPr>
          <w:rFonts w:ascii="Times" w:hAnsi="Times" w:cs="Times"/>
          <w:b/>
          <w:color w:val="1A1718"/>
          <w:sz w:val="28"/>
          <w:szCs w:val="28"/>
          <w:lang w:val="en-US"/>
        </w:rPr>
        <w:t>when clinically indicated in people with GFR</w:t>
      </w:r>
      <w:r w:rsidR="001B7241" w:rsidRPr="00B00803">
        <w:rPr>
          <w:rFonts w:ascii="Times" w:hAnsi="Times" w:cs="Times"/>
          <w:b/>
          <w:sz w:val="28"/>
          <w:szCs w:val="28"/>
          <w:lang w:val="en-US"/>
        </w:rPr>
        <w:t xml:space="preserve"> </w:t>
      </w:r>
      <w:r w:rsidR="001B7241" w:rsidRPr="00B00803">
        <w:rPr>
          <w:rFonts w:ascii="Times" w:hAnsi="Times" w:cs="Times"/>
          <w:b/>
          <w:color w:val="1A1718"/>
          <w:sz w:val="28"/>
          <w:szCs w:val="28"/>
          <w:lang w:val="en-US"/>
        </w:rPr>
        <w:t>&gt;= 60 ml/min/1.73 m</w:t>
      </w:r>
      <w:r w:rsidR="001B7241" w:rsidRPr="00B00803">
        <w:rPr>
          <w:rFonts w:ascii="Times" w:hAnsi="Times" w:cs="Times"/>
          <w:b/>
          <w:color w:val="1A1718"/>
          <w:position w:val="10"/>
          <w:sz w:val="28"/>
          <w:szCs w:val="28"/>
          <w:lang w:val="en-US"/>
        </w:rPr>
        <w:t xml:space="preserve">2 </w:t>
      </w:r>
      <w:r w:rsidR="001B7241" w:rsidRPr="00B00803">
        <w:rPr>
          <w:rFonts w:ascii="Times" w:hAnsi="Times" w:cs="Times"/>
          <w:b/>
          <w:color w:val="1A1718"/>
          <w:sz w:val="28"/>
          <w:szCs w:val="28"/>
          <w:lang w:val="en-US"/>
        </w:rPr>
        <w:t>(GFR categories G1-G2); </w:t>
      </w:r>
    </w:p>
    <w:p w14:paraId="091FAEAF" w14:textId="793F5CBF" w:rsidR="001B7241" w:rsidRPr="00B00803" w:rsidRDefault="006339DB" w:rsidP="007D0211">
      <w:pPr>
        <w:widowControl w:val="0"/>
        <w:autoSpaceDE w:val="0"/>
        <w:autoSpaceDN w:val="0"/>
        <w:adjustRightInd w:val="0"/>
        <w:spacing w:after="240"/>
        <w:jc w:val="both"/>
        <w:rPr>
          <w:rFonts w:ascii="Times" w:hAnsi="Times" w:cs="Times"/>
          <w:b/>
          <w:sz w:val="28"/>
          <w:szCs w:val="28"/>
          <w:lang w:val="en-US"/>
        </w:rPr>
      </w:pPr>
      <w:r w:rsidRPr="00B00803">
        <w:rPr>
          <w:rFonts w:ascii="Times" w:hAnsi="Times" w:cs="Times"/>
          <w:b/>
          <w:color w:val="1A1718"/>
          <w:sz w:val="28"/>
          <w:szCs w:val="28"/>
          <w:lang w:val="en-US"/>
        </w:rPr>
        <w:t xml:space="preserve">            -</w:t>
      </w:r>
      <w:r w:rsidR="001B7241" w:rsidRPr="00B00803">
        <w:rPr>
          <w:rFonts w:ascii="Times" w:hAnsi="Times" w:cs="Times"/>
          <w:b/>
          <w:color w:val="1A1718"/>
          <w:sz w:val="28"/>
          <w:szCs w:val="28"/>
          <w:lang w:val="en-US"/>
        </w:rPr>
        <w:t>at least annually in people with GFR 30-59ml/min/1.73 m</w:t>
      </w:r>
      <w:r w:rsidR="001B7241" w:rsidRPr="00B00803">
        <w:rPr>
          <w:rFonts w:ascii="Times" w:hAnsi="Times" w:cs="Times"/>
          <w:b/>
          <w:color w:val="1A1718"/>
          <w:position w:val="10"/>
          <w:sz w:val="28"/>
          <w:szCs w:val="28"/>
          <w:lang w:val="en-US"/>
        </w:rPr>
        <w:t xml:space="preserve">2 </w:t>
      </w:r>
      <w:r w:rsidR="001B7241" w:rsidRPr="00B00803">
        <w:rPr>
          <w:rFonts w:ascii="Times" w:hAnsi="Times" w:cs="Times"/>
          <w:b/>
          <w:color w:val="1A1718"/>
          <w:sz w:val="28"/>
          <w:szCs w:val="28"/>
          <w:lang w:val="en-US"/>
        </w:rPr>
        <w:t>(GFR categories G3a-</w:t>
      </w:r>
      <w:r w:rsidRPr="00B00803">
        <w:rPr>
          <w:rFonts w:ascii="Times" w:hAnsi="Times" w:cs="Times"/>
          <w:b/>
          <w:color w:val="1A1718"/>
          <w:sz w:val="28"/>
          <w:szCs w:val="28"/>
          <w:lang w:val="en-US"/>
        </w:rPr>
        <w:t xml:space="preserve">    </w:t>
      </w:r>
      <w:r w:rsidR="001B7241" w:rsidRPr="00B00803">
        <w:rPr>
          <w:rFonts w:ascii="Times" w:hAnsi="Times" w:cs="Times"/>
          <w:b/>
          <w:color w:val="1A1718"/>
          <w:sz w:val="28"/>
          <w:szCs w:val="28"/>
          <w:lang w:val="en-US"/>
        </w:rPr>
        <w:t>G3b);</w:t>
      </w:r>
      <w:r w:rsidR="008E1E16" w:rsidRPr="00B00803">
        <w:rPr>
          <w:rFonts w:ascii="Times" w:hAnsi="Times" w:cs="Times"/>
          <w:b/>
          <w:color w:val="1A1718"/>
          <w:sz w:val="28"/>
          <w:szCs w:val="28"/>
          <w:lang w:val="en-US"/>
        </w:rPr>
        <w:t xml:space="preserve"> </w:t>
      </w:r>
    </w:p>
    <w:p w14:paraId="2BC84C02" w14:textId="791A6403" w:rsidR="001B7241" w:rsidRPr="00B00803" w:rsidRDefault="006339DB" w:rsidP="007D0211">
      <w:pPr>
        <w:widowControl w:val="0"/>
        <w:autoSpaceDE w:val="0"/>
        <w:autoSpaceDN w:val="0"/>
        <w:adjustRightInd w:val="0"/>
        <w:spacing w:after="240"/>
        <w:jc w:val="both"/>
        <w:rPr>
          <w:rFonts w:ascii="Times" w:hAnsi="Times" w:cs="Times"/>
          <w:b/>
          <w:color w:val="1A1718"/>
          <w:sz w:val="28"/>
          <w:szCs w:val="28"/>
          <w:lang w:val="en-US"/>
        </w:rPr>
      </w:pPr>
      <w:r w:rsidRPr="00B00803">
        <w:rPr>
          <w:rFonts w:ascii="Times" w:hAnsi="Times" w:cs="Times"/>
          <w:b/>
          <w:color w:val="1A1718"/>
          <w:sz w:val="28"/>
          <w:szCs w:val="28"/>
          <w:lang w:val="en-US"/>
        </w:rPr>
        <w:t xml:space="preserve">            -</w:t>
      </w:r>
      <w:r w:rsidR="001B7241" w:rsidRPr="00B00803">
        <w:rPr>
          <w:rFonts w:ascii="Times" w:hAnsi="Times" w:cs="Times"/>
          <w:b/>
          <w:color w:val="1A1718"/>
          <w:sz w:val="28"/>
          <w:szCs w:val="28"/>
          <w:lang w:val="en-US"/>
        </w:rPr>
        <w:t>at least twice per year in people with GFR</w:t>
      </w:r>
      <w:r w:rsidR="001B7241" w:rsidRPr="00B00803">
        <w:rPr>
          <w:rFonts w:ascii="Times" w:hAnsi="Times" w:cs="Times"/>
          <w:b/>
          <w:sz w:val="28"/>
          <w:szCs w:val="28"/>
          <w:lang w:val="en-US"/>
        </w:rPr>
        <w:t xml:space="preserve"> &lt;</w:t>
      </w:r>
      <w:r w:rsidR="001B7241" w:rsidRPr="00B00803">
        <w:rPr>
          <w:rFonts w:ascii="Times" w:hAnsi="Times" w:cs="Times"/>
          <w:b/>
          <w:color w:val="1A1718"/>
          <w:sz w:val="28"/>
          <w:szCs w:val="28"/>
          <w:lang w:val="en-US"/>
        </w:rPr>
        <w:t>30 ml/min/1.73 m</w:t>
      </w:r>
      <w:r w:rsidR="001B7241" w:rsidRPr="00B00803">
        <w:rPr>
          <w:rFonts w:ascii="Times" w:hAnsi="Times" w:cs="Times"/>
          <w:b/>
          <w:color w:val="1A1718"/>
          <w:position w:val="10"/>
          <w:sz w:val="28"/>
          <w:szCs w:val="28"/>
          <w:lang w:val="en-US"/>
        </w:rPr>
        <w:t xml:space="preserve">2 </w:t>
      </w:r>
      <w:r w:rsidR="001B7241" w:rsidRPr="00B00803">
        <w:rPr>
          <w:rFonts w:ascii="Times" w:hAnsi="Times" w:cs="Times"/>
          <w:b/>
          <w:color w:val="1A1718"/>
          <w:sz w:val="28"/>
          <w:szCs w:val="28"/>
          <w:lang w:val="en-US"/>
        </w:rPr>
        <w:t>(GFR categories G4-G5).</w:t>
      </w:r>
    </w:p>
    <w:p w14:paraId="3F4136E4" w14:textId="561C8DA4" w:rsidR="009A718D" w:rsidRPr="00B00803" w:rsidRDefault="009A718D" w:rsidP="007D0211">
      <w:pPr>
        <w:pStyle w:val="ListParagraph"/>
        <w:widowControl w:val="0"/>
        <w:numPr>
          <w:ilvl w:val="0"/>
          <w:numId w:val="25"/>
        </w:numPr>
        <w:autoSpaceDE w:val="0"/>
        <w:autoSpaceDN w:val="0"/>
        <w:adjustRightInd w:val="0"/>
        <w:spacing w:after="240"/>
        <w:jc w:val="both"/>
        <w:rPr>
          <w:rFonts w:ascii="Times" w:hAnsi="Times" w:cs="Times"/>
          <w:b/>
          <w:color w:val="1A1718"/>
          <w:sz w:val="28"/>
          <w:szCs w:val="28"/>
          <w:lang w:val="en-US"/>
        </w:rPr>
      </w:pPr>
      <w:r w:rsidRPr="00B00803">
        <w:rPr>
          <w:rFonts w:ascii="Times" w:hAnsi="Times" w:cs="Times"/>
          <w:b/>
          <w:color w:val="1A1718"/>
          <w:sz w:val="28"/>
          <w:szCs w:val="28"/>
          <w:lang w:val="en-US"/>
        </w:rPr>
        <w:t>Selleks, et diagnoosida aneemiat KNHga inimestel, määra Hgb kontsentratsiooni:</w:t>
      </w:r>
    </w:p>
    <w:p w14:paraId="7D16287F" w14:textId="3CFE8F30" w:rsidR="009A718D" w:rsidRPr="00B00803" w:rsidRDefault="006339DB" w:rsidP="007D0211">
      <w:pPr>
        <w:pStyle w:val="ListParagraph"/>
        <w:widowControl w:val="0"/>
        <w:autoSpaceDE w:val="0"/>
        <w:autoSpaceDN w:val="0"/>
        <w:adjustRightInd w:val="0"/>
        <w:spacing w:after="240"/>
        <w:jc w:val="both"/>
        <w:rPr>
          <w:rFonts w:ascii="Times" w:hAnsi="Times" w:cs="Times"/>
          <w:b/>
          <w:color w:val="1A1718"/>
          <w:sz w:val="28"/>
          <w:szCs w:val="28"/>
          <w:lang w:val="en-US"/>
        </w:rPr>
      </w:pPr>
      <w:r w:rsidRPr="00B00803">
        <w:rPr>
          <w:rFonts w:ascii="Times" w:hAnsi="Times" w:cs="Times"/>
          <w:b/>
          <w:color w:val="1A1718"/>
          <w:sz w:val="28"/>
          <w:szCs w:val="28"/>
          <w:lang w:val="en-US"/>
        </w:rPr>
        <w:t>-</w:t>
      </w:r>
      <w:r w:rsidR="008E1E16" w:rsidRPr="00B00803">
        <w:rPr>
          <w:rFonts w:ascii="Times" w:hAnsi="Times" w:cs="Times"/>
          <w:b/>
          <w:color w:val="1A1718"/>
          <w:sz w:val="28"/>
          <w:szCs w:val="28"/>
          <w:lang w:val="en-US"/>
        </w:rPr>
        <w:t xml:space="preserve">Kui </w:t>
      </w:r>
      <w:r w:rsidR="00274E30">
        <w:rPr>
          <w:rFonts w:ascii="Times" w:hAnsi="Times" w:cs="Times"/>
          <w:b/>
          <w:color w:val="1A1718"/>
          <w:sz w:val="28"/>
          <w:szCs w:val="28"/>
          <w:lang w:val="en-US"/>
        </w:rPr>
        <w:t xml:space="preserve">selleks </w:t>
      </w:r>
      <w:r w:rsidR="008E1E16" w:rsidRPr="00B00803">
        <w:rPr>
          <w:rFonts w:ascii="Times" w:hAnsi="Times" w:cs="Times"/>
          <w:b/>
          <w:color w:val="1A1718"/>
          <w:sz w:val="28"/>
          <w:szCs w:val="28"/>
          <w:lang w:val="en-US"/>
        </w:rPr>
        <w:t>on kliiniline</w:t>
      </w:r>
      <w:r w:rsidR="00D419C5" w:rsidRPr="00B00803">
        <w:rPr>
          <w:rFonts w:ascii="Times" w:hAnsi="Times" w:cs="Times"/>
          <w:b/>
          <w:color w:val="1A1718"/>
          <w:sz w:val="28"/>
          <w:szCs w:val="28"/>
          <w:lang w:val="en-US"/>
        </w:rPr>
        <w:t xml:space="preserve"> </w:t>
      </w:r>
      <w:r w:rsidR="008E1E16" w:rsidRPr="00B00803">
        <w:rPr>
          <w:rFonts w:ascii="Times" w:hAnsi="Times" w:cs="Times"/>
          <w:b/>
          <w:color w:val="1A1718"/>
          <w:sz w:val="28"/>
          <w:szCs w:val="28"/>
          <w:lang w:val="en-US"/>
        </w:rPr>
        <w:t>näidustus</w:t>
      </w:r>
      <w:r w:rsidR="009A718D" w:rsidRPr="00B00803">
        <w:rPr>
          <w:rFonts w:ascii="Times" w:hAnsi="Times" w:cs="Times"/>
          <w:b/>
          <w:color w:val="1A1718"/>
          <w:sz w:val="28"/>
          <w:szCs w:val="28"/>
          <w:lang w:val="en-US"/>
        </w:rPr>
        <w:t xml:space="preserve"> inimestel GFRga</w:t>
      </w:r>
      <w:r w:rsidR="00D419C5" w:rsidRPr="00B00803">
        <w:rPr>
          <w:rFonts w:ascii="Times" w:hAnsi="Times" w:cs="Times"/>
          <w:b/>
          <w:color w:val="1A1718"/>
          <w:sz w:val="28"/>
          <w:szCs w:val="28"/>
          <w:lang w:val="en-US"/>
        </w:rPr>
        <w:t xml:space="preserve"> </w:t>
      </w:r>
      <w:r w:rsidR="009A718D" w:rsidRPr="00B00803">
        <w:rPr>
          <w:rFonts w:ascii="Times" w:hAnsi="Times" w:cs="Times"/>
          <w:b/>
          <w:color w:val="1A1718"/>
          <w:sz w:val="28"/>
          <w:szCs w:val="28"/>
          <w:lang w:val="en-US"/>
        </w:rPr>
        <w:t>&gt;=60ml/min/1,73m2 (G1-G2);</w:t>
      </w:r>
    </w:p>
    <w:p w14:paraId="5EC72DB8" w14:textId="190437BE" w:rsidR="009A718D" w:rsidRPr="00B00803" w:rsidRDefault="006339DB" w:rsidP="007D0211">
      <w:pPr>
        <w:pStyle w:val="ListParagraph"/>
        <w:widowControl w:val="0"/>
        <w:autoSpaceDE w:val="0"/>
        <w:autoSpaceDN w:val="0"/>
        <w:adjustRightInd w:val="0"/>
        <w:spacing w:after="240"/>
        <w:jc w:val="both"/>
        <w:rPr>
          <w:rFonts w:ascii="Times" w:hAnsi="Times" w:cs="Times"/>
          <w:b/>
          <w:color w:val="1A1718"/>
          <w:sz w:val="28"/>
          <w:szCs w:val="28"/>
          <w:lang w:val="en-US"/>
        </w:rPr>
      </w:pPr>
      <w:r w:rsidRPr="00B00803">
        <w:rPr>
          <w:rFonts w:ascii="Times" w:hAnsi="Times" w:cs="Times"/>
          <w:b/>
          <w:color w:val="1A1718"/>
          <w:sz w:val="28"/>
          <w:szCs w:val="28"/>
          <w:lang w:val="en-US"/>
        </w:rPr>
        <w:t>-</w:t>
      </w:r>
      <w:r w:rsidR="009A718D" w:rsidRPr="00B00803">
        <w:rPr>
          <w:rFonts w:ascii="Times" w:hAnsi="Times" w:cs="Times"/>
          <w:b/>
          <w:color w:val="1A1718"/>
          <w:sz w:val="28"/>
          <w:szCs w:val="28"/>
          <w:lang w:val="en-US"/>
        </w:rPr>
        <w:t xml:space="preserve">Vähemalt 1 kord aastas inimestel GFRga 30-59 ml/min/1,73m2 (G3a-G3b); </w:t>
      </w:r>
    </w:p>
    <w:p w14:paraId="599BF5BF" w14:textId="51DB22C7" w:rsidR="009A718D" w:rsidRPr="00B00803" w:rsidRDefault="006339DB" w:rsidP="007D0211">
      <w:pPr>
        <w:pStyle w:val="ListParagraph"/>
        <w:widowControl w:val="0"/>
        <w:autoSpaceDE w:val="0"/>
        <w:autoSpaceDN w:val="0"/>
        <w:adjustRightInd w:val="0"/>
        <w:spacing w:after="240"/>
        <w:jc w:val="both"/>
        <w:rPr>
          <w:rFonts w:ascii="Times" w:hAnsi="Times" w:cs="Times"/>
          <w:b/>
          <w:color w:val="1A1718"/>
          <w:sz w:val="28"/>
          <w:szCs w:val="28"/>
          <w:lang w:val="en-US"/>
        </w:rPr>
      </w:pPr>
      <w:r w:rsidRPr="00B00803">
        <w:rPr>
          <w:rFonts w:ascii="Times" w:hAnsi="Times" w:cs="Times"/>
          <w:b/>
          <w:color w:val="1A1718"/>
          <w:sz w:val="28"/>
          <w:szCs w:val="28"/>
          <w:lang w:val="en-US"/>
        </w:rPr>
        <w:t>-</w:t>
      </w:r>
      <w:r w:rsidR="009A718D" w:rsidRPr="00B00803">
        <w:rPr>
          <w:rFonts w:ascii="Times" w:hAnsi="Times" w:cs="Times"/>
          <w:b/>
          <w:color w:val="1A1718"/>
          <w:sz w:val="28"/>
          <w:szCs w:val="28"/>
          <w:lang w:val="en-US"/>
        </w:rPr>
        <w:t>Vähemalt 2 korda aastas inimestel GFRga &lt;30ml/min/1,73m2 (G4-G5)</w:t>
      </w:r>
    </w:p>
    <w:p w14:paraId="0E45D10C" w14:textId="69536BEB" w:rsidR="004175DD" w:rsidRDefault="00627961" w:rsidP="00C70A18">
      <w:pPr>
        <w:widowControl w:val="0"/>
        <w:tabs>
          <w:tab w:val="left" w:pos="220"/>
          <w:tab w:val="left" w:pos="720"/>
        </w:tabs>
        <w:autoSpaceDE w:val="0"/>
        <w:autoSpaceDN w:val="0"/>
        <w:adjustRightInd w:val="0"/>
        <w:spacing w:after="186"/>
        <w:rPr>
          <w:rFonts w:ascii="Times" w:hAnsi="Times" w:cs="Times"/>
          <w:b/>
          <w:color w:val="1A1718"/>
          <w:sz w:val="28"/>
          <w:szCs w:val="28"/>
          <w:lang w:val="en-US"/>
        </w:rPr>
      </w:pPr>
      <w:r w:rsidRPr="00B00803">
        <w:rPr>
          <w:rFonts w:ascii="Times" w:hAnsi="Times" w:cs="Times"/>
          <w:b/>
          <w:color w:val="1A1718"/>
          <w:sz w:val="28"/>
          <w:szCs w:val="28"/>
          <w:lang w:val="en-US"/>
        </w:rPr>
        <w:t>Tabel 27</w:t>
      </w:r>
      <w:r w:rsidR="00274E30" w:rsidRPr="00274E30">
        <w:rPr>
          <w:rFonts w:ascii="Times" w:hAnsi="Times" w:cs="Times"/>
          <w:b/>
          <w:color w:val="1A1718"/>
          <w:sz w:val="28"/>
          <w:szCs w:val="28"/>
          <w:lang w:val="en-US"/>
        </w:rPr>
        <w:t xml:space="preserve"> </w:t>
      </w:r>
      <w:r w:rsidR="00274E30">
        <w:rPr>
          <w:rFonts w:ascii="Times" w:hAnsi="Times" w:cs="Times"/>
          <w:b/>
          <w:color w:val="1A1718"/>
          <w:sz w:val="28"/>
          <w:szCs w:val="28"/>
          <w:lang w:val="en-US"/>
        </w:rPr>
        <w:t xml:space="preserve"> </w:t>
      </w:r>
      <w:r w:rsidR="00274E30" w:rsidRPr="00B00803">
        <w:rPr>
          <w:rFonts w:ascii="Times" w:hAnsi="Times" w:cs="Times"/>
          <w:b/>
          <w:color w:val="1A1718"/>
          <w:sz w:val="28"/>
          <w:szCs w:val="28"/>
          <w:lang w:val="en-US"/>
        </w:rPr>
        <w:t xml:space="preserve">Inker LA, Coresh J, Levey AS et al. Estimated GFR, albuminuria, and complications of chronic kidney disease. J Am Soc Nephrol 2011; 22: 2322–2331. </w:t>
      </w:r>
    </w:p>
    <w:tbl>
      <w:tblPr>
        <w:tblStyle w:val="TableGrid"/>
        <w:tblpPr w:leftFromText="180" w:rightFromText="180" w:vertAnchor="page" w:horzAnchor="page" w:tblpX="1346" w:tblpY="14558"/>
        <w:tblW w:w="0" w:type="auto"/>
        <w:tblLook w:val="04A0" w:firstRow="1" w:lastRow="0" w:firstColumn="1" w:lastColumn="0" w:noHBand="0" w:noVBand="1"/>
      </w:tblPr>
      <w:tblGrid>
        <w:gridCol w:w="2083"/>
        <w:gridCol w:w="1429"/>
        <w:gridCol w:w="1429"/>
        <w:gridCol w:w="1449"/>
        <w:gridCol w:w="1449"/>
        <w:gridCol w:w="1449"/>
      </w:tblGrid>
      <w:tr w:rsidR="00EB5287" w:rsidRPr="00B00803" w14:paraId="470D381C" w14:textId="77777777" w:rsidTr="00EB5287">
        <w:tc>
          <w:tcPr>
            <w:tcW w:w="2083" w:type="dxa"/>
          </w:tcPr>
          <w:p w14:paraId="7DA43933" w14:textId="77777777" w:rsidR="00EB5287" w:rsidRPr="00B00803" w:rsidRDefault="00EB5287" w:rsidP="00EB5287">
            <w:pPr>
              <w:widowControl w:val="0"/>
              <w:autoSpaceDE w:val="0"/>
              <w:autoSpaceDN w:val="0"/>
              <w:adjustRightInd w:val="0"/>
              <w:spacing w:after="240"/>
              <w:rPr>
                <w:rFonts w:ascii="Times" w:hAnsi="Times" w:cs="Times"/>
                <w:sz w:val="28"/>
                <w:szCs w:val="28"/>
                <w:lang w:val="en-US"/>
              </w:rPr>
            </w:pPr>
          </w:p>
        </w:tc>
        <w:tc>
          <w:tcPr>
            <w:tcW w:w="1429" w:type="dxa"/>
          </w:tcPr>
          <w:p w14:paraId="203363C6" w14:textId="77777777" w:rsidR="00EB5287" w:rsidRPr="00B00803" w:rsidRDefault="00EB5287" w:rsidP="00EB5287">
            <w:pPr>
              <w:widowControl w:val="0"/>
              <w:autoSpaceDE w:val="0"/>
              <w:autoSpaceDN w:val="0"/>
              <w:adjustRightInd w:val="0"/>
              <w:spacing w:after="240"/>
              <w:rPr>
                <w:rFonts w:ascii="Times" w:hAnsi="Times" w:cs="Times"/>
                <w:sz w:val="28"/>
                <w:szCs w:val="28"/>
                <w:lang w:val="en-US"/>
              </w:rPr>
            </w:pPr>
            <w:r w:rsidRPr="00B00803">
              <w:rPr>
                <w:rFonts w:ascii="Times" w:hAnsi="Times" w:cs="Times"/>
                <w:sz w:val="28"/>
                <w:szCs w:val="28"/>
                <w:lang w:val="en-US"/>
              </w:rPr>
              <w:t>GFR &gt;90</w:t>
            </w:r>
          </w:p>
        </w:tc>
        <w:tc>
          <w:tcPr>
            <w:tcW w:w="1429" w:type="dxa"/>
          </w:tcPr>
          <w:p w14:paraId="6E875B59" w14:textId="77777777" w:rsidR="00EB5287" w:rsidRPr="00B00803" w:rsidRDefault="00EB5287" w:rsidP="00EB5287">
            <w:pPr>
              <w:widowControl w:val="0"/>
              <w:autoSpaceDE w:val="0"/>
              <w:autoSpaceDN w:val="0"/>
              <w:adjustRightInd w:val="0"/>
              <w:spacing w:after="240"/>
              <w:rPr>
                <w:rFonts w:ascii="Times" w:hAnsi="Times" w:cs="Times"/>
                <w:sz w:val="28"/>
                <w:szCs w:val="28"/>
                <w:lang w:val="en-US"/>
              </w:rPr>
            </w:pPr>
            <w:r w:rsidRPr="00B00803">
              <w:rPr>
                <w:rFonts w:ascii="Times" w:hAnsi="Times" w:cs="Times"/>
                <w:sz w:val="28"/>
                <w:szCs w:val="28"/>
                <w:lang w:val="en-US"/>
              </w:rPr>
              <w:t>GFR 60-89</w:t>
            </w:r>
          </w:p>
        </w:tc>
        <w:tc>
          <w:tcPr>
            <w:tcW w:w="1449" w:type="dxa"/>
          </w:tcPr>
          <w:p w14:paraId="59C85CEB" w14:textId="77777777" w:rsidR="00EB5287" w:rsidRPr="00B00803" w:rsidRDefault="00EB5287" w:rsidP="00EB5287">
            <w:pPr>
              <w:widowControl w:val="0"/>
              <w:autoSpaceDE w:val="0"/>
              <w:autoSpaceDN w:val="0"/>
              <w:adjustRightInd w:val="0"/>
              <w:spacing w:after="240"/>
              <w:rPr>
                <w:rFonts w:ascii="Times" w:hAnsi="Times" w:cs="Times"/>
                <w:sz w:val="28"/>
                <w:szCs w:val="28"/>
                <w:lang w:val="en-US"/>
              </w:rPr>
            </w:pPr>
            <w:r w:rsidRPr="00B00803">
              <w:rPr>
                <w:rFonts w:ascii="Times" w:hAnsi="Times" w:cs="Times"/>
                <w:sz w:val="28"/>
                <w:szCs w:val="28"/>
                <w:lang w:val="en-US"/>
              </w:rPr>
              <w:t>GFR 45-59</w:t>
            </w:r>
          </w:p>
        </w:tc>
        <w:tc>
          <w:tcPr>
            <w:tcW w:w="1449" w:type="dxa"/>
          </w:tcPr>
          <w:p w14:paraId="76A17950" w14:textId="77777777" w:rsidR="00EB5287" w:rsidRPr="00B00803" w:rsidRDefault="00EB5287" w:rsidP="00EB5287">
            <w:pPr>
              <w:widowControl w:val="0"/>
              <w:autoSpaceDE w:val="0"/>
              <w:autoSpaceDN w:val="0"/>
              <w:adjustRightInd w:val="0"/>
              <w:spacing w:after="240"/>
              <w:rPr>
                <w:rFonts w:ascii="Times" w:hAnsi="Times" w:cs="Times"/>
                <w:sz w:val="28"/>
                <w:szCs w:val="28"/>
                <w:lang w:val="en-US"/>
              </w:rPr>
            </w:pPr>
            <w:r w:rsidRPr="00B00803">
              <w:rPr>
                <w:rFonts w:ascii="Times" w:hAnsi="Times" w:cs="Times"/>
                <w:sz w:val="28"/>
                <w:szCs w:val="28"/>
                <w:lang w:val="en-US"/>
              </w:rPr>
              <w:t>GFR 30-44</w:t>
            </w:r>
          </w:p>
        </w:tc>
        <w:tc>
          <w:tcPr>
            <w:tcW w:w="1449" w:type="dxa"/>
          </w:tcPr>
          <w:p w14:paraId="2BB7D904" w14:textId="77777777" w:rsidR="00EB5287" w:rsidRPr="00B00803" w:rsidRDefault="00EB5287" w:rsidP="00EB5287">
            <w:pPr>
              <w:widowControl w:val="0"/>
              <w:autoSpaceDE w:val="0"/>
              <w:autoSpaceDN w:val="0"/>
              <w:adjustRightInd w:val="0"/>
              <w:spacing w:after="240"/>
              <w:rPr>
                <w:rFonts w:ascii="Times" w:hAnsi="Times" w:cs="Times"/>
                <w:sz w:val="28"/>
                <w:szCs w:val="28"/>
                <w:lang w:val="en-US"/>
              </w:rPr>
            </w:pPr>
            <w:r w:rsidRPr="00B00803">
              <w:rPr>
                <w:rFonts w:ascii="Times" w:hAnsi="Times" w:cs="Times"/>
                <w:sz w:val="28"/>
                <w:szCs w:val="28"/>
                <w:lang w:val="en-US"/>
              </w:rPr>
              <w:t>GFR &lt;30</w:t>
            </w:r>
          </w:p>
        </w:tc>
      </w:tr>
      <w:tr w:rsidR="00EB5287" w:rsidRPr="00B00803" w14:paraId="08E2C336" w14:textId="77777777" w:rsidTr="00EB5287">
        <w:tc>
          <w:tcPr>
            <w:tcW w:w="2083" w:type="dxa"/>
          </w:tcPr>
          <w:p w14:paraId="612E52DA" w14:textId="77777777" w:rsidR="00EB5287" w:rsidRPr="00B00803" w:rsidRDefault="00EB5287" w:rsidP="00EB5287">
            <w:pPr>
              <w:widowControl w:val="0"/>
              <w:autoSpaceDE w:val="0"/>
              <w:autoSpaceDN w:val="0"/>
              <w:adjustRightInd w:val="0"/>
              <w:spacing w:after="240"/>
              <w:rPr>
                <w:rFonts w:ascii="Times" w:hAnsi="Times" w:cs="Times"/>
                <w:sz w:val="28"/>
                <w:szCs w:val="28"/>
                <w:lang w:val="en-US"/>
              </w:rPr>
            </w:pPr>
            <w:r w:rsidRPr="00B00803">
              <w:rPr>
                <w:rFonts w:ascii="Times" w:hAnsi="Times" w:cs="Times"/>
                <w:sz w:val="28"/>
                <w:szCs w:val="28"/>
                <w:lang w:val="en-US"/>
              </w:rPr>
              <w:t>Aneemia esinemissagedus</w:t>
            </w:r>
          </w:p>
        </w:tc>
        <w:tc>
          <w:tcPr>
            <w:tcW w:w="1429" w:type="dxa"/>
          </w:tcPr>
          <w:p w14:paraId="492D5661" w14:textId="77777777" w:rsidR="00EB5287" w:rsidRPr="00B00803" w:rsidRDefault="00EB5287" w:rsidP="00EB5287">
            <w:pPr>
              <w:widowControl w:val="0"/>
              <w:autoSpaceDE w:val="0"/>
              <w:autoSpaceDN w:val="0"/>
              <w:adjustRightInd w:val="0"/>
              <w:spacing w:after="240"/>
              <w:rPr>
                <w:rFonts w:ascii="Times" w:hAnsi="Times" w:cs="Times"/>
                <w:sz w:val="28"/>
                <w:szCs w:val="28"/>
                <w:lang w:val="en-US"/>
              </w:rPr>
            </w:pPr>
            <w:r w:rsidRPr="00B00803">
              <w:rPr>
                <w:rFonts w:ascii="Times" w:hAnsi="Times" w:cs="Times"/>
                <w:sz w:val="28"/>
                <w:szCs w:val="28"/>
                <w:lang w:val="en-US"/>
              </w:rPr>
              <w:t>4,0%</w:t>
            </w:r>
          </w:p>
        </w:tc>
        <w:tc>
          <w:tcPr>
            <w:tcW w:w="1429" w:type="dxa"/>
          </w:tcPr>
          <w:p w14:paraId="6B579144" w14:textId="77777777" w:rsidR="00EB5287" w:rsidRPr="00B00803" w:rsidRDefault="00EB5287" w:rsidP="00EB5287">
            <w:pPr>
              <w:widowControl w:val="0"/>
              <w:autoSpaceDE w:val="0"/>
              <w:autoSpaceDN w:val="0"/>
              <w:adjustRightInd w:val="0"/>
              <w:spacing w:after="240"/>
              <w:rPr>
                <w:rFonts w:ascii="Times" w:hAnsi="Times" w:cs="Times"/>
                <w:sz w:val="28"/>
                <w:szCs w:val="28"/>
                <w:lang w:val="en-US"/>
              </w:rPr>
            </w:pPr>
            <w:r w:rsidRPr="00B00803">
              <w:rPr>
                <w:rFonts w:ascii="Times" w:hAnsi="Times" w:cs="Times"/>
                <w:sz w:val="28"/>
                <w:szCs w:val="28"/>
                <w:lang w:val="en-US"/>
              </w:rPr>
              <w:t>4,7%</w:t>
            </w:r>
          </w:p>
        </w:tc>
        <w:tc>
          <w:tcPr>
            <w:tcW w:w="1449" w:type="dxa"/>
          </w:tcPr>
          <w:p w14:paraId="196CC93A" w14:textId="77777777" w:rsidR="00EB5287" w:rsidRPr="00B00803" w:rsidRDefault="00EB5287" w:rsidP="00EB5287">
            <w:pPr>
              <w:widowControl w:val="0"/>
              <w:autoSpaceDE w:val="0"/>
              <w:autoSpaceDN w:val="0"/>
              <w:adjustRightInd w:val="0"/>
              <w:spacing w:after="240"/>
              <w:rPr>
                <w:rFonts w:ascii="Times" w:hAnsi="Times" w:cs="Times"/>
                <w:sz w:val="28"/>
                <w:szCs w:val="28"/>
                <w:lang w:val="en-US"/>
              </w:rPr>
            </w:pPr>
            <w:r w:rsidRPr="00B00803">
              <w:rPr>
                <w:rFonts w:ascii="Times" w:hAnsi="Times" w:cs="Times"/>
                <w:sz w:val="28"/>
                <w:szCs w:val="28"/>
                <w:lang w:val="en-US"/>
              </w:rPr>
              <w:t>12,3%</w:t>
            </w:r>
          </w:p>
        </w:tc>
        <w:tc>
          <w:tcPr>
            <w:tcW w:w="1449" w:type="dxa"/>
          </w:tcPr>
          <w:p w14:paraId="7D7082B8" w14:textId="77777777" w:rsidR="00EB5287" w:rsidRPr="00B00803" w:rsidRDefault="00EB5287" w:rsidP="00EB5287">
            <w:pPr>
              <w:widowControl w:val="0"/>
              <w:autoSpaceDE w:val="0"/>
              <w:autoSpaceDN w:val="0"/>
              <w:adjustRightInd w:val="0"/>
              <w:spacing w:after="240"/>
              <w:rPr>
                <w:rFonts w:ascii="Times" w:hAnsi="Times" w:cs="Times"/>
                <w:sz w:val="28"/>
                <w:szCs w:val="28"/>
                <w:lang w:val="en-US"/>
              </w:rPr>
            </w:pPr>
            <w:r w:rsidRPr="00B00803">
              <w:rPr>
                <w:rFonts w:ascii="Times" w:hAnsi="Times" w:cs="Times"/>
                <w:sz w:val="28"/>
                <w:szCs w:val="28"/>
                <w:lang w:val="en-US"/>
              </w:rPr>
              <w:t>22,7%</w:t>
            </w:r>
          </w:p>
        </w:tc>
        <w:tc>
          <w:tcPr>
            <w:tcW w:w="1449" w:type="dxa"/>
          </w:tcPr>
          <w:p w14:paraId="6053C613" w14:textId="77777777" w:rsidR="00EB5287" w:rsidRPr="00B00803" w:rsidRDefault="00EB5287" w:rsidP="00EB5287">
            <w:pPr>
              <w:widowControl w:val="0"/>
              <w:autoSpaceDE w:val="0"/>
              <w:autoSpaceDN w:val="0"/>
              <w:adjustRightInd w:val="0"/>
              <w:spacing w:after="240"/>
              <w:rPr>
                <w:rFonts w:ascii="Times" w:hAnsi="Times" w:cs="Times"/>
                <w:sz w:val="28"/>
                <w:szCs w:val="28"/>
                <w:lang w:val="en-US"/>
              </w:rPr>
            </w:pPr>
            <w:r w:rsidRPr="00B00803">
              <w:rPr>
                <w:rFonts w:ascii="Times" w:hAnsi="Times" w:cs="Times"/>
                <w:sz w:val="28"/>
                <w:szCs w:val="28"/>
                <w:lang w:val="en-US"/>
              </w:rPr>
              <w:t>51,5%</w:t>
            </w:r>
          </w:p>
        </w:tc>
      </w:tr>
    </w:tbl>
    <w:p w14:paraId="04D875CF" w14:textId="77777777" w:rsidR="00C70A18" w:rsidRDefault="00C70A18" w:rsidP="00D970AD">
      <w:pPr>
        <w:widowControl w:val="0"/>
        <w:autoSpaceDE w:val="0"/>
        <w:autoSpaceDN w:val="0"/>
        <w:adjustRightInd w:val="0"/>
        <w:spacing w:after="240"/>
        <w:rPr>
          <w:rFonts w:ascii="Times" w:hAnsi="Times" w:cs="Times"/>
          <w:lang w:val="en-US"/>
        </w:rPr>
      </w:pPr>
    </w:p>
    <w:p w14:paraId="40563286" w14:textId="368BF50B" w:rsidR="00D970AD" w:rsidRDefault="00D970AD" w:rsidP="00D970AD">
      <w:pPr>
        <w:widowControl w:val="0"/>
        <w:autoSpaceDE w:val="0"/>
        <w:autoSpaceDN w:val="0"/>
        <w:adjustRightInd w:val="0"/>
        <w:spacing w:after="240"/>
        <w:rPr>
          <w:rFonts w:ascii="Times" w:hAnsi="Times" w:cs="Times"/>
          <w:b/>
          <w:sz w:val="32"/>
          <w:szCs w:val="32"/>
          <w:lang w:val="en-US"/>
        </w:rPr>
      </w:pPr>
      <w:r w:rsidRPr="00B00803">
        <w:rPr>
          <w:rFonts w:ascii="Times" w:hAnsi="Times" w:cs="Times"/>
          <w:b/>
          <w:sz w:val="32"/>
          <w:szCs w:val="32"/>
          <w:lang w:val="en-US"/>
        </w:rPr>
        <w:t>KDIGO Clinical Practice Guideline for Anemia in Chronic Kidney Disease (2012)</w:t>
      </w:r>
    </w:p>
    <w:p w14:paraId="1E83C206" w14:textId="703D05E3" w:rsidR="008034D2" w:rsidRPr="008034D2" w:rsidRDefault="008034D2" w:rsidP="00D970AD">
      <w:pPr>
        <w:widowControl w:val="0"/>
        <w:autoSpaceDE w:val="0"/>
        <w:autoSpaceDN w:val="0"/>
        <w:adjustRightInd w:val="0"/>
        <w:spacing w:after="240"/>
        <w:rPr>
          <w:rFonts w:ascii="Times" w:hAnsi="Times" w:cs="Times"/>
          <w:sz w:val="28"/>
          <w:szCs w:val="28"/>
          <w:lang w:val="en-US"/>
        </w:rPr>
      </w:pPr>
      <w:r w:rsidRPr="008034D2">
        <w:rPr>
          <w:rFonts w:ascii="Times" w:hAnsi="Times" w:cs="Times"/>
          <w:sz w:val="28"/>
          <w:szCs w:val="28"/>
          <w:lang w:val="en-US"/>
        </w:rPr>
        <w:t>Ravijuhendis on infot:</w:t>
      </w:r>
    </w:p>
    <w:p w14:paraId="3FB72617" w14:textId="7277D3BD" w:rsidR="008034D2" w:rsidRPr="008034D2" w:rsidRDefault="008034D2" w:rsidP="00D970AD">
      <w:pPr>
        <w:widowControl w:val="0"/>
        <w:autoSpaceDE w:val="0"/>
        <w:autoSpaceDN w:val="0"/>
        <w:adjustRightInd w:val="0"/>
        <w:spacing w:after="240"/>
        <w:rPr>
          <w:rFonts w:ascii="Times" w:hAnsi="Times" w:cs="Times"/>
          <w:sz w:val="28"/>
          <w:szCs w:val="28"/>
          <w:lang w:val="en-US"/>
        </w:rPr>
      </w:pPr>
      <w:r w:rsidRPr="008034D2">
        <w:rPr>
          <w:rFonts w:ascii="Times" w:hAnsi="Times" w:cs="Times"/>
          <w:sz w:val="28"/>
          <w:szCs w:val="28"/>
          <w:lang w:val="en-US"/>
        </w:rPr>
        <w:t>-aneemia esinemissageduse kohta – NHANES III</w:t>
      </w:r>
    </w:p>
    <w:p w14:paraId="51061C48" w14:textId="2D036C83" w:rsidR="008034D2" w:rsidRPr="008034D2" w:rsidRDefault="008034D2" w:rsidP="00D970AD">
      <w:pPr>
        <w:widowControl w:val="0"/>
        <w:autoSpaceDE w:val="0"/>
        <w:autoSpaceDN w:val="0"/>
        <w:adjustRightInd w:val="0"/>
        <w:spacing w:after="240"/>
        <w:rPr>
          <w:rFonts w:ascii="Times" w:hAnsi="Times" w:cs="Times"/>
          <w:sz w:val="28"/>
          <w:szCs w:val="28"/>
          <w:lang w:val="en-US"/>
        </w:rPr>
      </w:pPr>
      <w:r w:rsidRPr="008034D2">
        <w:rPr>
          <w:rFonts w:ascii="Times" w:hAnsi="Times" w:cs="Times"/>
          <w:sz w:val="28"/>
          <w:szCs w:val="28"/>
          <w:lang w:val="en-US"/>
        </w:rPr>
        <w:t>-Hgb määramise sagedus</w:t>
      </w:r>
      <w:r>
        <w:rPr>
          <w:rFonts w:ascii="Times" w:hAnsi="Times" w:cs="Times"/>
          <w:sz w:val="28"/>
          <w:szCs w:val="28"/>
          <w:lang w:val="en-US"/>
        </w:rPr>
        <w:t>e kohta</w:t>
      </w:r>
      <w:r w:rsidRPr="008034D2">
        <w:rPr>
          <w:rFonts w:ascii="Times" w:hAnsi="Times" w:cs="Times"/>
          <w:sz w:val="28"/>
          <w:szCs w:val="28"/>
          <w:lang w:val="en-US"/>
        </w:rPr>
        <w:t xml:space="preserve"> ilma aneemiata KNH haigetel</w:t>
      </w:r>
    </w:p>
    <w:p w14:paraId="7A02F4D7" w14:textId="11B02FEC" w:rsidR="008034D2" w:rsidRPr="008034D2" w:rsidRDefault="008034D2" w:rsidP="00D970AD">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-Hgb määramis</w:t>
      </w:r>
      <w:r w:rsidRPr="008034D2">
        <w:rPr>
          <w:rFonts w:ascii="Times" w:hAnsi="Times" w:cs="Times"/>
          <w:sz w:val="28"/>
          <w:szCs w:val="28"/>
          <w:lang w:val="en-US"/>
        </w:rPr>
        <w:t xml:space="preserve">e </w:t>
      </w:r>
      <w:r>
        <w:rPr>
          <w:rFonts w:ascii="Times" w:hAnsi="Times" w:cs="Times"/>
          <w:sz w:val="28"/>
          <w:szCs w:val="28"/>
          <w:lang w:val="en-US"/>
        </w:rPr>
        <w:t xml:space="preserve">kohta </w:t>
      </w:r>
      <w:r w:rsidRPr="008034D2">
        <w:rPr>
          <w:rFonts w:ascii="Times" w:hAnsi="Times" w:cs="Times"/>
          <w:sz w:val="28"/>
          <w:szCs w:val="28"/>
          <w:lang w:val="en-US"/>
        </w:rPr>
        <w:t>aneemia ja KNHga patsientidel</w:t>
      </w:r>
    </w:p>
    <w:p w14:paraId="35182DCB" w14:textId="4BA30D4E" w:rsidR="008034D2" w:rsidRPr="008034D2" w:rsidRDefault="008034D2" w:rsidP="008034D2">
      <w:pPr>
        <w:jc w:val="both"/>
        <w:rPr>
          <w:rFonts w:ascii="Times" w:hAnsi="Times"/>
          <w:sz w:val="28"/>
          <w:szCs w:val="28"/>
          <w:lang w:val="en-US" w:eastAsia="en-US"/>
        </w:rPr>
      </w:pPr>
      <w:r>
        <w:rPr>
          <w:rFonts w:ascii="Times" w:hAnsi="Times" w:cs="Times"/>
          <w:sz w:val="28"/>
          <w:szCs w:val="28"/>
          <w:lang w:val="en-US"/>
        </w:rPr>
        <w:t>-Vajalikke</w:t>
      </w:r>
      <w:r w:rsidRPr="008034D2">
        <w:rPr>
          <w:rFonts w:ascii="Times" w:hAnsi="Times" w:cs="Times"/>
          <w:sz w:val="28"/>
          <w:szCs w:val="28"/>
          <w:lang w:val="en-US"/>
        </w:rPr>
        <w:t xml:space="preserve"> analüüsid</w:t>
      </w:r>
      <w:r>
        <w:rPr>
          <w:rFonts w:ascii="Times" w:hAnsi="Times" w:cs="Times"/>
          <w:sz w:val="28"/>
          <w:szCs w:val="28"/>
          <w:lang w:val="en-US"/>
        </w:rPr>
        <w:t>e kohta</w:t>
      </w:r>
      <w:r w:rsidRPr="008034D2">
        <w:rPr>
          <w:rFonts w:ascii="Times" w:hAnsi="Times" w:cs="Times"/>
          <w:sz w:val="28"/>
          <w:szCs w:val="28"/>
          <w:lang w:val="en-US"/>
        </w:rPr>
        <w:t xml:space="preserve"> aneemia diagnoosimiseks</w:t>
      </w:r>
      <w:r>
        <w:rPr>
          <w:rFonts w:ascii="Times" w:hAnsi="Times" w:cs="Times"/>
          <w:sz w:val="28"/>
          <w:szCs w:val="28"/>
          <w:lang w:val="en-US"/>
        </w:rPr>
        <w:t xml:space="preserve"> (</w:t>
      </w:r>
      <w:r w:rsidRPr="0062094F">
        <w:rPr>
          <w:rFonts w:ascii="Times" w:hAnsi="Times"/>
          <w:sz w:val="28"/>
          <w:szCs w:val="28"/>
          <w:lang w:val="en-US" w:eastAsia="en-US"/>
        </w:rPr>
        <w:t>Uuringute andmed aastast 1974-2001</w:t>
      </w:r>
      <w:r>
        <w:rPr>
          <w:rFonts w:ascii="Times" w:hAnsi="Times"/>
          <w:sz w:val="28"/>
          <w:szCs w:val="28"/>
          <w:lang w:val="en-US" w:eastAsia="en-US"/>
        </w:rPr>
        <w:t>)</w:t>
      </w:r>
    </w:p>
    <w:p w14:paraId="0398434C" w14:textId="4082ADCB" w:rsidR="008034D2" w:rsidRPr="008034D2" w:rsidRDefault="008034D2" w:rsidP="00D970AD">
      <w:pPr>
        <w:widowControl w:val="0"/>
        <w:autoSpaceDE w:val="0"/>
        <w:autoSpaceDN w:val="0"/>
        <w:adjustRightInd w:val="0"/>
        <w:spacing w:after="240"/>
        <w:rPr>
          <w:rFonts w:ascii="Times" w:hAnsi="Times" w:cs="Times"/>
          <w:sz w:val="28"/>
          <w:szCs w:val="28"/>
          <w:lang w:val="en-US"/>
        </w:rPr>
      </w:pPr>
      <w:r w:rsidRPr="008034D2">
        <w:rPr>
          <w:rFonts w:ascii="Times" w:hAnsi="Times" w:cs="Times"/>
          <w:sz w:val="28"/>
          <w:szCs w:val="28"/>
          <w:lang w:val="en-US"/>
        </w:rPr>
        <w:t>-Rauaravi</w:t>
      </w:r>
      <w:r>
        <w:rPr>
          <w:rFonts w:ascii="Times" w:hAnsi="Times" w:cs="Times"/>
          <w:sz w:val="28"/>
          <w:szCs w:val="28"/>
          <w:lang w:val="en-US"/>
        </w:rPr>
        <w:t xml:space="preserve"> kohta</w:t>
      </w:r>
    </w:p>
    <w:p w14:paraId="3D276BB8" w14:textId="163FEA12" w:rsidR="008034D2" w:rsidRDefault="008034D2" w:rsidP="00D970AD">
      <w:pPr>
        <w:widowControl w:val="0"/>
        <w:autoSpaceDE w:val="0"/>
        <w:autoSpaceDN w:val="0"/>
        <w:adjustRightInd w:val="0"/>
        <w:spacing w:after="240"/>
        <w:rPr>
          <w:rFonts w:ascii="Times" w:hAnsi="Times" w:cs="Times"/>
          <w:sz w:val="28"/>
          <w:szCs w:val="28"/>
          <w:lang w:val="en-US"/>
        </w:rPr>
      </w:pPr>
      <w:r w:rsidRPr="008034D2">
        <w:rPr>
          <w:rFonts w:ascii="Times" w:hAnsi="Times" w:cs="Times"/>
          <w:sz w:val="28"/>
          <w:szCs w:val="28"/>
          <w:lang w:val="en-US"/>
        </w:rPr>
        <w:t>Er. massi ülekanded</w:t>
      </w:r>
    </w:p>
    <w:p w14:paraId="472DCA93" w14:textId="04488991" w:rsidR="004110A7" w:rsidRDefault="004110A7" w:rsidP="00D970AD">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(ESA ravi)</w:t>
      </w:r>
    </w:p>
    <w:p w14:paraId="7CBCD346" w14:textId="05DF3574" w:rsidR="004110A7" w:rsidRPr="008034D2" w:rsidRDefault="004110A7" w:rsidP="00D970AD">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Paljud soovitused on põhinevad vanade ja väiksemate uuringute andmetel ja on “Not Graded”.</w:t>
      </w:r>
    </w:p>
    <w:p w14:paraId="057CDB17" w14:textId="32447406" w:rsidR="00627961" w:rsidRPr="00B00803" w:rsidRDefault="00D970AD" w:rsidP="00D970AD">
      <w:pPr>
        <w:widowControl w:val="0"/>
        <w:autoSpaceDE w:val="0"/>
        <w:autoSpaceDN w:val="0"/>
        <w:adjustRightInd w:val="0"/>
        <w:spacing w:after="240"/>
        <w:jc w:val="both"/>
        <w:rPr>
          <w:rFonts w:ascii="Times" w:hAnsi="Times" w:cs="Times"/>
          <w:b/>
          <w:sz w:val="28"/>
          <w:szCs w:val="28"/>
          <w:lang w:val="en-US"/>
        </w:rPr>
      </w:pPr>
      <w:r w:rsidRPr="007D0211">
        <w:rPr>
          <w:rFonts w:ascii="Times" w:hAnsi="Times" w:cs="Times"/>
          <w:b/>
          <w:lang w:val="en-US"/>
        </w:rPr>
        <w:t xml:space="preserve"> </w:t>
      </w:r>
      <w:r w:rsidR="00627961" w:rsidRPr="00B00803">
        <w:rPr>
          <w:rFonts w:ascii="Times" w:hAnsi="Times"/>
          <w:b/>
          <w:sz w:val="28"/>
          <w:szCs w:val="28"/>
          <w:u w:val="single"/>
          <w:lang w:val="en-US" w:eastAsia="en-US"/>
        </w:rPr>
        <w:t xml:space="preserve">TESTING FOR ANEMIA </w:t>
      </w:r>
    </w:p>
    <w:p w14:paraId="34BB3E05" w14:textId="77777777" w:rsidR="00627961" w:rsidRPr="00B00803" w:rsidRDefault="00627961" w:rsidP="007D0211">
      <w:pPr>
        <w:jc w:val="both"/>
        <w:rPr>
          <w:rFonts w:ascii="Times" w:hAnsi="Times"/>
          <w:b/>
          <w:i/>
          <w:sz w:val="28"/>
          <w:szCs w:val="28"/>
          <w:u w:val="single"/>
          <w:lang w:val="en-US" w:eastAsia="en-US"/>
        </w:rPr>
      </w:pPr>
      <w:r w:rsidRPr="00B00803">
        <w:rPr>
          <w:rFonts w:ascii="Times" w:hAnsi="Times"/>
          <w:b/>
          <w:i/>
          <w:sz w:val="28"/>
          <w:szCs w:val="28"/>
          <w:u w:val="single"/>
          <w:lang w:val="en-US" w:eastAsia="en-US"/>
        </w:rPr>
        <w:t xml:space="preserve">Frequency of testing for anemia </w:t>
      </w:r>
    </w:p>
    <w:p w14:paraId="353AEBB7" w14:textId="77777777" w:rsidR="0093539C" w:rsidRPr="00B00803" w:rsidRDefault="0093539C" w:rsidP="007D0211">
      <w:pPr>
        <w:jc w:val="both"/>
        <w:rPr>
          <w:rFonts w:ascii="Times" w:hAnsi="Times"/>
          <w:b/>
          <w:i/>
          <w:sz w:val="28"/>
          <w:szCs w:val="28"/>
          <w:u w:val="single"/>
          <w:lang w:val="en-US" w:eastAsia="en-US"/>
        </w:rPr>
      </w:pPr>
    </w:p>
    <w:p w14:paraId="7B843F26" w14:textId="77777777" w:rsidR="00E02789" w:rsidRPr="00B00803" w:rsidRDefault="00627961" w:rsidP="007D0211">
      <w:pPr>
        <w:jc w:val="both"/>
        <w:rPr>
          <w:rFonts w:ascii="Times" w:hAnsi="Times"/>
          <w:b/>
          <w:sz w:val="28"/>
          <w:szCs w:val="28"/>
          <w:lang w:val="en-US" w:eastAsia="en-US"/>
        </w:rPr>
      </w:pPr>
      <w:r w:rsidRPr="00B00803">
        <w:rPr>
          <w:rFonts w:ascii="Times" w:hAnsi="Times"/>
          <w:b/>
          <w:sz w:val="28"/>
          <w:szCs w:val="28"/>
          <w:lang w:val="en-US" w:eastAsia="en-US"/>
        </w:rPr>
        <w:t xml:space="preserve">1.1.1: For CKD patients without anemia (as defined below in Recommendation 1.2.1 for adults and Recommendation 1.2.2 for children), measure Hb concentration when clinically indicated and (Not Graded): </w:t>
      </w:r>
    </w:p>
    <w:p w14:paraId="42689814" w14:textId="62390BCF" w:rsidR="00E02789" w:rsidRPr="00B00803" w:rsidRDefault="00E02789" w:rsidP="007D0211">
      <w:pPr>
        <w:jc w:val="both"/>
        <w:rPr>
          <w:rFonts w:ascii="Times" w:hAnsi="Times"/>
          <w:b/>
          <w:sz w:val="28"/>
          <w:szCs w:val="28"/>
          <w:lang w:val="en-US" w:eastAsia="en-US"/>
        </w:rPr>
      </w:pPr>
      <w:r w:rsidRPr="00B00803">
        <w:rPr>
          <w:rFonts w:ascii="Times" w:hAnsi="Times"/>
          <w:b/>
          <w:sz w:val="28"/>
          <w:szCs w:val="28"/>
          <w:lang w:val="en-US" w:eastAsia="en-US"/>
        </w:rPr>
        <w:t>-</w:t>
      </w:r>
      <w:r w:rsidR="00627961" w:rsidRPr="00B00803">
        <w:rPr>
          <w:rFonts w:ascii="Times" w:hAnsi="Times"/>
          <w:b/>
          <w:sz w:val="28"/>
          <w:szCs w:val="28"/>
          <w:lang w:val="en-US" w:eastAsia="en-US"/>
        </w:rPr>
        <w:t xml:space="preserve"> at least a</w:t>
      </w:r>
      <w:r w:rsidRPr="00B00803">
        <w:rPr>
          <w:rFonts w:ascii="Times" w:hAnsi="Times"/>
          <w:b/>
          <w:sz w:val="28"/>
          <w:szCs w:val="28"/>
          <w:lang w:val="en-US" w:eastAsia="en-US"/>
        </w:rPr>
        <w:t xml:space="preserve">nnually in patients with CKD 3 </w:t>
      </w:r>
      <w:r w:rsidR="00627961" w:rsidRPr="00B00803">
        <w:rPr>
          <w:rFonts w:ascii="Times" w:hAnsi="Times"/>
          <w:b/>
          <w:sz w:val="28"/>
          <w:szCs w:val="28"/>
          <w:lang w:val="en-US" w:eastAsia="en-US"/>
        </w:rPr>
        <w:t xml:space="preserve"> </w:t>
      </w:r>
    </w:p>
    <w:p w14:paraId="6E73F221" w14:textId="45569A5B" w:rsidR="00E02789" w:rsidRPr="00B00803" w:rsidRDefault="00E02789" w:rsidP="007D0211">
      <w:pPr>
        <w:jc w:val="both"/>
        <w:rPr>
          <w:rFonts w:ascii="Times" w:hAnsi="Times"/>
          <w:b/>
          <w:sz w:val="28"/>
          <w:szCs w:val="28"/>
          <w:lang w:val="en-US" w:eastAsia="en-US"/>
        </w:rPr>
      </w:pPr>
      <w:r w:rsidRPr="00B00803">
        <w:rPr>
          <w:rFonts w:ascii="Times" w:hAnsi="Times"/>
          <w:b/>
          <w:sz w:val="28"/>
          <w:szCs w:val="28"/>
          <w:lang w:val="en-US" w:eastAsia="en-US"/>
        </w:rPr>
        <w:t>-</w:t>
      </w:r>
      <w:r w:rsidR="00627961" w:rsidRPr="00B00803">
        <w:rPr>
          <w:rFonts w:ascii="Times" w:hAnsi="Times"/>
          <w:b/>
          <w:sz w:val="28"/>
          <w:szCs w:val="28"/>
          <w:lang w:val="en-US" w:eastAsia="en-US"/>
        </w:rPr>
        <w:t>at least twice per y</w:t>
      </w:r>
      <w:r w:rsidRPr="00B00803">
        <w:rPr>
          <w:rFonts w:ascii="Times" w:hAnsi="Times"/>
          <w:b/>
          <w:sz w:val="28"/>
          <w:szCs w:val="28"/>
          <w:lang w:val="en-US" w:eastAsia="en-US"/>
        </w:rPr>
        <w:t xml:space="preserve">ear in patients with CKD 4–5ND </w:t>
      </w:r>
      <w:r w:rsidR="00627961" w:rsidRPr="00B00803">
        <w:rPr>
          <w:rFonts w:ascii="Times" w:hAnsi="Times"/>
          <w:b/>
          <w:sz w:val="28"/>
          <w:szCs w:val="28"/>
          <w:lang w:val="en-US" w:eastAsia="en-US"/>
        </w:rPr>
        <w:t xml:space="preserve"> </w:t>
      </w:r>
    </w:p>
    <w:p w14:paraId="266C775E" w14:textId="77777777" w:rsidR="00E02789" w:rsidRPr="00B00803" w:rsidRDefault="00E02789" w:rsidP="007D0211">
      <w:pPr>
        <w:jc w:val="both"/>
        <w:rPr>
          <w:rFonts w:ascii="Times" w:hAnsi="Times"/>
          <w:b/>
          <w:sz w:val="28"/>
          <w:szCs w:val="28"/>
          <w:lang w:val="en-US" w:eastAsia="en-US"/>
        </w:rPr>
      </w:pPr>
      <w:r w:rsidRPr="00B00803">
        <w:rPr>
          <w:rFonts w:ascii="Times" w:hAnsi="Times"/>
          <w:b/>
          <w:sz w:val="28"/>
          <w:szCs w:val="28"/>
          <w:lang w:val="en-US" w:eastAsia="en-US"/>
        </w:rPr>
        <w:t>-</w:t>
      </w:r>
      <w:r w:rsidR="00627961" w:rsidRPr="00B00803">
        <w:rPr>
          <w:rFonts w:ascii="Times" w:hAnsi="Times"/>
          <w:b/>
          <w:sz w:val="28"/>
          <w:szCs w:val="28"/>
          <w:lang w:val="en-US" w:eastAsia="en-US"/>
        </w:rPr>
        <w:t xml:space="preserve">at least every 3 months in patients with CKD 5HD and CKD 5PD </w:t>
      </w:r>
    </w:p>
    <w:p w14:paraId="34C9EAE0" w14:textId="77777777" w:rsidR="00D85EBB" w:rsidRPr="00B00803" w:rsidRDefault="00D85EBB" w:rsidP="007D0211">
      <w:pPr>
        <w:jc w:val="both"/>
        <w:rPr>
          <w:rFonts w:ascii="Times" w:hAnsi="Times"/>
          <w:b/>
          <w:sz w:val="28"/>
          <w:szCs w:val="28"/>
          <w:lang w:val="en-US" w:eastAsia="en-US"/>
        </w:rPr>
      </w:pPr>
    </w:p>
    <w:p w14:paraId="4EC58E48" w14:textId="77777777" w:rsidR="00D85EBB" w:rsidRPr="00B00803" w:rsidRDefault="00D85EBB" w:rsidP="007D0211">
      <w:pPr>
        <w:pStyle w:val="ListParagraph"/>
        <w:numPr>
          <w:ilvl w:val="2"/>
          <w:numId w:val="26"/>
        </w:numPr>
        <w:jc w:val="both"/>
        <w:rPr>
          <w:rFonts w:ascii="Times" w:hAnsi="Times"/>
          <w:b/>
          <w:sz w:val="28"/>
          <w:szCs w:val="28"/>
          <w:lang w:val="en-US"/>
        </w:rPr>
      </w:pPr>
      <w:r w:rsidRPr="00B00803">
        <w:rPr>
          <w:rFonts w:ascii="Times" w:hAnsi="Times"/>
          <w:b/>
          <w:sz w:val="28"/>
          <w:szCs w:val="28"/>
          <w:lang w:val="en-US"/>
        </w:rPr>
        <w:t xml:space="preserve">Määra Hgb kontsentratsiooni KNHga patsientidel ilma aneemiata kui see on kliiniliselt näidustatud ja: </w:t>
      </w:r>
    </w:p>
    <w:p w14:paraId="0BF0471C" w14:textId="4089B21F" w:rsidR="00D85EBB" w:rsidRPr="00B00803" w:rsidRDefault="00926266" w:rsidP="007D0211">
      <w:pPr>
        <w:pStyle w:val="ListParagraph"/>
        <w:jc w:val="both"/>
        <w:rPr>
          <w:rFonts w:ascii="Times" w:hAnsi="Times"/>
          <w:b/>
          <w:sz w:val="28"/>
          <w:szCs w:val="28"/>
          <w:lang w:val="en-US"/>
        </w:rPr>
      </w:pPr>
      <w:r w:rsidRPr="00B00803">
        <w:rPr>
          <w:rFonts w:ascii="Times" w:hAnsi="Times"/>
          <w:b/>
          <w:sz w:val="28"/>
          <w:szCs w:val="28"/>
          <w:lang w:val="en-US"/>
        </w:rPr>
        <w:t>-</w:t>
      </w:r>
      <w:r w:rsidR="00D85EBB" w:rsidRPr="00B00803">
        <w:rPr>
          <w:rFonts w:ascii="Times" w:hAnsi="Times"/>
          <w:b/>
          <w:sz w:val="28"/>
          <w:szCs w:val="28"/>
          <w:lang w:val="en-US"/>
        </w:rPr>
        <w:t>Vähemalt 1 kord aastas CKD 3</w:t>
      </w:r>
    </w:p>
    <w:p w14:paraId="1BE4C6AE" w14:textId="7D8322BA" w:rsidR="00D85EBB" w:rsidRPr="00B00803" w:rsidRDefault="00926266" w:rsidP="007D0211">
      <w:pPr>
        <w:pStyle w:val="ListParagraph"/>
        <w:jc w:val="both"/>
        <w:rPr>
          <w:rFonts w:ascii="Times" w:hAnsi="Times"/>
          <w:b/>
          <w:sz w:val="28"/>
          <w:szCs w:val="28"/>
          <w:lang w:val="en-US"/>
        </w:rPr>
      </w:pPr>
      <w:r w:rsidRPr="00B00803">
        <w:rPr>
          <w:rFonts w:ascii="Times" w:hAnsi="Times"/>
          <w:b/>
          <w:sz w:val="28"/>
          <w:szCs w:val="28"/>
          <w:lang w:val="en-US"/>
        </w:rPr>
        <w:t>-</w:t>
      </w:r>
      <w:r w:rsidR="00D85EBB" w:rsidRPr="00B00803">
        <w:rPr>
          <w:rFonts w:ascii="Times" w:hAnsi="Times"/>
          <w:b/>
          <w:sz w:val="28"/>
          <w:szCs w:val="28"/>
          <w:lang w:val="en-US"/>
        </w:rPr>
        <w:t>Vähemalt 2 korda aastas CKD 4-5ND</w:t>
      </w:r>
    </w:p>
    <w:p w14:paraId="462CDBA8" w14:textId="6CAAABAD" w:rsidR="00926266" w:rsidRPr="00B00803" w:rsidRDefault="00926266" w:rsidP="00055099">
      <w:pPr>
        <w:pStyle w:val="ListParagraph"/>
        <w:jc w:val="both"/>
        <w:rPr>
          <w:rFonts w:ascii="Times" w:hAnsi="Times"/>
          <w:b/>
          <w:sz w:val="28"/>
          <w:szCs w:val="28"/>
          <w:lang w:val="en-US"/>
        </w:rPr>
      </w:pPr>
      <w:r w:rsidRPr="00B00803">
        <w:rPr>
          <w:rFonts w:ascii="Times" w:hAnsi="Times"/>
          <w:b/>
          <w:sz w:val="28"/>
          <w:szCs w:val="28"/>
          <w:lang w:val="en-US"/>
        </w:rPr>
        <w:t>-</w:t>
      </w:r>
      <w:r w:rsidR="00D85EBB" w:rsidRPr="00B00803">
        <w:rPr>
          <w:rFonts w:ascii="Times" w:hAnsi="Times"/>
          <w:b/>
          <w:sz w:val="28"/>
          <w:szCs w:val="28"/>
          <w:lang w:val="en-US"/>
        </w:rPr>
        <w:t>Vähemalt iga 3 kuu tagant CKD 5HD ja CKD 5PD</w:t>
      </w:r>
    </w:p>
    <w:p w14:paraId="3DBD2F09" w14:textId="77777777" w:rsidR="00D57EE7" w:rsidRPr="00B00803" w:rsidRDefault="00D57EE7" w:rsidP="007D0211">
      <w:pPr>
        <w:jc w:val="both"/>
        <w:rPr>
          <w:rFonts w:ascii="Times" w:hAnsi="Times"/>
          <w:b/>
          <w:sz w:val="28"/>
          <w:szCs w:val="28"/>
          <w:lang w:val="en-US" w:eastAsia="en-US"/>
        </w:rPr>
      </w:pPr>
    </w:p>
    <w:p w14:paraId="71307D01" w14:textId="77777777" w:rsidR="00E02789" w:rsidRPr="00B00803" w:rsidRDefault="00627961" w:rsidP="007D0211">
      <w:pPr>
        <w:jc w:val="both"/>
        <w:rPr>
          <w:rFonts w:ascii="Times" w:hAnsi="Times"/>
          <w:b/>
          <w:sz w:val="28"/>
          <w:szCs w:val="28"/>
          <w:lang w:val="en-US" w:eastAsia="en-US"/>
        </w:rPr>
      </w:pPr>
      <w:r w:rsidRPr="00B00803">
        <w:rPr>
          <w:rFonts w:ascii="Times" w:hAnsi="Times"/>
          <w:b/>
          <w:sz w:val="28"/>
          <w:szCs w:val="28"/>
          <w:lang w:val="en-US" w:eastAsia="en-US"/>
        </w:rPr>
        <w:t>1.1.2: For CKD patients with anemia not being treated with an ESA, measure Hb concentration when clinicall</w:t>
      </w:r>
      <w:r w:rsidR="00E02789" w:rsidRPr="00B00803">
        <w:rPr>
          <w:rFonts w:ascii="Times" w:hAnsi="Times"/>
          <w:b/>
          <w:sz w:val="28"/>
          <w:szCs w:val="28"/>
          <w:lang w:val="en-US" w:eastAsia="en-US"/>
        </w:rPr>
        <w:t xml:space="preserve">y indicated and (Not Graded): </w:t>
      </w:r>
    </w:p>
    <w:p w14:paraId="2E74D7FF" w14:textId="1EB7616E" w:rsidR="00E02789" w:rsidRPr="00B00803" w:rsidRDefault="00E02789" w:rsidP="007D0211">
      <w:pPr>
        <w:jc w:val="both"/>
        <w:rPr>
          <w:rFonts w:ascii="Times" w:hAnsi="Times"/>
          <w:b/>
          <w:sz w:val="28"/>
          <w:szCs w:val="28"/>
          <w:lang w:val="en-US" w:eastAsia="en-US"/>
        </w:rPr>
      </w:pPr>
      <w:r w:rsidRPr="00B00803">
        <w:rPr>
          <w:rFonts w:ascii="Times" w:hAnsi="Times"/>
          <w:b/>
          <w:sz w:val="28"/>
          <w:szCs w:val="28"/>
          <w:lang w:val="en-US" w:eastAsia="en-US"/>
        </w:rPr>
        <w:t>-</w:t>
      </w:r>
      <w:r w:rsidR="00627961" w:rsidRPr="00B00803">
        <w:rPr>
          <w:rFonts w:ascii="Times" w:hAnsi="Times"/>
          <w:b/>
          <w:sz w:val="28"/>
          <w:szCs w:val="28"/>
          <w:lang w:val="en-US" w:eastAsia="en-US"/>
        </w:rPr>
        <w:t>at least every 3 months in patien</w:t>
      </w:r>
      <w:r w:rsidRPr="00B00803">
        <w:rPr>
          <w:rFonts w:ascii="Times" w:hAnsi="Times"/>
          <w:b/>
          <w:sz w:val="28"/>
          <w:szCs w:val="28"/>
          <w:lang w:val="en-US" w:eastAsia="en-US"/>
        </w:rPr>
        <w:t xml:space="preserve">ts with CKD 3–5ND and CKD 5PD </w:t>
      </w:r>
    </w:p>
    <w:p w14:paraId="69332CC6" w14:textId="6B499E9D" w:rsidR="007B1C43" w:rsidRPr="00B00803" w:rsidRDefault="00E02789" w:rsidP="007D0211">
      <w:pPr>
        <w:jc w:val="both"/>
        <w:rPr>
          <w:rFonts w:ascii="Times" w:hAnsi="Times"/>
          <w:b/>
          <w:sz w:val="28"/>
          <w:szCs w:val="28"/>
          <w:lang w:val="en-US" w:eastAsia="en-US"/>
        </w:rPr>
      </w:pPr>
      <w:r w:rsidRPr="00B00803">
        <w:rPr>
          <w:rFonts w:ascii="Times" w:hAnsi="Times"/>
          <w:b/>
          <w:sz w:val="28"/>
          <w:szCs w:val="28"/>
          <w:lang w:val="en-US" w:eastAsia="en-US"/>
        </w:rPr>
        <w:t>-</w:t>
      </w:r>
      <w:r w:rsidR="00627961" w:rsidRPr="00B00803">
        <w:rPr>
          <w:rFonts w:ascii="Times" w:hAnsi="Times"/>
          <w:b/>
          <w:sz w:val="28"/>
          <w:szCs w:val="28"/>
          <w:lang w:val="en-US" w:eastAsia="en-US"/>
        </w:rPr>
        <w:t>at least monthly in patients with CKD 5HD [See Recommendations 3.12.1–3.12.3 for measurement of Hb concentration in patients being treated with ESA.]</w:t>
      </w:r>
    </w:p>
    <w:p w14:paraId="03858B3A" w14:textId="77777777" w:rsidR="0093539C" w:rsidRPr="00B00803" w:rsidRDefault="0093539C" w:rsidP="007D0211">
      <w:pPr>
        <w:jc w:val="both"/>
        <w:rPr>
          <w:rFonts w:ascii="Times" w:hAnsi="Times"/>
          <w:b/>
          <w:sz w:val="28"/>
          <w:szCs w:val="28"/>
          <w:lang w:val="en-US" w:eastAsia="en-US"/>
        </w:rPr>
      </w:pPr>
    </w:p>
    <w:p w14:paraId="79BBE84D" w14:textId="2438FC26" w:rsidR="0093539C" w:rsidRPr="00B00803" w:rsidRDefault="00055099" w:rsidP="007D0211">
      <w:pPr>
        <w:jc w:val="both"/>
        <w:rPr>
          <w:rFonts w:ascii="Times" w:hAnsi="Times"/>
          <w:b/>
          <w:sz w:val="28"/>
          <w:szCs w:val="28"/>
          <w:lang w:val="en-US"/>
        </w:rPr>
      </w:pPr>
      <w:r w:rsidRPr="00B00803">
        <w:rPr>
          <w:rFonts w:ascii="Times" w:hAnsi="Times"/>
          <w:b/>
          <w:sz w:val="28"/>
          <w:szCs w:val="28"/>
          <w:lang w:val="en-US"/>
        </w:rPr>
        <w:t xml:space="preserve">1.1.2: </w:t>
      </w:r>
      <w:r w:rsidR="0093539C" w:rsidRPr="00B00803">
        <w:rPr>
          <w:rFonts w:ascii="Times" w:hAnsi="Times"/>
          <w:b/>
          <w:sz w:val="28"/>
          <w:szCs w:val="28"/>
          <w:lang w:val="en-US"/>
        </w:rPr>
        <w:t>Määra Hgb kontsentratsiooni aneemiaga KNH-tel kui selleks on kliiniline näidustus ja:</w:t>
      </w:r>
    </w:p>
    <w:p w14:paraId="7EFA3221" w14:textId="398D1BF9" w:rsidR="0093539C" w:rsidRPr="00B00803" w:rsidRDefault="00F724C8" w:rsidP="007D0211">
      <w:pPr>
        <w:jc w:val="both"/>
        <w:rPr>
          <w:rFonts w:ascii="Times" w:hAnsi="Times"/>
          <w:b/>
          <w:sz w:val="28"/>
          <w:szCs w:val="28"/>
          <w:lang w:val="en-US"/>
        </w:rPr>
      </w:pPr>
      <w:r>
        <w:rPr>
          <w:rFonts w:ascii="Times" w:hAnsi="Times"/>
          <w:b/>
          <w:sz w:val="28"/>
          <w:szCs w:val="28"/>
          <w:lang w:val="en-US"/>
        </w:rPr>
        <w:t>-</w:t>
      </w:r>
      <w:r w:rsidR="0093539C" w:rsidRPr="00B00803">
        <w:rPr>
          <w:rFonts w:ascii="Times" w:hAnsi="Times"/>
          <w:b/>
          <w:sz w:val="28"/>
          <w:szCs w:val="28"/>
          <w:lang w:val="en-US"/>
        </w:rPr>
        <w:t>Vähemalt iga</w:t>
      </w:r>
      <w:r w:rsidR="00C70A18" w:rsidRPr="00B00803">
        <w:rPr>
          <w:rFonts w:ascii="Times" w:hAnsi="Times"/>
          <w:b/>
          <w:sz w:val="28"/>
          <w:szCs w:val="28"/>
          <w:lang w:val="en-US"/>
        </w:rPr>
        <w:t>l</w:t>
      </w:r>
      <w:r w:rsidR="0093539C" w:rsidRPr="00B00803">
        <w:rPr>
          <w:rFonts w:ascii="Times" w:hAnsi="Times"/>
          <w:b/>
          <w:sz w:val="28"/>
          <w:szCs w:val="28"/>
          <w:lang w:val="en-US"/>
        </w:rPr>
        <w:t xml:space="preserve"> 3 kuul patsientidel CKD 3-5ND ja CKD 5PD</w:t>
      </w:r>
    </w:p>
    <w:p w14:paraId="78EF3BAE" w14:textId="7576F3E6" w:rsidR="005D7A0A" w:rsidRPr="00B00803" w:rsidRDefault="00F724C8" w:rsidP="005D7A0A">
      <w:pPr>
        <w:jc w:val="both"/>
        <w:rPr>
          <w:rFonts w:ascii="Times" w:hAnsi="Times"/>
          <w:b/>
          <w:sz w:val="28"/>
          <w:szCs w:val="28"/>
          <w:lang w:val="en-US"/>
        </w:rPr>
      </w:pPr>
      <w:r>
        <w:rPr>
          <w:rFonts w:ascii="Times" w:hAnsi="Times"/>
          <w:b/>
          <w:sz w:val="28"/>
          <w:szCs w:val="28"/>
          <w:lang w:val="en-US"/>
        </w:rPr>
        <w:t>-</w:t>
      </w:r>
      <w:r w:rsidR="0093539C" w:rsidRPr="00B00803">
        <w:rPr>
          <w:rFonts w:ascii="Times" w:hAnsi="Times"/>
          <w:b/>
          <w:sz w:val="28"/>
          <w:szCs w:val="28"/>
          <w:lang w:val="en-US"/>
        </w:rPr>
        <w:t>Vähemalt 1 kord kuus CKD 5HD</w:t>
      </w:r>
    </w:p>
    <w:p w14:paraId="5C4B70D7" w14:textId="77777777" w:rsidR="005D7A0A" w:rsidRPr="00B00803" w:rsidRDefault="005D7A0A" w:rsidP="005D7A0A">
      <w:pPr>
        <w:jc w:val="both"/>
        <w:rPr>
          <w:rFonts w:ascii="Times" w:hAnsi="Times"/>
          <w:b/>
          <w:sz w:val="28"/>
          <w:szCs w:val="28"/>
          <w:lang w:val="en-US"/>
        </w:rPr>
      </w:pPr>
    </w:p>
    <w:p w14:paraId="0BBD8442" w14:textId="5534CE28" w:rsidR="005D7A0A" w:rsidRPr="00B00803" w:rsidRDefault="005D7A0A" w:rsidP="005D7A0A">
      <w:pPr>
        <w:jc w:val="both"/>
        <w:rPr>
          <w:rFonts w:ascii="Times" w:hAnsi="Times"/>
          <w:b/>
          <w:sz w:val="28"/>
          <w:szCs w:val="28"/>
          <w:lang w:val="en-US"/>
        </w:rPr>
      </w:pPr>
      <w:r w:rsidRPr="00B00803">
        <w:rPr>
          <w:rFonts w:ascii="Times" w:hAnsi="Times"/>
          <w:b/>
          <w:sz w:val="28"/>
          <w:szCs w:val="28"/>
          <w:lang w:val="en-US"/>
        </w:rPr>
        <w:t xml:space="preserve">NHANES III </w:t>
      </w:r>
      <w:r w:rsidRPr="00B00803">
        <w:rPr>
          <w:rFonts w:ascii="Times" w:hAnsi="Times"/>
          <w:b/>
          <w:sz w:val="28"/>
          <w:szCs w:val="28"/>
          <w:lang w:val="en-US" w:eastAsia="en-US"/>
        </w:rPr>
        <w:t>Astor BC, Muntner P, Levin A et al. Association of kidney function with anemia: the Third National Health and Nutrition Examination Survey (1988-1994). Arch Intern Med 2002; 162: 1401–1408</w:t>
      </w:r>
    </w:p>
    <w:p w14:paraId="5A3A2187" w14:textId="4D252BDD" w:rsidR="007B1C43" w:rsidRPr="00B00803" w:rsidRDefault="007B1C43" w:rsidP="007D0211">
      <w:pPr>
        <w:jc w:val="both"/>
        <w:rPr>
          <w:rFonts w:ascii="Times" w:hAnsi="Times"/>
          <w:b/>
          <w:sz w:val="28"/>
          <w:szCs w:val="28"/>
          <w:lang w:val="en-US"/>
        </w:rPr>
      </w:pPr>
    </w:p>
    <w:p w14:paraId="3FC41C78" w14:textId="04E759BE" w:rsidR="0093539C" w:rsidRPr="00B00803" w:rsidRDefault="0093539C" w:rsidP="007D0211">
      <w:pPr>
        <w:jc w:val="both"/>
        <w:rPr>
          <w:rFonts w:ascii="Times" w:hAnsi="Times"/>
          <w:sz w:val="28"/>
          <w:szCs w:val="28"/>
          <w:lang w:val="en-US" w:eastAsia="en-US"/>
        </w:rPr>
      </w:pPr>
      <w:r w:rsidRPr="00B00803">
        <w:rPr>
          <w:rFonts w:ascii="Times" w:hAnsi="Times"/>
          <w:sz w:val="28"/>
          <w:szCs w:val="28"/>
          <w:lang w:val="en-US"/>
        </w:rPr>
        <w:t xml:space="preserve">  </w:t>
      </w:r>
    </w:p>
    <w:p w14:paraId="572EE7FC" w14:textId="77777777" w:rsidR="00D57EE7" w:rsidRPr="00B00803" w:rsidRDefault="00D57EE7" w:rsidP="007D0211">
      <w:pPr>
        <w:widowControl w:val="0"/>
        <w:autoSpaceDE w:val="0"/>
        <w:autoSpaceDN w:val="0"/>
        <w:adjustRightInd w:val="0"/>
        <w:spacing w:after="240"/>
        <w:jc w:val="both"/>
        <w:rPr>
          <w:rFonts w:ascii="Times" w:hAnsi="Times" w:cs="Times"/>
          <w:sz w:val="28"/>
          <w:szCs w:val="28"/>
          <w:u w:val="single"/>
          <w:lang w:val="en-US"/>
        </w:rPr>
      </w:pPr>
      <w:r w:rsidRPr="00B00803">
        <w:rPr>
          <w:rFonts w:ascii="Times" w:hAnsi="Times" w:cs="Times"/>
          <w:sz w:val="28"/>
          <w:szCs w:val="28"/>
          <w:u w:val="single"/>
          <w:lang w:val="en-US"/>
        </w:rPr>
        <w:t>Diagnosis of anemia</w:t>
      </w:r>
    </w:p>
    <w:p w14:paraId="3D868FE1" w14:textId="5D1180C2" w:rsidR="00D57EE7" w:rsidRPr="00B00803" w:rsidRDefault="00D57EE7" w:rsidP="007D0211">
      <w:pPr>
        <w:widowControl w:val="0"/>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1.2.1: Diagnose</w:t>
      </w:r>
      <w:r w:rsidR="0093539C" w:rsidRPr="00B00803">
        <w:rPr>
          <w:rFonts w:ascii="Times" w:hAnsi="Times" w:cs="Times"/>
          <w:b/>
          <w:sz w:val="28"/>
          <w:szCs w:val="28"/>
          <w:lang w:val="en-US"/>
        </w:rPr>
        <w:t xml:space="preserve"> anemia in adults and children &gt;</w:t>
      </w:r>
      <w:r w:rsidRPr="00B00803">
        <w:rPr>
          <w:rFonts w:ascii="Times" w:hAnsi="Times" w:cs="Times"/>
          <w:b/>
          <w:sz w:val="28"/>
          <w:szCs w:val="28"/>
          <w:lang w:val="en-US"/>
        </w:rPr>
        <w:t>15 years with CK</w:t>
      </w:r>
      <w:r w:rsidR="0093539C" w:rsidRPr="00B00803">
        <w:rPr>
          <w:rFonts w:ascii="Times" w:hAnsi="Times" w:cs="Times"/>
          <w:b/>
          <w:sz w:val="28"/>
          <w:szCs w:val="28"/>
          <w:lang w:val="en-US"/>
        </w:rPr>
        <w:t>D when the Hb concentration is &lt;</w:t>
      </w:r>
      <w:r w:rsidRPr="00B00803">
        <w:rPr>
          <w:rFonts w:ascii="Times" w:hAnsi="Times" w:cs="Times"/>
          <w:b/>
          <w:sz w:val="28"/>
          <w:szCs w:val="28"/>
          <w:lang w:val="en-US"/>
        </w:rPr>
        <w:t xml:space="preserve">13.0 g/dl </w:t>
      </w:r>
      <w:r w:rsidR="0093539C" w:rsidRPr="00B00803">
        <w:rPr>
          <w:rFonts w:ascii="Times" w:hAnsi="Times" w:cs="Times"/>
          <w:b/>
          <w:sz w:val="28"/>
          <w:szCs w:val="28"/>
          <w:lang w:val="en-US"/>
        </w:rPr>
        <w:t>(&lt;130 g/l) in males and &lt;12.0 g/dl (&lt;</w:t>
      </w:r>
      <w:r w:rsidRPr="00B00803">
        <w:rPr>
          <w:rFonts w:ascii="Times" w:hAnsi="Times" w:cs="Times"/>
          <w:b/>
          <w:sz w:val="28"/>
          <w:szCs w:val="28"/>
          <w:lang w:val="en-US"/>
        </w:rPr>
        <w:t>120 g/l) in females. (Not Graded)</w:t>
      </w:r>
    </w:p>
    <w:p w14:paraId="1EA6E5F6" w14:textId="03D0C585" w:rsidR="0093539C" w:rsidRPr="00B00803" w:rsidRDefault="0093539C" w:rsidP="007D0211">
      <w:pPr>
        <w:widowControl w:val="0"/>
        <w:numPr>
          <w:ilvl w:val="0"/>
          <w:numId w:val="17"/>
        </w:numPr>
        <w:tabs>
          <w:tab w:val="left" w:pos="220"/>
          <w:tab w:val="left" w:pos="720"/>
        </w:tabs>
        <w:autoSpaceDE w:val="0"/>
        <w:autoSpaceDN w:val="0"/>
        <w:adjustRightInd w:val="0"/>
        <w:spacing w:after="240"/>
        <w:ind w:hanging="720"/>
        <w:jc w:val="both"/>
        <w:rPr>
          <w:rFonts w:ascii="Times" w:hAnsi="Times" w:cs="Times"/>
          <w:b/>
          <w:sz w:val="28"/>
          <w:szCs w:val="28"/>
          <w:lang w:val="en-US"/>
        </w:rPr>
      </w:pPr>
      <w:r w:rsidRPr="00B00803">
        <w:rPr>
          <w:rFonts w:ascii="Times" w:hAnsi="Times" w:cs="Times"/>
          <w:b/>
          <w:color w:val="1A1718"/>
          <w:sz w:val="28"/>
          <w:szCs w:val="28"/>
          <w:lang w:val="en-US"/>
        </w:rPr>
        <w:t>1.2.1: Diagnoosi aneemiat KNHga täiskasvanutel ja lastel vanuses &gt; 15 aastat kui Hgb kontsentratsioon on &lt;130g/l meestel ja &lt;120 g/l naistel.</w:t>
      </w:r>
    </w:p>
    <w:p w14:paraId="30411E61" w14:textId="3376FE5B" w:rsidR="00143B55" w:rsidRPr="00B00803" w:rsidRDefault="00055099" w:rsidP="007D0211">
      <w:pPr>
        <w:jc w:val="both"/>
        <w:rPr>
          <w:rFonts w:ascii="Times" w:hAnsi="Times"/>
          <w:b/>
          <w:sz w:val="28"/>
          <w:szCs w:val="28"/>
          <w:lang w:val="en-US" w:eastAsia="en-US"/>
        </w:rPr>
      </w:pPr>
      <w:r w:rsidRPr="00B00803">
        <w:rPr>
          <w:rFonts w:ascii="Times" w:hAnsi="Times"/>
          <w:b/>
          <w:sz w:val="28"/>
          <w:szCs w:val="28"/>
          <w:lang w:val="en-US" w:eastAsia="en-US"/>
        </w:rPr>
        <w:t>WHO andmed</w:t>
      </w:r>
    </w:p>
    <w:p w14:paraId="392DF75A" w14:textId="77777777" w:rsidR="00055099" w:rsidRPr="00B00803" w:rsidRDefault="00055099" w:rsidP="007D0211">
      <w:pPr>
        <w:jc w:val="both"/>
        <w:rPr>
          <w:rFonts w:ascii="Times" w:hAnsi="Times"/>
          <w:sz w:val="28"/>
          <w:szCs w:val="28"/>
          <w:lang w:val="en-US" w:eastAsia="en-US"/>
        </w:rPr>
      </w:pPr>
    </w:p>
    <w:p w14:paraId="4D3744A8" w14:textId="77777777" w:rsidR="00143B55" w:rsidRPr="00B00803" w:rsidRDefault="00143B55" w:rsidP="007D0211">
      <w:pPr>
        <w:jc w:val="both"/>
        <w:rPr>
          <w:rFonts w:ascii="Times" w:hAnsi="Times"/>
          <w:sz w:val="28"/>
          <w:szCs w:val="28"/>
          <w:u w:val="single"/>
          <w:lang w:val="en-US" w:eastAsia="en-US"/>
        </w:rPr>
      </w:pPr>
      <w:r w:rsidRPr="00B00803">
        <w:rPr>
          <w:rFonts w:ascii="Times" w:hAnsi="Times"/>
          <w:sz w:val="28"/>
          <w:szCs w:val="28"/>
          <w:u w:val="single"/>
          <w:lang w:val="en-US" w:eastAsia="en-US"/>
        </w:rPr>
        <w:t xml:space="preserve">Investigation of anemia </w:t>
      </w:r>
    </w:p>
    <w:p w14:paraId="65FB336F" w14:textId="77777777" w:rsidR="0093539C" w:rsidRPr="00B00803" w:rsidRDefault="0093539C" w:rsidP="007D0211">
      <w:pPr>
        <w:jc w:val="both"/>
        <w:rPr>
          <w:rFonts w:ascii="Times" w:hAnsi="Times"/>
          <w:b/>
          <w:i/>
          <w:sz w:val="28"/>
          <w:szCs w:val="28"/>
          <w:lang w:val="en-US" w:eastAsia="en-US"/>
        </w:rPr>
      </w:pPr>
    </w:p>
    <w:p w14:paraId="723ECD06" w14:textId="77777777" w:rsidR="00143B55" w:rsidRPr="00B00803" w:rsidRDefault="00143B55" w:rsidP="007D0211">
      <w:pPr>
        <w:jc w:val="both"/>
        <w:rPr>
          <w:rFonts w:ascii="Times" w:hAnsi="Times"/>
          <w:b/>
          <w:sz w:val="28"/>
          <w:szCs w:val="28"/>
          <w:lang w:val="en-US" w:eastAsia="en-US"/>
        </w:rPr>
      </w:pPr>
      <w:r w:rsidRPr="00B00803">
        <w:rPr>
          <w:rFonts w:ascii="Times" w:hAnsi="Times"/>
          <w:b/>
          <w:sz w:val="28"/>
          <w:szCs w:val="28"/>
          <w:lang w:val="en-US" w:eastAsia="en-US"/>
        </w:rPr>
        <w:t xml:space="preserve">1.3: In patients with CKD and anemia (regardless of age and CKD stage), include the following tests in initial evaluation of the anemia (Not Graded): </w:t>
      </w:r>
    </w:p>
    <w:p w14:paraId="306C5D75" w14:textId="77777777" w:rsidR="00143B55" w:rsidRPr="00B00803" w:rsidRDefault="00143B55" w:rsidP="007D0211">
      <w:pPr>
        <w:jc w:val="both"/>
        <w:rPr>
          <w:rFonts w:ascii="Times" w:hAnsi="Times"/>
          <w:b/>
          <w:sz w:val="28"/>
          <w:szCs w:val="28"/>
          <w:lang w:val="en-US" w:eastAsia="en-US"/>
        </w:rPr>
      </w:pPr>
      <w:r w:rsidRPr="00B00803">
        <w:rPr>
          <w:rFonts w:ascii="Times" w:hAnsi="Times"/>
          <w:b/>
          <w:sz w:val="28"/>
          <w:szCs w:val="28"/>
          <w:lang w:val="en-US" w:eastAsia="en-US"/>
        </w:rPr>
        <w:t xml:space="preserve">-Complete blood count (CBC), which should include Hb concentration, red cell indices, white blood cell count and differential, and platelet count </w:t>
      </w:r>
    </w:p>
    <w:p w14:paraId="5EA4D968" w14:textId="77777777" w:rsidR="00143B55" w:rsidRPr="00B00803" w:rsidRDefault="00143B55" w:rsidP="007D0211">
      <w:pPr>
        <w:jc w:val="both"/>
        <w:rPr>
          <w:rFonts w:ascii="Times" w:hAnsi="Times"/>
          <w:b/>
          <w:sz w:val="28"/>
          <w:szCs w:val="28"/>
          <w:lang w:val="en-US" w:eastAsia="en-US"/>
        </w:rPr>
      </w:pPr>
      <w:r w:rsidRPr="00B00803">
        <w:rPr>
          <w:rFonts w:ascii="Times" w:hAnsi="Times"/>
          <w:b/>
          <w:sz w:val="28"/>
          <w:szCs w:val="28"/>
          <w:lang w:val="en-US" w:eastAsia="en-US"/>
        </w:rPr>
        <w:t xml:space="preserve">-Absolute reticulocyte count </w:t>
      </w:r>
    </w:p>
    <w:p w14:paraId="6C1592AD" w14:textId="1A2E5B90" w:rsidR="00143B55" w:rsidRPr="00B00803" w:rsidRDefault="00143B55" w:rsidP="007D0211">
      <w:pPr>
        <w:jc w:val="both"/>
        <w:rPr>
          <w:rFonts w:ascii="Times" w:hAnsi="Times"/>
          <w:b/>
          <w:sz w:val="28"/>
          <w:szCs w:val="28"/>
          <w:lang w:val="en-US" w:eastAsia="en-US"/>
        </w:rPr>
      </w:pPr>
      <w:r w:rsidRPr="00B00803">
        <w:rPr>
          <w:rFonts w:ascii="Times" w:hAnsi="Times"/>
          <w:b/>
          <w:sz w:val="28"/>
          <w:szCs w:val="28"/>
          <w:lang w:val="en-US" w:eastAsia="en-US"/>
        </w:rPr>
        <w:t xml:space="preserve">-Serum ferritin level </w:t>
      </w:r>
    </w:p>
    <w:p w14:paraId="3AC0096A" w14:textId="77777777" w:rsidR="00143B55" w:rsidRPr="00B00803" w:rsidRDefault="00143B55" w:rsidP="007D0211">
      <w:pPr>
        <w:jc w:val="both"/>
        <w:rPr>
          <w:rFonts w:ascii="Times" w:hAnsi="Times"/>
          <w:b/>
          <w:sz w:val="28"/>
          <w:szCs w:val="28"/>
          <w:lang w:val="en-US" w:eastAsia="en-US"/>
        </w:rPr>
      </w:pPr>
      <w:r w:rsidRPr="00B00803">
        <w:rPr>
          <w:rFonts w:ascii="Times" w:hAnsi="Times"/>
          <w:b/>
          <w:sz w:val="28"/>
          <w:szCs w:val="28"/>
          <w:lang w:val="en-US" w:eastAsia="en-US"/>
        </w:rPr>
        <w:t xml:space="preserve">-Serum transferrin saturation (TSAT) </w:t>
      </w:r>
    </w:p>
    <w:p w14:paraId="43ABC8BF" w14:textId="58B5EFCB" w:rsidR="00143B55" w:rsidRPr="00B00803" w:rsidRDefault="00143B55" w:rsidP="007D0211">
      <w:pPr>
        <w:jc w:val="both"/>
        <w:rPr>
          <w:rFonts w:ascii="Times" w:hAnsi="Times"/>
          <w:b/>
          <w:sz w:val="28"/>
          <w:szCs w:val="28"/>
          <w:lang w:val="en-US" w:eastAsia="en-US"/>
        </w:rPr>
      </w:pPr>
      <w:r w:rsidRPr="00B00803">
        <w:rPr>
          <w:rFonts w:ascii="Times" w:hAnsi="Times"/>
          <w:b/>
          <w:sz w:val="28"/>
          <w:szCs w:val="28"/>
          <w:lang w:val="en-US" w:eastAsia="en-US"/>
        </w:rPr>
        <w:t>-Serum vitamin B12 and folate levels</w:t>
      </w:r>
    </w:p>
    <w:p w14:paraId="6706D1D3" w14:textId="77777777" w:rsidR="00F06CAD" w:rsidRPr="00B00803" w:rsidRDefault="00F06CAD" w:rsidP="007D0211">
      <w:pPr>
        <w:jc w:val="both"/>
        <w:rPr>
          <w:rFonts w:ascii="Times" w:hAnsi="Times"/>
          <w:b/>
          <w:sz w:val="28"/>
          <w:szCs w:val="28"/>
          <w:lang w:val="en-US" w:eastAsia="en-US"/>
        </w:rPr>
      </w:pPr>
    </w:p>
    <w:p w14:paraId="0BAC8C75" w14:textId="5FBA992B" w:rsidR="00F06CAD" w:rsidRPr="00B00803" w:rsidRDefault="00F06CAD" w:rsidP="007D0211">
      <w:pPr>
        <w:jc w:val="both"/>
        <w:rPr>
          <w:rFonts w:ascii="Times" w:hAnsi="Times"/>
          <w:b/>
          <w:sz w:val="28"/>
          <w:szCs w:val="28"/>
          <w:lang w:val="en-US" w:eastAsia="en-US"/>
        </w:rPr>
      </w:pPr>
      <w:r w:rsidRPr="00B00803">
        <w:rPr>
          <w:rFonts w:ascii="Times" w:hAnsi="Times"/>
          <w:b/>
          <w:sz w:val="28"/>
          <w:szCs w:val="28"/>
          <w:lang w:val="en-US" w:eastAsia="en-US"/>
        </w:rPr>
        <w:t>1.3: KNH ja aneemiaga patsientidel (sõltumata KNH staadiumi</w:t>
      </w:r>
      <w:r w:rsidR="00B11957" w:rsidRPr="00B00803">
        <w:rPr>
          <w:rFonts w:ascii="Times" w:hAnsi="Times"/>
          <w:b/>
          <w:sz w:val="28"/>
          <w:szCs w:val="28"/>
          <w:lang w:val="en-US" w:eastAsia="en-US"/>
        </w:rPr>
        <w:t>st) aneemia diagnoosimine sisaldab</w:t>
      </w:r>
      <w:r w:rsidR="00D85EBB" w:rsidRPr="00B00803">
        <w:rPr>
          <w:rFonts w:ascii="Times" w:hAnsi="Times"/>
          <w:b/>
          <w:sz w:val="28"/>
          <w:szCs w:val="28"/>
          <w:lang w:val="en-US" w:eastAsia="en-US"/>
        </w:rPr>
        <w:t xml:space="preserve"> (Not Graded)</w:t>
      </w:r>
      <w:r w:rsidRPr="00B00803">
        <w:rPr>
          <w:rFonts w:ascii="Times" w:hAnsi="Times"/>
          <w:b/>
          <w:sz w:val="28"/>
          <w:szCs w:val="28"/>
          <w:lang w:val="en-US" w:eastAsia="en-US"/>
        </w:rPr>
        <w:t>:</w:t>
      </w:r>
    </w:p>
    <w:p w14:paraId="46E2053E" w14:textId="13F4DA6E" w:rsidR="00F06CAD" w:rsidRPr="00B00803" w:rsidRDefault="00CD3962" w:rsidP="007D0211">
      <w:pPr>
        <w:jc w:val="both"/>
        <w:rPr>
          <w:rFonts w:ascii="Times" w:hAnsi="Times"/>
          <w:b/>
          <w:sz w:val="28"/>
          <w:szCs w:val="28"/>
          <w:lang w:val="en-US" w:eastAsia="en-US"/>
        </w:rPr>
      </w:pPr>
      <w:r w:rsidRPr="00B00803">
        <w:rPr>
          <w:rFonts w:ascii="Times" w:hAnsi="Times"/>
          <w:b/>
          <w:sz w:val="28"/>
          <w:szCs w:val="28"/>
          <w:lang w:val="en-US" w:eastAsia="en-US"/>
        </w:rPr>
        <w:t>-</w:t>
      </w:r>
      <w:r w:rsidR="00D85EBB" w:rsidRPr="00B00803">
        <w:rPr>
          <w:rFonts w:ascii="Times" w:hAnsi="Times"/>
          <w:b/>
          <w:sz w:val="28"/>
          <w:szCs w:val="28"/>
          <w:lang w:val="en-US" w:eastAsia="en-US"/>
        </w:rPr>
        <w:t xml:space="preserve">Täisvere </w:t>
      </w:r>
      <w:r w:rsidR="00F06CAD" w:rsidRPr="00B00803">
        <w:rPr>
          <w:rFonts w:ascii="Times" w:hAnsi="Times"/>
          <w:b/>
          <w:sz w:val="28"/>
          <w:szCs w:val="28"/>
          <w:lang w:val="en-US" w:eastAsia="en-US"/>
        </w:rPr>
        <w:t>analüüsi,</w:t>
      </w:r>
      <w:r w:rsidR="00B11957" w:rsidRPr="00B00803">
        <w:rPr>
          <w:rFonts w:ascii="Times" w:hAnsi="Times"/>
          <w:b/>
          <w:sz w:val="28"/>
          <w:szCs w:val="28"/>
          <w:lang w:val="en-US" w:eastAsia="en-US"/>
        </w:rPr>
        <w:t xml:space="preserve"> mis sisaldab Hgb, erü., leuk. +</w:t>
      </w:r>
      <w:r w:rsidR="00F06CAD" w:rsidRPr="00B00803">
        <w:rPr>
          <w:rFonts w:ascii="Times" w:hAnsi="Times"/>
          <w:b/>
          <w:sz w:val="28"/>
          <w:szCs w:val="28"/>
          <w:lang w:val="en-US" w:eastAsia="en-US"/>
        </w:rPr>
        <w:t xml:space="preserve"> valem, tromb.</w:t>
      </w:r>
    </w:p>
    <w:p w14:paraId="05A24FEC" w14:textId="631E6619" w:rsidR="00F06CAD" w:rsidRDefault="00CD3962" w:rsidP="007D0211">
      <w:pPr>
        <w:jc w:val="both"/>
        <w:rPr>
          <w:rFonts w:ascii="Times" w:hAnsi="Times"/>
          <w:b/>
          <w:sz w:val="28"/>
          <w:szCs w:val="28"/>
          <w:lang w:val="en-US" w:eastAsia="en-US"/>
        </w:rPr>
      </w:pPr>
      <w:r w:rsidRPr="00B00803">
        <w:rPr>
          <w:rFonts w:ascii="Times" w:hAnsi="Times"/>
          <w:b/>
          <w:sz w:val="28"/>
          <w:szCs w:val="28"/>
          <w:lang w:val="en-US" w:eastAsia="en-US"/>
        </w:rPr>
        <w:t>-</w:t>
      </w:r>
      <w:r w:rsidR="00F06CAD" w:rsidRPr="00B00803">
        <w:rPr>
          <w:rFonts w:ascii="Times" w:hAnsi="Times"/>
          <w:b/>
          <w:sz w:val="28"/>
          <w:szCs w:val="28"/>
          <w:lang w:val="en-US" w:eastAsia="en-US"/>
        </w:rPr>
        <w:t>Retikulotsüütide absoluutarv</w:t>
      </w:r>
      <w:r w:rsidR="00D85EBB" w:rsidRPr="00B00803">
        <w:rPr>
          <w:rFonts w:ascii="Times" w:hAnsi="Times"/>
          <w:b/>
          <w:sz w:val="28"/>
          <w:szCs w:val="28"/>
          <w:lang w:val="en-US" w:eastAsia="en-US"/>
        </w:rPr>
        <w:t>u</w:t>
      </w:r>
    </w:p>
    <w:p w14:paraId="203FA9D8" w14:textId="56F8161E" w:rsidR="00D5568B" w:rsidRPr="00B00803" w:rsidRDefault="00D5568B" w:rsidP="007D0211">
      <w:pPr>
        <w:jc w:val="both"/>
        <w:rPr>
          <w:rFonts w:ascii="Times" w:hAnsi="Times"/>
          <w:b/>
          <w:sz w:val="28"/>
          <w:szCs w:val="28"/>
          <w:lang w:val="en-US" w:eastAsia="en-US"/>
        </w:rPr>
      </w:pPr>
      <w:r>
        <w:rPr>
          <w:rFonts w:ascii="Times" w:hAnsi="Times"/>
          <w:b/>
          <w:sz w:val="28"/>
          <w:szCs w:val="28"/>
          <w:lang w:val="en-US" w:eastAsia="en-US"/>
        </w:rPr>
        <w:t>-Seerumi ferritiini taset</w:t>
      </w:r>
    </w:p>
    <w:p w14:paraId="5063D6D2" w14:textId="56B9340B" w:rsidR="00F06CAD" w:rsidRPr="00B00803" w:rsidRDefault="00D5568B" w:rsidP="007D0211">
      <w:pPr>
        <w:jc w:val="both"/>
        <w:rPr>
          <w:rFonts w:ascii="Times" w:hAnsi="Times"/>
          <w:b/>
          <w:sz w:val="28"/>
          <w:szCs w:val="28"/>
          <w:lang w:val="en-US" w:eastAsia="en-US"/>
        </w:rPr>
      </w:pPr>
      <w:r>
        <w:rPr>
          <w:rFonts w:ascii="Times" w:hAnsi="Times"/>
          <w:b/>
          <w:sz w:val="28"/>
          <w:szCs w:val="28"/>
          <w:lang w:val="en-US" w:eastAsia="en-US"/>
        </w:rPr>
        <w:t>-Seerumi transferriini</w:t>
      </w:r>
      <w:r w:rsidR="00CD3962" w:rsidRPr="00B00803">
        <w:rPr>
          <w:rFonts w:ascii="Times" w:hAnsi="Times"/>
          <w:b/>
          <w:sz w:val="28"/>
          <w:szCs w:val="28"/>
          <w:lang w:val="en-US" w:eastAsia="en-US"/>
        </w:rPr>
        <w:t xml:space="preserve"> saturatsiooni (</w:t>
      </w:r>
      <w:r w:rsidR="00F06CAD" w:rsidRPr="00B00803">
        <w:rPr>
          <w:rFonts w:ascii="Times" w:hAnsi="Times"/>
          <w:b/>
          <w:sz w:val="28"/>
          <w:szCs w:val="28"/>
          <w:lang w:val="en-US" w:eastAsia="en-US"/>
        </w:rPr>
        <w:t>TSAT</w:t>
      </w:r>
      <w:r w:rsidR="00CD3962" w:rsidRPr="00B00803">
        <w:rPr>
          <w:rFonts w:ascii="Times" w:hAnsi="Times"/>
          <w:b/>
          <w:sz w:val="28"/>
          <w:szCs w:val="28"/>
          <w:lang w:val="en-US" w:eastAsia="en-US"/>
        </w:rPr>
        <w:t>)</w:t>
      </w:r>
    </w:p>
    <w:p w14:paraId="0F44EACC" w14:textId="6E2D3260" w:rsidR="00F06CAD" w:rsidRPr="00B00803" w:rsidRDefault="00CD3962" w:rsidP="007D0211">
      <w:pPr>
        <w:jc w:val="both"/>
        <w:rPr>
          <w:rFonts w:ascii="Times" w:hAnsi="Times"/>
          <w:b/>
          <w:sz w:val="28"/>
          <w:szCs w:val="28"/>
          <w:lang w:val="en-US" w:eastAsia="en-US"/>
        </w:rPr>
      </w:pPr>
      <w:r w:rsidRPr="00B00803">
        <w:rPr>
          <w:rFonts w:ascii="Times" w:hAnsi="Times"/>
          <w:b/>
          <w:sz w:val="28"/>
          <w:szCs w:val="28"/>
          <w:lang w:val="en-US" w:eastAsia="en-US"/>
        </w:rPr>
        <w:t>-</w:t>
      </w:r>
      <w:r w:rsidR="00F06CAD" w:rsidRPr="00B00803">
        <w:rPr>
          <w:rFonts w:ascii="Times" w:hAnsi="Times"/>
          <w:b/>
          <w:sz w:val="28"/>
          <w:szCs w:val="28"/>
          <w:lang w:val="en-US" w:eastAsia="en-US"/>
        </w:rPr>
        <w:t>Vit. B12 ja foolhap</w:t>
      </w:r>
      <w:r w:rsidR="00D85EBB" w:rsidRPr="00B00803">
        <w:rPr>
          <w:rFonts w:ascii="Times" w:hAnsi="Times"/>
          <w:b/>
          <w:sz w:val="28"/>
          <w:szCs w:val="28"/>
          <w:lang w:val="en-US" w:eastAsia="en-US"/>
        </w:rPr>
        <w:t>p</w:t>
      </w:r>
      <w:r w:rsidR="00F06CAD" w:rsidRPr="00B00803">
        <w:rPr>
          <w:rFonts w:ascii="Times" w:hAnsi="Times"/>
          <w:b/>
          <w:sz w:val="28"/>
          <w:szCs w:val="28"/>
          <w:lang w:val="en-US" w:eastAsia="en-US"/>
        </w:rPr>
        <w:t>e</w:t>
      </w:r>
      <w:r w:rsidR="00D85EBB" w:rsidRPr="00B00803">
        <w:rPr>
          <w:rFonts w:ascii="Times" w:hAnsi="Times"/>
          <w:b/>
          <w:sz w:val="28"/>
          <w:szCs w:val="28"/>
          <w:lang w:val="en-US" w:eastAsia="en-US"/>
        </w:rPr>
        <w:t xml:space="preserve"> taset</w:t>
      </w:r>
    </w:p>
    <w:p w14:paraId="2DDC0C5A" w14:textId="77777777" w:rsidR="00107F62" w:rsidRPr="00B00803" w:rsidRDefault="00107F62" w:rsidP="007D0211">
      <w:pPr>
        <w:jc w:val="both"/>
        <w:rPr>
          <w:rFonts w:ascii="Times" w:hAnsi="Times"/>
          <w:b/>
          <w:sz w:val="28"/>
          <w:szCs w:val="28"/>
          <w:lang w:val="en-US" w:eastAsia="en-US"/>
        </w:rPr>
      </w:pPr>
    </w:p>
    <w:p w14:paraId="786E24D3" w14:textId="7CF6BB85" w:rsidR="00CA132A" w:rsidRPr="0062094F" w:rsidRDefault="0062094F" w:rsidP="007D0211">
      <w:pPr>
        <w:jc w:val="both"/>
        <w:rPr>
          <w:rFonts w:ascii="Times" w:hAnsi="Times"/>
          <w:sz w:val="28"/>
          <w:szCs w:val="28"/>
          <w:lang w:val="en-US" w:eastAsia="en-US"/>
        </w:rPr>
      </w:pPr>
      <w:r w:rsidRPr="0062094F">
        <w:rPr>
          <w:rFonts w:ascii="Times" w:hAnsi="Times"/>
          <w:sz w:val="28"/>
          <w:szCs w:val="28"/>
          <w:lang w:val="en-US" w:eastAsia="en-US"/>
        </w:rPr>
        <w:t>Uuringute andmed aastast 1974-2001</w:t>
      </w:r>
    </w:p>
    <w:p w14:paraId="4ED71023" w14:textId="77777777" w:rsidR="0062094F" w:rsidRPr="00B00803" w:rsidRDefault="0062094F" w:rsidP="007D0211">
      <w:pPr>
        <w:jc w:val="both"/>
        <w:rPr>
          <w:rFonts w:ascii="Times" w:hAnsi="Times"/>
          <w:b/>
          <w:sz w:val="28"/>
          <w:szCs w:val="28"/>
          <w:lang w:val="en-US" w:eastAsia="en-US"/>
        </w:rPr>
      </w:pPr>
    </w:p>
    <w:p w14:paraId="1BC80500" w14:textId="17EF1C74" w:rsidR="00CA132A" w:rsidRPr="00B00803" w:rsidRDefault="00CA132A" w:rsidP="007D0211">
      <w:pPr>
        <w:widowControl w:val="0"/>
        <w:numPr>
          <w:ilvl w:val="0"/>
          <w:numId w:val="17"/>
        </w:numPr>
        <w:tabs>
          <w:tab w:val="left" w:pos="220"/>
          <w:tab w:val="left" w:pos="720"/>
        </w:tabs>
        <w:autoSpaceDE w:val="0"/>
        <w:autoSpaceDN w:val="0"/>
        <w:adjustRightInd w:val="0"/>
        <w:spacing w:after="240"/>
        <w:ind w:hanging="720"/>
        <w:jc w:val="both"/>
        <w:rPr>
          <w:rFonts w:ascii="Times" w:hAnsi="Times" w:cs="Times"/>
          <w:b/>
          <w:sz w:val="28"/>
          <w:szCs w:val="28"/>
          <w:lang w:val="en-US"/>
        </w:rPr>
      </w:pPr>
      <w:r w:rsidRPr="00B00803">
        <w:rPr>
          <w:rFonts w:ascii="Times" w:hAnsi="Times" w:cs="Times"/>
          <w:b/>
          <w:sz w:val="28"/>
          <w:szCs w:val="28"/>
          <w:lang w:val="en-US"/>
        </w:rPr>
        <w:t>2.1.1:  When prescribing iron therapy, balance the potential benefits of avoiding or minimizing blood transfu</w:t>
      </w:r>
      <w:r w:rsidR="006F550E">
        <w:rPr>
          <w:rFonts w:ascii="Times" w:hAnsi="Times" w:cs="Times"/>
          <w:b/>
          <w:sz w:val="28"/>
          <w:szCs w:val="28"/>
          <w:lang w:val="en-US"/>
        </w:rPr>
        <w:t>sions, ESA therapy, and anemia-</w:t>
      </w:r>
      <w:r w:rsidRPr="00B00803">
        <w:rPr>
          <w:rFonts w:ascii="Times" w:hAnsi="Times" w:cs="Times"/>
          <w:b/>
          <w:sz w:val="28"/>
          <w:szCs w:val="28"/>
          <w:lang w:val="en-US"/>
        </w:rPr>
        <w:t xml:space="preserve">related symptoms against the risks of harm in individual patients (e.g., anaphylactoid and other acute reactions, unknown long-term risks). (Not Graded) </w:t>
      </w:r>
    </w:p>
    <w:p w14:paraId="55E21C6B" w14:textId="601FB3BD" w:rsidR="00BF5397" w:rsidRPr="00B00803" w:rsidRDefault="00B653AE" w:rsidP="007D0211">
      <w:pPr>
        <w:widowControl w:val="0"/>
        <w:tabs>
          <w:tab w:val="left" w:pos="220"/>
          <w:tab w:val="left" w:pos="720"/>
        </w:tabs>
        <w:autoSpaceDE w:val="0"/>
        <w:autoSpaceDN w:val="0"/>
        <w:adjustRightInd w:val="0"/>
        <w:spacing w:after="240"/>
        <w:ind w:left="720"/>
        <w:jc w:val="both"/>
        <w:rPr>
          <w:rFonts w:ascii="Times" w:hAnsi="Times" w:cs="Times"/>
          <w:b/>
          <w:sz w:val="28"/>
          <w:szCs w:val="28"/>
          <w:lang w:val="en-US"/>
        </w:rPr>
      </w:pPr>
      <w:r w:rsidRPr="00B00803">
        <w:rPr>
          <w:rFonts w:ascii="Times" w:hAnsi="Times" w:cs="Times"/>
          <w:b/>
          <w:sz w:val="28"/>
          <w:szCs w:val="28"/>
          <w:lang w:val="en-US"/>
        </w:rPr>
        <w:t xml:space="preserve">2.1.1: Rauaravi määramisel peab </w:t>
      </w:r>
      <w:r w:rsidR="00BF5397" w:rsidRPr="00B00803">
        <w:rPr>
          <w:rFonts w:ascii="Times" w:hAnsi="Times" w:cs="Times"/>
          <w:b/>
          <w:sz w:val="28"/>
          <w:szCs w:val="28"/>
          <w:lang w:val="en-US"/>
        </w:rPr>
        <w:t xml:space="preserve">hoidma </w:t>
      </w:r>
      <w:r w:rsidRPr="00B00803">
        <w:rPr>
          <w:rFonts w:ascii="Times" w:hAnsi="Times" w:cs="Times"/>
          <w:b/>
          <w:sz w:val="28"/>
          <w:szCs w:val="28"/>
          <w:lang w:val="en-US"/>
        </w:rPr>
        <w:t>potentsiaalset kasu (vereülekannete arvu vähendamine, ESA ravi, aneemiast põhjustatud sümptoomid) ja kahju riski (anafülaktiline reaktsioon, mud ägedad reaktsioonid, teadmata likajali</w:t>
      </w:r>
      <w:r w:rsidR="00BF5397" w:rsidRPr="00B00803">
        <w:rPr>
          <w:rFonts w:ascii="Times" w:hAnsi="Times" w:cs="Times"/>
          <w:b/>
          <w:sz w:val="28"/>
          <w:szCs w:val="28"/>
          <w:lang w:val="en-US"/>
        </w:rPr>
        <w:t>sed risked)</w:t>
      </w:r>
      <w:r w:rsidR="00D85EBB" w:rsidRPr="00B00803">
        <w:rPr>
          <w:rFonts w:ascii="Times" w:hAnsi="Times" w:cs="Times"/>
          <w:b/>
          <w:sz w:val="28"/>
          <w:szCs w:val="28"/>
          <w:lang w:val="en-US"/>
        </w:rPr>
        <w:t xml:space="preserve"> tasakaalus (Not Graded)</w:t>
      </w:r>
    </w:p>
    <w:p w14:paraId="0A83718B" w14:textId="7B068B81" w:rsidR="00CA132A" w:rsidRPr="00B00803" w:rsidRDefault="00CA132A" w:rsidP="007D0211">
      <w:pPr>
        <w:widowControl w:val="0"/>
        <w:numPr>
          <w:ilvl w:val="0"/>
          <w:numId w:val="17"/>
        </w:numPr>
        <w:tabs>
          <w:tab w:val="left" w:pos="220"/>
          <w:tab w:val="left" w:pos="720"/>
        </w:tabs>
        <w:autoSpaceDE w:val="0"/>
        <w:autoSpaceDN w:val="0"/>
        <w:adjustRightInd w:val="0"/>
        <w:spacing w:after="240"/>
        <w:ind w:hanging="720"/>
        <w:jc w:val="both"/>
        <w:rPr>
          <w:rFonts w:ascii="Times" w:hAnsi="Times" w:cs="Times"/>
          <w:b/>
          <w:sz w:val="28"/>
          <w:szCs w:val="28"/>
          <w:lang w:val="en-US"/>
        </w:rPr>
      </w:pPr>
      <w:r w:rsidRPr="00B00803">
        <w:rPr>
          <w:rFonts w:ascii="Times" w:hAnsi="Times" w:cs="Times"/>
          <w:b/>
          <w:sz w:val="28"/>
          <w:szCs w:val="28"/>
          <w:lang w:val="en-US"/>
        </w:rPr>
        <w:t>2.1.2:  For adult CKD patients with anemia not on iron or ESA therapy we suggest a trial of IV iron (or in CKD ND patients alternatively a 1–3 month trial of oral iron therapy) if (2C):</w:t>
      </w:r>
    </w:p>
    <w:p w14:paraId="3F936B3C" w14:textId="33361D57" w:rsidR="00BF5397" w:rsidRPr="00B00803" w:rsidRDefault="00CA132A" w:rsidP="007D0211">
      <w:pPr>
        <w:widowControl w:val="0"/>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 xml:space="preserve">an increase in </w:t>
      </w:r>
      <w:r w:rsidR="00BF5397" w:rsidRPr="00B00803">
        <w:rPr>
          <w:rFonts w:ascii="Times" w:hAnsi="Times" w:cs="Times"/>
          <w:b/>
          <w:sz w:val="28"/>
          <w:szCs w:val="28"/>
          <w:lang w:val="en-US"/>
        </w:rPr>
        <w:t>Hb concentration without start</w:t>
      </w:r>
      <w:r w:rsidRPr="00B00803">
        <w:rPr>
          <w:rFonts w:ascii="Times" w:hAnsi="Times" w:cs="Times"/>
          <w:b/>
          <w:sz w:val="28"/>
          <w:szCs w:val="28"/>
          <w:lang w:val="en-US"/>
        </w:rPr>
        <w:t>ing ESA treatment is desired* and </w:t>
      </w:r>
    </w:p>
    <w:p w14:paraId="5F0E3A23" w14:textId="5BC0AED6" w:rsidR="00CA132A" w:rsidRPr="00B00803" w:rsidRDefault="00BF5397" w:rsidP="007D0211">
      <w:pPr>
        <w:widowControl w:val="0"/>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TSAT is &lt;=30% and ferritin is &lt;=500ng/ml (&lt;=</w:t>
      </w:r>
      <w:r w:rsidR="00CA132A" w:rsidRPr="00B00803">
        <w:rPr>
          <w:rFonts w:ascii="Times" w:hAnsi="Times" w:cs="Times"/>
          <w:b/>
          <w:sz w:val="28"/>
          <w:szCs w:val="28"/>
          <w:lang w:val="en-US"/>
        </w:rPr>
        <w:t>500 m</w:t>
      </w:r>
      <w:r w:rsidRPr="00B00803">
        <w:rPr>
          <w:rFonts w:ascii="Times" w:hAnsi="Times" w:cs="Times"/>
          <w:b/>
          <w:sz w:val="28"/>
          <w:szCs w:val="28"/>
          <w:lang w:val="en-US"/>
        </w:rPr>
        <w:t>k</w:t>
      </w:r>
      <w:r w:rsidR="00CA132A" w:rsidRPr="00B00803">
        <w:rPr>
          <w:rFonts w:ascii="Times" w:hAnsi="Times" w:cs="Times"/>
          <w:b/>
          <w:sz w:val="28"/>
          <w:szCs w:val="28"/>
          <w:lang w:val="en-US"/>
        </w:rPr>
        <w:t>g/l)</w:t>
      </w:r>
    </w:p>
    <w:p w14:paraId="0A00372A" w14:textId="314DB9D4" w:rsidR="00BF5397" w:rsidRPr="00B00803" w:rsidRDefault="00BF5397" w:rsidP="007D0211">
      <w:pPr>
        <w:widowControl w:val="0"/>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2.1.2:  Täiskasvanud KNH ja aneemiaga patsientidel, kes ei saa ei raua ega ESA ravi, me soovitame IV rauaravi (voi KNH ND patsientidel 1-3 muu tsüklina suukaudne rauaravi) kui</w:t>
      </w:r>
      <w:r w:rsidR="00D85EBB" w:rsidRPr="00B00803">
        <w:rPr>
          <w:rFonts w:ascii="Times" w:hAnsi="Times" w:cs="Times"/>
          <w:b/>
          <w:sz w:val="28"/>
          <w:szCs w:val="28"/>
          <w:lang w:val="en-US"/>
        </w:rPr>
        <w:t xml:space="preserve"> (2C)</w:t>
      </w:r>
      <w:r w:rsidRPr="00B00803">
        <w:rPr>
          <w:rFonts w:ascii="Times" w:hAnsi="Times" w:cs="Times"/>
          <w:b/>
          <w:sz w:val="28"/>
          <w:szCs w:val="28"/>
          <w:lang w:val="en-US"/>
        </w:rPr>
        <w:t>:</w:t>
      </w:r>
    </w:p>
    <w:p w14:paraId="1DDA8220" w14:textId="78F5919F" w:rsidR="00BF5397" w:rsidRPr="00B00803" w:rsidRDefault="00D85EBB" w:rsidP="007D0211">
      <w:pPr>
        <w:widowControl w:val="0"/>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on vajalik tõsta Hb taset</w:t>
      </w:r>
      <w:r w:rsidR="00BF5397" w:rsidRPr="00B00803">
        <w:rPr>
          <w:rFonts w:ascii="Times" w:hAnsi="Times" w:cs="Times"/>
          <w:b/>
          <w:sz w:val="28"/>
          <w:szCs w:val="28"/>
          <w:lang w:val="en-US"/>
        </w:rPr>
        <w:t xml:space="preserve"> ilma ESA ravita ja</w:t>
      </w:r>
    </w:p>
    <w:p w14:paraId="42F8BA8A" w14:textId="1DA55203" w:rsidR="00BF5397" w:rsidRPr="00B00803" w:rsidRDefault="00BF5397" w:rsidP="007D0211">
      <w:pPr>
        <w:widowControl w:val="0"/>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TSAT on &lt;=30%ja ferritiini tase &lt;=500ng/ml (&lt;=500 mkg/l)</w:t>
      </w:r>
    </w:p>
    <w:p w14:paraId="64A10A05" w14:textId="77777777" w:rsidR="003744C8" w:rsidRPr="00B00803" w:rsidRDefault="003744C8" w:rsidP="003744C8">
      <w:pPr>
        <w:widowControl w:val="0"/>
        <w:tabs>
          <w:tab w:val="left" w:pos="220"/>
          <w:tab w:val="left" w:pos="720"/>
        </w:tabs>
        <w:autoSpaceDE w:val="0"/>
        <w:autoSpaceDN w:val="0"/>
        <w:adjustRightInd w:val="0"/>
        <w:spacing w:after="240"/>
        <w:jc w:val="both"/>
        <w:rPr>
          <w:rFonts w:ascii="Times" w:hAnsi="Times" w:cs="Times"/>
          <w:sz w:val="28"/>
          <w:szCs w:val="28"/>
          <w:lang w:val="en-US"/>
        </w:rPr>
      </w:pPr>
    </w:p>
    <w:p w14:paraId="744D2CD5" w14:textId="225768FC" w:rsidR="00CA132A" w:rsidRPr="00B00803" w:rsidRDefault="00CA132A" w:rsidP="00F439C8">
      <w:pPr>
        <w:pStyle w:val="ListParagraph"/>
        <w:widowControl w:val="0"/>
        <w:numPr>
          <w:ilvl w:val="0"/>
          <w:numId w:val="25"/>
        </w:numPr>
        <w:tabs>
          <w:tab w:val="left" w:pos="0"/>
          <w:tab w:val="left" w:pos="220"/>
        </w:tabs>
        <w:autoSpaceDE w:val="0"/>
        <w:autoSpaceDN w:val="0"/>
        <w:adjustRightInd w:val="0"/>
        <w:spacing w:after="240"/>
        <w:ind w:left="0" w:firstLine="0"/>
        <w:jc w:val="both"/>
        <w:rPr>
          <w:rFonts w:ascii="Times" w:hAnsi="Times" w:cs="Times"/>
          <w:b/>
          <w:sz w:val="28"/>
          <w:szCs w:val="28"/>
          <w:lang w:val="en-US"/>
        </w:rPr>
      </w:pPr>
      <w:r w:rsidRPr="00B00803">
        <w:rPr>
          <w:rFonts w:ascii="Times" w:hAnsi="Times" w:cs="Times"/>
          <w:b/>
          <w:sz w:val="28"/>
          <w:szCs w:val="28"/>
          <w:lang w:val="en-US"/>
        </w:rPr>
        <w:t>2.1.4:  For CKD ND patie</w:t>
      </w:r>
      <w:r w:rsidR="00665F7E" w:rsidRPr="00B00803">
        <w:rPr>
          <w:rFonts w:ascii="Times" w:hAnsi="Times" w:cs="Times"/>
          <w:b/>
          <w:sz w:val="28"/>
          <w:szCs w:val="28"/>
          <w:lang w:val="en-US"/>
        </w:rPr>
        <w:t>nts who require iron supplemen</w:t>
      </w:r>
      <w:r w:rsidRPr="00B00803">
        <w:rPr>
          <w:rFonts w:ascii="Times" w:hAnsi="Times" w:cs="Times"/>
          <w:b/>
          <w:sz w:val="28"/>
          <w:szCs w:val="28"/>
          <w:lang w:val="en-US"/>
        </w:rPr>
        <w:t xml:space="preserve">tation, select the route of iron administration based on the severity of iron deficiency, availability of venous access, response to prior oral iron therapy, side effects with prior oral or IV iron therapy, patient compliance, and cost. (Not Graded) </w:t>
      </w:r>
    </w:p>
    <w:p w14:paraId="046DB2BE" w14:textId="16A81A97" w:rsidR="00D85EBB" w:rsidRPr="00B00803" w:rsidRDefault="00D85EBB" w:rsidP="007D0211">
      <w:pPr>
        <w:widowControl w:val="0"/>
        <w:tabs>
          <w:tab w:val="left" w:pos="220"/>
          <w:tab w:val="left" w:pos="720"/>
        </w:tabs>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 xml:space="preserve"> 2.1.4: KNHga mittedialüüsravil patsiendi jaoks, kes vajab rauaasendusravi, vali raua manustamise viis</w:t>
      </w:r>
      <w:r w:rsidR="001C1061">
        <w:rPr>
          <w:rFonts w:ascii="Times" w:hAnsi="Times" w:cs="Times"/>
          <w:b/>
          <w:sz w:val="28"/>
          <w:szCs w:val="28"/>
          <w:lang w:val="en-US"/>
        </w:rPr>
        <w:t>i</w:t>
      </w:r>
      <w:r w:rsidRPr="00B00803">
        <w:rPr>
          <w:rFonts w:ascii="Times" w:hAnsi="Times" w:cs="Times"/>
          <w:b/>
          <w:sz w:val="28"/>
          <w:szCs w:val="28"/>
          <w:lang w:val="en-US"/>
        </w:rPr>
        <w:t xml:space="preserve"> sõltuvalt raua defitsiidist, veenitee olemasolust, suukaudse rauaravi efektsiivsusest, suukaudse ja intravenoosse rauaravi kõrvaltoimetest, hinnast (Not graded).</w:t>
      </w:r>
    </w:p>
    <w:p w14:paraId="4FBDEC3A" w14:textId="77777777" w:rsidR="00CA132A" w:rsidRPr="00B00803" w:rsidRDefault="00CA132A" w:rsidP="00F439C8">
      <w:pPr>
        <w:widowControl w:val="0"/>
        <w:numPr>
          <w:ilvl w:val="0"/>
          <w:numId w:val="17"/>
        </w:numPr>
        <w:tabs>
          <w:tab w:val="left" w:pos="0"/>
          <w:tab w:val="left" w:pos="220"/>
        </w:tabs>
        <w:autoSpaceDE w:val="0"/>
        <w:autoSpaceDN w:val="0"/>
        <w:adjustRightInd w:val="0"/>
        <w:spacing w:after="240"/>
        <w:ind w:left="0" w:firstLine="0"/>
        <w:jc w:val="both"/>
        <w:rPr>
          <w:rFonts w:ascii="Times" w:hAnsi="Times" w:cs="Times"/>
          <w:b/>
          <w:sz w:val="28"/>
          <w:szCs w:val="28"/>
          <w:lang w:val="en-US"/>
        </w:rPr>
      </w:pPr>
      <w:r w:rsidRPr="00B00803">
        <w:rPr>
          <w:rFonts w:ascii="Times" w:hAnsi="Times" w:cs="Times"/>
          <w:b/>
          <w:sz w:val="28"/>
          <w:szCs w:val="28"/>
          <w:lang w:val="en-US"/>
        </w:rPr>
        <w:t xml:space="preserve">2.1.5:  Guide subsequent iron administration in CKD patients based on Hb responses to recent iron therapy, as well as ongoing blood losses, iron status tests (TSAT and ferritin), Hb concentration, ESA responsiveness and ESA dose in ESA treated patients, trends in each parameter, and the patient’s clinical status. (Not Graded) </w:t>
      </w:r>
    </w:p>
    <w:p w14:paraId="0433C2BC" w14:textId="3697842B" w:rsidR="00D85EBB" w:rsidRPr="00B00803" w:rsidRDefault="00D85EBB" w:rsidP="00F439C8">
      <w:pPr>
        <w:widowControl w:val="0"/>
        <w:tabs>
          <w:tab w:val="left" w:pos="220"/>
          <w:tab w:val="left" w:pos="720"/>
        </w:tabs>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2.1.5: Korralda edaspidi rauaasendisravi sõltuvalt Hgb va</w:t>
      </w:r>
      <w:r w:rsidR="00D0245A">
        <w:rPr>
          <w:rFonts w:ascii="Times" w:hAnsi="Times" w:cs="Times"/>
          <w:b/>
          <w:sz w:val="28"/>
          <w:szCs w:val="28"/>
          <w:lang w:val="en-US"/>
        </w:rPr>
        <w:t xml:space="preserve">stusest ravile, verekaotusest, </w:t>
      </w:r>
      <w:r w:rsidRPr="00B00803">
        <w:rPr>
          <w:rFonts w:ascii="Times" w:hAnsi="Times" w:cs="Times"/>
          <w:b/>
          <w:sz w:val="28"/>
          <w:szCs w:val="28"/>
          <w:lang w:val="en-US"/>
        </w:rPr>
        <w:t>rauanäitajate kontsentratsioonidest (TSAT ja ferritin), Hgb taseme muutusest, patsiendi seisundist (Not Graded).</w:t>
      </w:r>
    </w:p>
    <w:p w14:paraId="39EA9927" w14:textId="6F40F3F5" w:rsidR="00D85EBB" w:rsidRPr="00B00803" w:rsidRDefault="00CA132A" w:rsidP="007D0211">
      <w:pPr>
        <w:pStyle w:val="ListParagraph"/>
        <w:widowControl w:val="0"/>
        <w:numPr>
          <w:ilvl w:val="0"/>
          <w:numId w:val="17"/>
        </w:numPr>
        <w:autoSpaceDE w:val="0"/>
        <w:autoSpaceDN w:val="0"/>
        <w:adjustRightInd w:val="0"/>
        <w:spacing w:after="240"/>
        <w:jc w:val="both"/>
        <w:rPr>
          <w:rFonts w:ascii="Times" w:hAnsi="Times" w:cs="Times"/>
          <w:i/>
          <w:sz w:val="28"/>
          <w:szCs w:val="28"/>
          <w:lang w:val="en-US"/>
        </w:rPr>
      </w:pPr>
      <w:r w:rsidRPr="00B00803">
        <w:rPr>
          <w:rFonts w:ascii="Times" w:hAnsi="Times" w:cs="Times"/>
          <w:i/>
          <w:sz w:val="28"/>
          <w:szCs w:val="28"/>
          <w:lang w:val="en-US"/>
        </w:rPr>
        <w:t>2.2.1: Evaluate iron status (TSAT and ferritin) at least every 3 months during ESA therapy, including the decision to start or continue iron therapy. (Not Graded)</w:t>
      </w:r>
    </w:p>
    <w:p w14:paraId="75EBCB6B" w14:textId="77777777" w:rsidR="00CA132A" w:rsidRPr="00B00803" w:rsidRDefault="00CA132A" w:rsidP="007D0211">
      <w:pPr>
        <w:pStyle w:val="ListParagraph"/>
        <w:widowControl w:val="0"/>
        <w:numPr>
          <w:ilvl w:val="0"/>
          <w:numId w:val="17"/>
        </w:numPr>
        <w:autoSpaceDE w:val="0"/>
        <w:autoSpaceDN w:val="0"/>
        <w:adjustRightInd w:val="0"/>
        <w:spacing w:after="240"/>
        <w:jc w:val="both"/>
        <w:rPr>
          <w:rFonts w:ascii="Times" w:hAnsi="Times" w:cs="Times"/>
          <w:i/>
          <w:sz w:val="28"/>
          <w:szCs w:val="28"/>
          <w:lang w:val="en-US"/>
        </w:rPr>
      </w:pPr>
      <w:r w:rsidRPr="00B00803">
        <w:rPr>
          <w:rFonts w:ascii="Times" w:hAnsi="Times" w:cs="Times"/>
          <w:i/>
          <w:sz w:val="28"/>
          <w:szCs w:val="28"/>
          <w:lang w:val="en-US"/>
        </w:rPr>
        <w:t>2.2.2: Test iron status (TSAT and ferritin) more frequently when initiating or increasing ESA dose, when there is blood loss, when monitoring response after a course of IV iron, and in other circumstances where iron stores may become depleted. (Not Graded)</w:t>
      </w:r>
    </w:p>
    <w:p w14:paraId="57BA62B5" w14:textId="765E7600" w:rsidR="00CA132A" w:rsidRPr="00B00803" w:rsidRDefault="00CA132A" w:rsidP="00CC07EC">
      <w:pPr>
        <w:pStyle w:val="ListParagraph"/>
        <w:widowControl w:val="0"/>
        <w:numPr>
          <w:ilvl w:val="0"/>
          <w:numId w:val="17"/>
        </w:numPr>
        <w:autoSpaceDE w:val="0"/>
        <w:autoSpaceDN w:val="0"/>
        <w:adjustRightInd w:val="0"/>
        <w:spacing w:after="240"/>
        <w:ind w:left="0" w:firstLine="0"/>
        <w:jc w:val="both"/>
        <w:rPr>
          <w:rFonts w:ascii="Times" w:hAnsi="Times" w:cs="Times"/>
          <w:b/>
          <w:sz w:val="28"/>
          <w:szCs w:val="28"/>
          <w:lang w:val="en-US"/>
        </w:rPr>
      </w:pPr>
      <w:r w:rsidRPr="00B00803">
        <w:rPr>
          <w:rFonts w:ascii="Times" w:hAnsi="Times" w:cs="Times"/>
          <w:b/>
          <w:sz w:val="28"/>
          <w:szCs w:val="28"/>
          <w:lang w:val="en-US"/>
        </w:rPr>
        <w:t>2.3: When the initial dose</w:t>
      </w:r>
      <w:r w:rsidR="00D85EBB" w:rsidRPr="00B00803">
        <w:rPr>
          <w:rFonts w:ascii="Times" w:hAnsi="Times" w:cs="Times"/>
          <w:b/>
          <w:sz w:val="28"/>
          <w:szCs w:val="28"/>
          <w:lang w:val="en-US"/>
        </w:rPr>
        <w:t xml:space="preserve"> of IV iron dextran is adminis</w:t>
      </w:r>
      <w:r w:rsidRPr="00B00803">
        <w:rPr>
          <w:rFonts w:ascii="Times" w:hAnsi="Times" w:cs="Times"/>
          <w:b/>
          <w:sz w:val="28"/>
          <w:szCs w:val="28"/>
          <w:lang w:val="en-US"/>
        </w:rPr>
        <w:t xml:space="preserve">tered, we recommend (1B) and </w:t>
      </w:r>
      <w:r w:rsidR="00D85EBB" w:rsidRPr="00B00803">
        <w:rPr>
          <w:rFonts w:ascii="Times" w:hAnsi="Times" w:cs="Times"/>
          <w:b/>
          <w:sz w:val="28"/>
          <w:szCs w:val="28"/>
          <w:lang w:val="en-US"/>
        </w:rPr>
        <w:t>when the initial dose of IV non</w:t>
      </w:r>
      <w:r w:rsidRPr="00B00803">
        <w:rPr>
          <w:rFonts w:ascii="Times" w:hAnsi="Times" w:cs="Times"/>
          <w:b/>
          <w:sz w:val="28"/>
          <w:szCs w:val="28"/>
          <w:lang w:val="en-US"/>
        </w:rPr>
        <w:t>dextran iron is administered, we suggest (2C) that patients be monitored for 60 minutes after the infusion, and</w:t>
      </w:r>
      <w:r w:rsidRPr="00B00803">
        <w:rPr>
          <w:rFonts w:ascii="Times" w:hAnsi="Times" w:cs="Times"/>
          <w:sz w:val="28"/>
          <w:szCs w:val="28"/>
          <w:lang w:val="en-US"/>
        </w:rPr>
        <w:t xml:space="preserve"> </w:t>
      </w:r>
      <w:r w:rsidRPr="00B00803">
        <w:rPr>
          <w:rFonts w:ascii="Times" w:hAnsi="Times" w:cs="Times"/>
          <w:b/>
          <w:sz w:val="28"/>
          <w:szCs w:val="28"/>
          <w:lang w:val="en-US"/>
        </w:rPr>
        <w:t>that resuscitative facilities (including medications) and personnel trained to evaluate and treat serious adverse reactions be available.</w:t>
      </w:r>
    </w:p>
    <w:p w14:paraId="20E1CFBE" w14:textId="0612521E" w:rsidR="00D85EBB" w:rsidRPr="00B00803" w:rsidRDefault="00D85EBB" w:rsidP="00CC07EC">
      <w:pPr>
        <w:pStyle w:val="ListParagraph"/>
        <w:widowControl w:val="0"/>
        <w:autoSpaceDE w:val="0"/>
        <w:autoSpaceDN w:val="0"/>
        <w:adjustRightInd w:val="0"/>
        <w:spacing w:after="240"/>
        <w:ind w:left="0"/>
        <w:jc w:val="both"/>
        <w:rPr>
          <w:rFonts w:ascii="Times" w:hAnsi="Times" w:cs="Times"/>
          <w:b/>
          <w:sz w:val="28"/>
          <w:szCs w:val="28"/>
          <w:lang w:val="en-US"/>
        </w:rPr>
      </w:pPr>
      <w:r w:rsidRPr="00B00803">
        <w:rPr>
          <w:rFonts w:ascii="Times" w:hAnsi="Times" w:cs="Times"/>
          <w:b/>
          <w:sz w:val="28"/>
          <w:szCs w:val="28"/>
          <w:lang w:val="en-US"/>
        </w:rPr>
        <w:t>2.3: Kui esimene IV raua</w:t>
      </w:r>
      <w:r w:rsidR="00F4650E" w:rsidRPr="00B00803">
        <w:rPr>
          <w:rFonts w:ascii="Times" w:hAnsi="Times" w:cs="Times"/>
          <w:b/>
          <w:sz w:val="28"/>
          <w:szCs w:val="28"/>
          <w:lang w:val="en-US"/>
        </w:rPr>
        <w:t xml:space="preserve">dekstraani annus on manustatud </w:t>
      </w:r>
      <w:r w:rsidRPr="00B00803">
        <w:rPr>
          <w:rFonts w:ascii="Times" w:hAnsi="Times" w:cs="Times"/>
          <w:b/>
          <w:sz w:val="28"/>
          <w:szCs w:val="28"/>
          <w:lang w:val="en-US"/>
        </w:rPr>
        <w:t xml:space="preserve">soovitame (1B) ning kui </w:t>
      </w:r>
      <w:r w:rsidR="00F724C8">
        <w:rPr>
          <w:rFonts w:ascii="Times" w:hAnsi="Times" w:cs="Times"/>
          <w:b/>
          <w:sz w:val="28"/>
          <w:szCs w:val="28"/>
          <w:lang w:val="en-US"/>
        </w:rPr>
        <w:t>esimene IV dekstraani mittesisaldav raua preparaat</w:t>
      </w:r>
      <w:r w:rsidR="00E1478A">
        <w:rPr>
          <w:rFonts w:ascii="Times" w:hAnsi="Times" w:cs="Times"/>
          <w:b/>
          <w:sz w:val="28"/>
          <w:szCs w:val="28"/>
          <w:lang w:val="en-US"/>
        </w:rPr>
        <w:t xml:space="preserve"> on manustatud </w:t>
      </w:r>
      <w:r w:rsidRPr="00B00803">
        <w:rPr>
          <w:rFonts w:ascii="Times" w:hAnsi="Times" w:cs="Times"/>
          <w:b/>
          <w:sz w:val="28"/>
          <w:szCs w:val="28"/>
          <w:lang w:val="en-US"/>
        </w:rPr>
        <w:t>soovitame (2C) jälgida patsienti</w:t>
      </w:r>
      <w:r w:rsidR="00E1478A">
        <w:rPr>
          <w:rFonts w:ascii="Times" w:hAnsi="Times" w:cs="Times"/>
          <w:b/>
          <w:sz w:val="28"/>
          <w:szCs w:val="28"/>
          <w:lang w:val="en-US"/>
        </w:rPr>
        <w:t xml:space="preserve"> 60 minutit peale infusiooni ning</w:t>
      </w:r>
      <w:r w:rsidR="00F4650E" w:rsidRPr="00B00803">
        <w:rPr>
          <w:rFonts w:ascii="Times" w:hAnsi="Times" w:cs="Times"/>
          <w:b/>
          <w:sz w:val="28"/>
          <w:szCs w:val="28"/>
          <w:lang w:val="en-US"/>
        </w:rPr>
        <w:t xml:space="preserve"> et elustamiseks vajalikud vahendid ja väljaõpetatud personal oleksid raskete kõrvaltoimete raviks saadaval.</w:t>
      </w:r>
    </w:p>
    <w:p w14:paraId="5FA3D1C0" w14:textId="77777777" w:rsidR="00CA132A" w:rsidRPr="00B00803" w:rsidRDefault="00CA132A" w:rsidP="00CC07EC">
      <w:pPr>
        <w:pStyle w:val="ListParagraph"/>
        <w:widowControl w:val="0"/>
        <w:numPr>
          <w:ilvl w:val="0"/>
          <w:numId w:val="17"/>
        </w:numPr>
        <w:autoSpaceDE w:val="0"/>
        <w:autoSpaceDN w:val="0"/>
        <w:adjustRightInd w:val="0"/>
        <w:spacing w:after="240"/>
        <w:ind w:left="0" w:firstLine="0"/>
        <w:jc w:val="both"/>
        <w:rPr>
          <w:rFonts w:ascii="Times" w:hAnsi="Times" w:cs="Times"/>
          <w:b/>
          <w:sz w:val="28"/>
          <w:szCs w:val="28"/>
          <w:lang w:val="en-US"/>
        </w:rPr>
      </w:pPr>
      <w:r w:rsidRPr="00B00803">
        <w:rPr>
          <w:rFonts w:ascii="Times" w:hAnsi="Times" w:cs="Times"/>
          <w:b/>
          <w:sz w:val="28"/>
          <w:szCs w:val="28"/>
          <w:lang w:val="en-US"/>
        </w:rPr>
        <w:t>2.4: Avoid administering IV iron to patients with active systemic infections. (Not Graded)</w:t>
      </w:r>
    </w:p>
    <w:p w14:paraId="225AB06D" w14:textId="757F2E62" w:rsidR="00F4650E" w:rsidRPr="00B00803" w:rsidRDefault="00F4650E" w:rsidP="00CC07EC">
      <w:pPr>
        <w:pStyle w:val="ListParagraph"/>
        <w:widowControl w:val="0"/>
        <w:autoSpaceDE w:val="0"/>
        <w:autoSpaceDN w:val="0"/>
        <w:adjustRightInd w:val="0"/>
        <w:spacing w:after="240"/>
        <w:ind w:left="0"/>
        <w:jc w:val="both"/>
        <w:rPr>
          <w:rFonts w:ascii="Times" w:hAnsi="Times" w:cs="Times"/>
          <w:b/>
          <w:sz w:val="28"/>
          <w:szCs w:val="28"/>
          <w:lang w:val="en-US"/>
        </w:rPr>
      </w:pPr>
      <w:r w:rsidRPr="00B00803">
        <w:rPr>
          <w:rFonts w:ascii="Times" w:hAnsi="Times" w:cs="Times"/>
          <w:b/>
          <w:sz w:val="28"/>
          <w:szCs w:val="28"/>
          <w:lang w:val="en-US"/>
        </w:rPr>
        <w:t>2.4: Väldi IV raua manustamist ägeda (aktiivse) süstee</w:t>
      </w:r>
      <w:r w:rsidR="00E1478A">
        <w:rPr>
          <w:rFonts w:ascii="Times" w:hAnsi="Times" w:cs="Times"/>
          <w:b/>
          <w:sz w:val="28"/>
          <w:szCs w:val="28"/>
          <w:lang w:val="en-US"/>
        </w:rPr>
        <w:t>mse infektsiooniga patsientidel</w:t>
      </w:r>
      <w:r w:rsidRPr="00B00803">
        <w:rPr>
          <w:rFonts w:ascii="Times" w:hAnsi="Times" w:cs="Times"/>
          <w:b/>
          <w:sz w:val="28"/>
          <w:szCs w:val="28"/>
          <w:lang w:val="en-US"/>
        </w:rPr>
        <w:t xml:space="preserve"> (Not Graded).</w:t>
      </w:r>
    </w:p>
    <w:p w14:paraId="533991B5" w14:textId="77777777" w:rsidR="00B72C09" w:rsidRPr="00B00803" w:rsidRDefault="00B72C09" w:rsidP="00CC07EC">
      <w:pPr>
        <w:widowControl w:val="0"/>
        <w:numPr>
          <w:ilvl w:val="0"/>
          <w:numId w:val="17"/>
        </w:numPr>
        <w:tabs>
          <w:tab w:val="left" w:pos="0"/>
          <w:tab w:val="left" w:pos="220"/>
        </w:tabs>
        <w:autoSpaceDE w:val="0"/>
        <w:autoSpaceDN w:val="0"/>
        <w:adjustRightInd w:val="0"/>
        <w:spacing w:after="240"/>
        <w:ind w:left="0" w:firstLine="0"/>
        <w:jc w:val="both"/>
        <w:rPr>
          <w:rFonts w:ascii="Times" w:hAnsi="Times" w:cs="Times"/>
          <w:b/>
          <w:sz w:val="28"/>
          <w:szCs w:val="28"/>
          <w:lang w:val="en-US"/>
        </w:rPr>
      </w:pPr>
      <w:r w:rsidRPr="00B00803">
        <w:rPr>
          <w:rFonts w:ascii="Times" w:hAnsi="Times" w:cs="Times"/>
          <w:b/>
          <w:sz w:val="28"/>
          <w:szCs w:val="28"/>
          <w:lang w:val="en-US"/>
        </w:rPr>
        <w:t xml:space="preserve">When managing chronic anemia, we recommend avoiding, when possible, red cell transfusions to minimize the general risks related to their use. (1B) </w:t>
      </w:r>
    </w:p>
    <w:p w14:paraId="385C1FD6" w14:textId="2B2351F3" w:rsidR="00F4650E" w:rsidRPr="00B00803" w:rsidRDefault="00F4650E" w:rsidP="00CC07EC">
      <w:pPr>
        <w:widowControl w:val="0"/>
        <w:tabs>
          <w:tab w:val="left" w:pos="142"/>
          <w:tab w:val="left" w:pos="220"/>
        </w:tabs>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Kroonilise aneemia ravis soovitame vältid</w:t>
      </w:r>
      <w:r w:rsidR="00E1478A">
        <w:rPr>
          <w:rFonts w:ascii="Times" w:hAnsi="Times" w:cs="Times"/>
          <w:b/>
          <w:sz w:val="28"/>
          <w:szCs w:val="28"/>
          <w:lang w:val="en-US"/>
        </w:rPr>
        <w:t>a</w:t>
      </w:r>
      <w:r w:rsidRPr="00B00803">
        <w:rPr>
          <w:rFonts w:ascii="Times" w:hAnsi="Times" w:cs="Times"/>
          <w:b/>
          <w:sz w:val="28"/>
          <w:szCs w:val="28"/>
          <w:lang w:val="en-US"/>
        </w:rPr>
        <w:t xml:space="preserve"> erütrotsüütide massi ülekandeid põhiriskide vähendamiseks (1B).</w:t>
      </w:r>
    </w:p>
    <w:p w14:paraId="6297BB1F" w14:textId="1BC34EA7" w:rsidR="00B72C09" w:rsidRPr="00B00803" w:rsidRDefault="00B72C09" w:rsidP="00CC07EC">
      <w:pPr>
        <w:widowControl w:val="0"/>
        <w:numPr>
          <w:ilvl w:val="0"/>
          <w:numId w:val="17"/>
        </w:numPr>
        <w:tabs>
          <w:tab w:val="left" w:pos="0"/>
          <w:tab w:val="left" w:pos="220"/>
        </w:tabs>
        <w:autoSpaceDE w:val="0"/>
        <w:autoSpaceDN w:val="0"/>
        <w:adjustRightInd w:val="0"/>
        <w:spacing w:after="240"/>
        <w:ind w:left="0" w:firstLine="0"/>
        <w:jc w:val="both"/>
        <w:rPr>
          <w:rFonts w:ascii="Times" w:hAnsi="Times" w:cs="Times"/>
          <w:b/>
          <w:sz w:val="28"/>
          <w:szCs w:val="28"/>
          <w:lang w:val="en-US"/>
        </w:rPr>
      </w:pPr>
      <w:r w:rsidRPr="00B00803">
        <w:rPr>
          <w:rFonts w:ascii="Times" w:hAnsi="Times" w:cs="Times"/>
          <w:b/>
          <w:sz w:val="28"/>
          <w:szCs w:val="28"/>
          <w:lang w:val="en-US"/>
        </w:rPr>
        <w:t>4.1.2:  In patients eligible for organ transplantation, we specifically recommend avoiding, when possible, red cell transfusions to min</w:t>
      </w:r>
      <w:r w:rsidR="0041615D" w:rsidRPr="00B00803">
        <w:rPr>
          <w:rFonts w:ascii="Times" w:hAnsi="Times" w:cs="Times"/>
          <w:b/>
          <w:sz w:val="28"/>
          <w:szCs w:val="28"/>
          <w:lang w:val="en-US"/>
        </w:rPr>
        <w:t>imize the risk of allosensi</w:t>
      </w:r>
      <w:r w:rsidRPr="00B00803">
        <w:rPr>
          <w:rFonts w:ascii="Times" w:hAnsi="Times" w:cs="Times"/>
          <w:b/>
          <w:sz w:val="28"/>
          <w:szCs w:val="28"/>
          <w:lang w:val="en-US"/>
        </w:rPr>
        <w:t xml:space="preserve">tization. (1C) </w:t>
      </w:r>
    </w:p>
    <w:p w14:paraId="699B8DD5" w14:textId="4E7E8F05" w:rsidR="00B52CBC" w:rsidRPr="00B00803" w:rsidRDefault="00B52CBC" w:rsidP="00CC07EC">
      <w:pPr>
        <w:widowControl w:val="0"/>
        <w:tabs>
          <w:tab w:val="left" w:pos="0"/>
          <w:tab w:val="left" w:pos="220"/>
        </w:tabs>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4.1.2: Patsintidel, kes on sobilikud organi siirdamiseks me eriti sovitame vältida erütrotsüütide massi ülekandied, selleks et vähendada allosensibilisatsiooni riski (1C)</w:t>
      </w:r>
    </w:p>
    <w:p w14:paraId="71F28374" w14:textId="77777777" w:rsidR="00B72C09" w:rsidRPr="00B00803" w:rsidRDefault="00B72C09" w:rsidP="007D0211">
      <w:pPr>
        <w:widowControl w:val="0"/>
        <w:numPr>
          <w:ilvl w:val="0"/>
          <w:numId w:val="17"/>
        </w:numPr>
        <w:tabs>
          <w:tab w:val="left" w:pos="220"/>
          <w:tab w:val="left" w:pos="720"/>
        </w:tabs>
        <w:autoSpaceDE w:val="0"/>
        <w:autoSpaceDN w:val="0"/>
        <w:adjustRightInd w:val="0"/>
        <w:spacing w:after="240"/>
        <w:ind w:hanging="720"/>
        <w:jc w:val="both"/>
        <w:rPr>
          <w:rFonts w:ascii="Times" w:hAnsi="Times" w:cs="Times"/>
          <w:i/>
          <w:sz w:val="28"/>
          <w:szCs w:val="28"/>
          <w:lang w:val="en-US"/>
        </w:rPr>
      </w:pPr>
      <w:r w:rsidRPr="00B00803">
        <w:rPr>
          <w:rFonts w:ascii="Times" w:hAnsi="Times" w:cs="Times"/>
          <w:i/>
          <w:sz w:val="28"/>
          <w:szCs w:val="28"/>
          <w:lang w:val="en-US"/>
        </w:rPr>
        <w:t xml:space="preserve">4.1.3:  When managing chronic anemia, we suggest that the benefits of red cell transfusions may outweigh the risks in patients in whom (2C): </w:t>
      </w:r>
    </w:p>
    <w:p w14:paraId="7FA9E841" w14:textId="7C190EE2" w:rsidR="00B72C09" w:rsidRPr="00B00803" w:rsidRDefault="00B52CBC" w:rsidP="007D0211">
      <w:pPr>
        <w:widowControl w:val="0"/>
        <w:autoSpaceDE w:val="0"/>
        <w:autoSpaceDN w:val="0"/>
        <w:adjustRightInd w:val="0"/>
        <w:spacing w:after="240"/>
        <w:jc w:val="both"/>
        <w:rPr>
          <w:rFonts w:ascii="Times" w:hAnsi="Times" w:cs="Times"/>
          <w:i/>
          <w:sz w:val="28"/>
          <w:szCs w:val="28"/>
          <w:lang w:val="en-US"/>
        </w:rPr>
      </w:pPr>
      <w:r w:rsidRPr="00B00803">
        <w:rPr>
          <w:rFonts w:ascii="Times" w:hAnsi="Times" w:cs="Times"/>
          <w:i/>
          <w:sz w:val="28"/>
          <w:szCs w:val="28"/>
          <w:lang w:val="en-US"/>
        </w:rPr>
        <w:t>-</w:t>
      </w:r>
      <w:r w:rsidR="00B72C09" w:rsidRPr="00B00803">
        <w:rPr>
          <w:rFonts w:ascii="Times" w:hAnsi="Times" w:cs="Times"/>
          <w:i/>
          <w:sz w:val="28"/>
          <w:szCs w:val="28"/>
          <w:lang w:val="en-US"/>
        </w:rPr>
        <w:t xml:space="preserve">ESA therapy is </w:t>
      </w:r>
      <w:r w:rsidR="00380A54" w:rsidRPr="00B00803">
        <w:rPr>
          <w:rFonts w:ascii="Times" w:hAnsi="Times" w:cs="Times"/>
          <w:i/>
          <w:sz w:val="28"/>
          <w:szCs w:val="28"/>
          <w:lang w:val="en-US"/>
        </w:rPr>
        <w:t>ineffective (e.g., hemoglobino</w:t>
      </w:r>
      <w:r w:rsidR="00B72C09" w:rsidRPr="00B00803">
        <w:rPr>
          <w:rFonts w:ascii="Times" w:hAnsi="Times" w:cs="Times"/>
          <w:i/>
          <w:sz w:val="28"/>
          <w:szCs w:val="28"/>
          <w:lang w:val="en-US"/>
        </w:rPr>
        <w:t>pathies, bone marrow failure, ESA resistance)</w:t>
      </w:r>
    </w:p>
    <w:p w14:paraId="34401434" w14:textId="38376B93" w:rsidR="00B72C09" w:rsidRPr="00B00803" w:rsidRDefault="00B52CBC" w:rsidP="007D0211">
      <w:pPr>
        <w:widowControl w:val="0"/>
        <w:autoSpaceDE w:val="0"/>
        <w:autoSpaceDN w:val="0"/>
        <w:adjustRightInd w:val="0"/>
        <w:spacing w:after="240"/>
        <w:jc w:val="both"/>
        <w:rPr>
          <w:rFonts w:ascii="Times" w:hAnsi="Times" w:cs="Times"/>
          <w:i/>
          <w:sz w:val="28"/>
          <w:szCs w:val="28"/>
          <w:lang w:val="en-US"/>
        </w:rPr>
      </w:pPr>
      <w:r w:rsidRPr="00B00803">
        <w:rPr>
          <w:rFonts w:ascii="Times" w:hAnsi="Times" w:cs="Times"/>
          <w:i/>
          <w:sz w:val="28"/>
          <w:szCs w:val="28"/>
          <w:lang w:val="en-US"/>
        </w:rPr>
        <w:t>-</w:t>
      </w:r>
      <w:r w:rsidR="00B72C09" w:rsidRPr="00B00803">
        <w:rPr>
          <w:rFonts w:ascii="Times" w:hAnsi="Times" w:cs="Times"/>
          <w:i/>
          <w:sz w:val="28"/>
          <w:szCs w:val="28"/>
          <w:lang w:val="en-US"/>
        </w:rPr>
        <w:t>The risks of ESA therapy may outweigh its benefits (e.g., previous or current malignancy, previous stroke)</w:t>
      </w:r>
    </w:p>
    <w:p w14:paraId="4126C7CF" w14:textId="49FA40AD" w:rsidR="00B52CBC" w:rsidRPr="00B00803" w:rsidRDefault="00B52CBC" w:rsidP="007D0211">
      <w:pPr>
        <w:widowControl w:val="0"/>
        <w:autoSpaceDE w:val="0"/>
        <w:autoSpaceDN w:val="0"/>
        <w:adjustRightInd w:val="0"/>
        <w:spacing w:after="240"/>
        <w:jc w:val="both"/>
        <w:rPr>
          <w:rFonts w:ascii="Times" w:hAnsi="Times" w:cs="Times"/>
          <w:i/>
          <w:sz w:val="28"/>
          <w:szCs w:val="28"/>
          <w:lang w:val="en-US"/>
        </w:rPr>
      </w:pPr>
      <w:r w:rsidRPr="00B00803">
        <w:rPr>
          <w:rFonts w:ascii="Times" w:hAnsi="Times" w:cs="Times"/>
          <w:i/>
          <w:sz w:val="28"/>
          <w:szCs w:val="28"/>
          <w:lang w:val="en-US"/>
        </w:rPr>
        <w:t xml:space="preserve">4.1.3: </w:t>
      </w:r>
      <w:r w:rsidR="0041615D" w:rsidRPr="00B00803">
        <w:rPr>
          <w:rFonts w:ascii="Times" w:hAnsi="Times" w:cs="Times"/>
          <w:i/>
          <w:sz w:val="28"/>
          <w:szCs w:val="28"/>
          <w:lang w:val="en-US"/>
        </w:rPr>
        <w:t xml:space="preserve">Kroonilise aneemia </w:t>
      </w:r>
      <w:r w:rsidR="0089209F" w:rsidRPr="00B00803">
        <w:rPr>
          <w:rFonts w:ascii="Times" w:hAnsi="Times" w:cs="Times"/>
          <w:i/>
          <w:sz w:val="28"/>
          <w:szCs w:val="28"/>
          <w:lang w:val="en-US"/>
        </w:rPr>
        <w:t>ravi kor</w:t>
      </w:r>
      <w:r w:rsidR="0041615D" w:rsidRPr="00B00803">
        <w:rPr>
          <w:rFonts w:ascii="Times" w:hAnsi="Times" w:cs="Times"/>
          <w:i/>
          <w:sz w:val="28"/>
          <w:szCs w:val="28"/>
          <w:lang w:val="en-US"/>
        </w:rPr>
        <w:t xml:space="preserve">raldamisel </w:t>
      </w:r>
      <w:r w:rsidR="00380A54" w:rsidRPr="00B00803">
        <w:rPr>
          <w:rFonts w:ascii="Times" w:hAnsi="Times" w:cs="Times"/>
          <w:i/>
          <w:sz w:val="28"/>
          <w:szCs w:val="28"/>
          <w:lang w:val="en-US"/>
        </w:rPr>
        <w:t>me arvame, et erütrotsüüt</w:t>
      </w:r>
      <w:r w:rsidR="0041615D" w:rsidRPr="00B00803">
        <w:rPr>
          <w:rFonts w:ascii="Times" w:hAnsi="Times" w:cs="Times"/>
          <w:i/>
          <w:sz w:val="28"/>
          <w:szCs w:val="28"/>
          <w:lang w:val="en-US"/>
        </w:rPr>
        <w:t>ide massi ülekande kasu või ü</w:t>
      </w:r>
      <w:r w:rsidR="00380A54" w:rsidRPr="00B00803">
        <w:rPr>
          <w:rFonts w:ascii="Times" w:hAnsi="Times" w:cs="Times"/>
          <w:i/>
          <w:sz w:val="28"/>
          <w:szCs w:val="28"/>
          <w:lang w:val="en-US"/>
        </w:rPr>
        <w:t>letada kahju patsientidel (2C):</w:t>
      </w:r>
    </w:p>
    <w:p w14:paraId="7C852B95" w14:textId="75F788CC" w:rsidR="00380A54" w:rsidRPr="00B00803" w:rsidRDefault="00380A54" w:rsidP="007D0211">
      <w:pPr>
        <w:widowControl w:val="0"/>
        <w:autoSpaceDE w:val="0"/>
        <w:autoSpaceDN w:val="0"/>
        <w:adjustRightInd w:val="0"/>
        <w:spacing w:after="240"/>
        <w:jc w:val="both"/>
        <w:rPr>
          <w:rFonts w:ascii="Times" w:hAnsi="Times" w:cs="Times"/>
          <w:i/>
          <w:sz w:val="28"/>
          <w:szCs w:val="28"/>
          <w:lang w:val="en-US"/>
        </w:rPr>
      </w:pPr>
      <w:r w:rsidRPr="00B00803">
        <w:rPr>
          <w:rFonts w:ascii="Times" w:hAnsi="Times" w:cs="Times"/>
          <w:i/>
          <w:sz w:val="28"/>
          <w:szCs w:val="28"/>
          <w:lang w:val="en-US"/>
        </w:rPr>
        <w:t>-kellel ESA ravi ei ole efektiivne</w:t>
      </w:r>
      <w:r w:rsidR="0041615D" w:rsidRPr="00B00803">
        <w:rPr>
          <w:rFonts w:ascii="Times" w:hAnsi="Times" w:cs="Times"/>
          <w:i/>
          <w:sz w:val="28"/>
          <w:szCs w:val="28"/>
          <w:lang w:val="en-US"/>
        </w:rPr>
        <w:t xml:space="preserve"> (nt. hemoglobinopaatiad, luuüdi puudulikus, ESA resistsensus)</w:t>
      </w:r>
    </w:p>
    <w:p w14:paraId="1A16C104" w14:textId="2A9CB455" w:rsidR="0041615D" w:rsidRPr="00B00803" w:rsidRDefault="00E1478A" w:rsidP="007D0211">
      <w:pPr>
        <w:widowControl w:val="0"/>
        <w:autoSpaceDE w:val="0"/>
        <w:autoSpaceDN w:val="0"/>
        <w:adjustRightInd w:val="0"/>
        <w:spacing w:after="240"/>
        <w:jc w:val="both"/>
        <w:rPr>
          <w:rFonts w:ascii="Times" w:hAnsi="Times" w:cs="Times"/>
          <w:i/>
          <w:sz w:val="28"/>
          <w:szCs w:val="28"/>
          <w:lang w:val="en-US"/>
        </w:rPr>
      </w:pPr>
      <w:r>
        <w:rPr>
          <w:rFonts w:ascii="Times" w:hAnsi="Times" w:cs="Times"/>
          <w:i/>
          <w:sz w:val="28"/>
          <w:szCs w:val="28"/>
          <w:lang w:val="en-US"/>
        </w:rPr>
        <w:t>-ESA ravi riski</w:t>
      </w:r>
      <w:r w:rsidR="0041615D" w:rsidRPr="00B00803">
        <w:rPr>
          <w:rFonts w:ascii="Times" w:hAnsi="Times" w:cs="Times"/>
          <w:i/>
          <w:sz w:val="28"/>
          <w:szCs w:val="28"/>
          <w:lang w:val="en-US"/>
        </w:rPr>
        <w:t>d võivad ületada kasu (nt. pahaloomuline kasvaja anamneesis või aktiivne, eelnev insult)</w:t>
      </w:r>
    </w:p>
    <w:p w14:paraId="1953DBD8" w14:textId="77777777" w:rsidR="00B72C09" w:rsidRPr="00B00803" w:rsidRDefault="00B72C09" w:rsidP="00E1478A">
      <w:pPr>
        <w:pStyle w:val="ListParagraph"/>
        <w:widowControl w:val="0"/>
        <w:numPr>
          <w:ilvl w:val="0"/>
          <w:numId w:val="25"/>
        </w:numPr>
        <w:autoSpaceDE w:val="0"/>
        <w:autoSpaceDN w:val="0"/>
        <w:adjustRightInd w:val="0"/>
        <w:spacing w:after="240"/>
        <w:ind w:left="0" w:firstLine="0"/>
        <w:jc w:val="both"/>
        <w:rPr>
          <w:rFonts w:ascii="Times" w:hAnsi="Times" w:cs="Times"/>
          <w:b/>
          <w:sz w:val="28"/>
          <w:szCs w:val="28"/>
          <w:lang w:val="en-US"/>
        </w:rPr>
      </w:pPr>
      <w:r w:rsidRPr="00B00803">
        <w:rPr>
          <w:rFonts w:ascii="Times" w:hAnsi="Times" w:cs="Times"/>
          <w:b/>
          <w:sz w:val="28"/>
          <w:szCs w:val="28"/>
          <w:lang w:val="en-US"/>
        </w:rPr>
        <w:t>4.1.4: We suggest that the decision to transfuse a CKD patient with non-acute anemia should not be based on any arbitrary Hb threshold, but should be determined by the occurrence of symptoms caused by anemia. (2C)</w:t>
      </w:r>
    </w:p>
    <w:p w14:paraId="6757B194" w14:textId="3109FD80" w:rsidR="006E7867" w:rsidRPr="00B00803" w:rsidRDefault="006E7867" w:rsidP="007D0211">
      <w:pPr>
        <w:widowControl w:val="0"/>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4.</w:t>
      </w:r>
      <w:r w:rsidR="003F6B71" w:rsidRPr="00B00803">
        <w:rPr>
          <w:rFonts w:ascii="Times" w:hAnsi="Times" w:cs="Times"/>
          <w:b/>
          <w:sz w:val="28"/>
          <w:szCs w:val="28"/>
          <w:lang w:val="en-US"/>
        </w:rPr>
        <w:t>1.4: Me aravame, et</w:t>
      </w:r>
      <w:r w:rsidRPr="00B00803">
        <w:rPr>
          <w:rFonts w:ascii="Times" w:hAnsi="Times" w:cs="Times"/>
          <w:b/>
          <w:sz w:val="28"/>
          <w:szCs w:val="28"/>
          <w:lang w:val="en-US"/>
        </w:rPr>
        <w:t xml:space="preserve"> otsus </w:t>
      </w:r>
      <w:r w:rsidR="003F6B71" w:rsidRPr="00B00803">
        <w:rPr>
          <w:rFonts w:ascii="Times" w:hAnsi="Times" w:cs="Times"/>
          <w:b/>
          <w:sz w:val="28"/>
          <w:szCs w:val="28"/>
          <w:lang w:val="en-US"/>
        </w:rPr>
        <w:t xml:space="preserve">teha vereülekannet </w:t>
      </w:r>
      <w:r w:rsidRPr="00B00803">
        <w:rPr>
          <w:rFonts w:ascii="Times" w:hAnsi="Times" w:cs="Times"/>
          <w:b/>
          <w:sz w:val="28"/>
          <w:szCs w:val="28"/>
          <w:lang w:val="en-US"/>
        </w:rPr>
        <w:t>KNHga patsiendil mitte-ägeda aneemiaga ei peaks põhinema suvalise</w:t>
      </w:r>
      <w:r w:rsidR="003F6B71" w:rsidRPr="00B00803">
        <w:rPr>
          <w:rFonts w:ascii="Times" w:hAnsi="Times" w:cs="Times"/>
          <w:b/>
          <w:sz w:val="28"/>
          <w:szCs w:val="28"/>
          <w:lang w:val="en-US"/>
        </w:rPr>
        <w:t>l Hgb tasemel, vaid an</w:t>
      </w:r>
      <w:r w:rsidR="00E1478A">
        <w:rPr>
          <w:rFonts w:ascii="Times" w:hAnsi="Times" w:cs="Times"/>
          <w:b/>
          <w:sz w:val="28"/>
          <w:szCs w:val="28"/>
          <w:lang w:val="en-US"/>
        </w:rPr>
        <w:t>eemia sümptomide esi</w:t>
      </w:r>
      <w:r w:rsidR="003F6B71" w:rsidRPr="00B00803">
        <w:rPr>
          <w:rFonts w:ascii="Times" w:hAnsi="Times" w:cs="Times"/>
          <w:b/>
          <w:sz w:val="28"/>
          <w:szCs w:val="28"/>
          <w:lang w:val="en-US"/>
        </w:rPr>
        <w:t>nemisel (2C)</w:t>
      </w:r>
    </w:p>
    <w:p w14:paraId="34879A34" w14:textId="77777777" w:rsidR="00CA132A" w:rsidRPr="00B00803" w:rsidRDefault="00CA132A" w:rsidP="007D0211">
      <w:pPr>
        <w:jc w:val="both"/>
        <w:rPr>
          <w:rFonts w:ascii="Times" w:hAnsi="Times"/>
          <w:b/>
          <w:sz w:val="28"/>
          <w:szCs w:val="28"/>
          <w:lang w:val="en-US" w:eastAsia="en-US"/>
        </w:rPr>
      </w:pPr>
    </w:p>
    <w:p w14:paraId="57C964AC" w14:textId="77777777" w:rsidR="007D1947" w:rsidRPr="00B00803" w:rsidRDefault="007D1947" w:rsidP="007D0211">
      <w:pPr>
        <w:widowControl w:val="0"/>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4.2: In certain acute clinical situations, we suggest patients are transfused when the benefits of red cell transfusions outweigh the risks; these include (2C):</w:t>
      </w:r>
    </w:p>
    <w:p w14:paraId="6428081A" w14:textId="31FBFF05" w:rsidR="007D1947" w:rsidRPr="00B00803" w:rsidRDefault="002F5BC4" w:rsidP="007D0211">
      <w:pPr>
        <w:widowControl w:val="0"/>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w:t>
      </w:r>
      <w:r w:rsidR="007D1947" w:rsidRPr="00B00803">
        <w:rPr>
          <w:rFonts w:ascii="Times" w:hAnsi="Times" w:cs="Times"/>
          <w:b/>
          <w:sz w:val="28"/>
          <w:szCs w:val="28"/>
          <w:lang w:val="en-US"/>
        </w:rPr>
        <w:t>When rapid correction of anemia is required to stabilize the patient’s condition (e.g., acute hemorrhage, unstable coronary artery disease)</w:t>
      </w:r>
    </w:p>
    <w:p w14:paraId="6ECBC3AE" w14:textId="6D667BDF" w:rsidR="007D1947" w:rsidRPr="00B00803" w:rsidRDefault="002F5BC4" w:rsidP="007D0211">
      <w:pPr>
        <w:widowControl w:val="0"/>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w:t>
      </w:r>
      <w:r w:rsidR="00E1478A">
        <w:rPr>
          <w:rFonts w:ascii="Times" w:hAnsi="Times" w:cs="Times"/>
          <w:b/>
          <w:sz w:val="28"/>
          <w:szCs w:val="28"/>
          <w:lang w:val="en-US"/>
        </w:rPr>
        <w:t>When rapid pre</w:t>
      </w:r>
      <w:r w:rsidR="007D1947" w:rsidRPr="00B00803">
        <w:rPr>
          <w:rFonts w:ascii="Times" w:hAnsi="Times" w:cs="Times"/>
          <w:b/>
          <w:sz w:val="28"/>
          <w:szCs w:val="28"/>
          <w:lang w:val="en-US"/>
        </w:rPr>
        <w:t>operative Hb correction is required</w:t>
      </w:r>
    </w:p>
    <w:p w14:paraId="7C3609DE" w14:textId="783198FD" w:rsidR="002F5BC4" w:rsidRPr="00B00803" w:rsidRDefault="00E1478A" w:rsidP="007D0211">
      <w:pPr>
        <w:widowControl w:val="0"/>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4.2: Me arvame, et võib</w:t>
      </w:r>
      <w:r w:rsidR="002F5BC4" w:rsidRPr="00B00803">
        <w:rPr>
          <w:rFonts w:ascii="Times" w:hAnsi="Times" w:cs="Times"/>
          <w:b/>
          <w:sz w:val="28"/>
          <w:szCs w:val="28"/>
          <w:lang w:val="en-US"/>
        </w:rPr>
        <w:t xml:space="preserve"> teha v</w:t>
      </w:r>
      <w:r w:rsidR="00CA3AE9">
        <w:rPr>
          <w:rFonts w:ascii="Times" w:hAnsi="Times" w:cs="Times"/>
          <w:b/>
          <w:sz w:val="28"/>
          <w:szCs w:val="28"/>
          <w:lang w:val="en-US"/>
        </w:rPr>
        <w:t>ereülekannet patsiendile</w:t>
      </w:r>
      <w:r w:rsidR="002F5BC4" w:rsidRPr="00B00803">
        <w:rPr>
          <w:rFonts w:ascii="Times" w:hAnsi="Times" w:cs="Times"/>
          <w:b/>
          <w:sz w:val="28"/>
          <w:szCs w:val="28"/>
          <w:lang w:val="en-US"/>
        </w:rPr>
        <w:t xml:space="preserve"> kliinilises olukorras kui vereülekande kasu ületab riski (2C):</w:t>
      </w:r>
    </w:p>
    <w:p w14:paraId="7A712A03" w14:textId="77777777" w:rsidR="002F5BC4" w:rsidRPr="00B00803" w:rsidRDefault="002F5BC4" w:rsidP="007D0211">
      <w:pPr>
        <w:widowControl w:val="0"/>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-kui äge aneemia korrektsioon on vajalik, et stabiliseerida patsiendi seisundit (nt. äge verejooks, ebastabiilne koronaarhaigus)</w:t>
      </w:r>
    </w:p>
    <w:p w14:paraId="7181803B" w14:textId="10214F2C" w:rsidR="002F5BC4" w:rsidRPr="00B00803" w:rsidRDefault="002F5BC4" w:rsidP="007D0211">
      <w:pPr>
        <w:widowControl w:val="0"/>
        <w:autoSpaceDE w:val="0"/>
        <w:autoSpaceDN w:val="0"/>
        <w:adjustRightInd w:val="0"/>
        <w:spacing w:after="240"/>
        <w:jc w:val="both"/>
        <w:rPr>
          <w:rFonts w:ascii="Times" w:hAnsi="Times" w:cs="Times"/>
          <w:b/>
          <w:sz w:val="28"/>
          <w:szCs w:val="28"/>
          <w:lang w:val="en-US"/>
        </w:rPr>
      </w:pPr>
      <w:r w:rsidRPr="00B00803">
        <w:rPr>
          <w:rFonts w:ascii="Times" w:hAnsi="Times" w:cs="Times"/>
          <w:b/>
          <w:sz w:val="28"/>
          <w:szCs w:val="28"/>
          <w:lang w:val="en-US"/>
        </w:rPr>
        <w:t>-kui kiire preoperatiivne Hgb korrigeerimine on vajalik</w:t>
      </w:r>
    </w:p>
    <w:p w14:paraId="6F9F2353" w14:textId="77777777" w:rsidR="00822480" w:rsidRDefault="00822480" w:rsidP="00107F62">
      <w:pPr>
        <w:rPr>
          <w:rFonts w:ascii="Times" w:hAnsi="Times"/>
          <w:b/>
          <w:sz w:val="32"/>
          <w:szCs w:val="32"/>
          <w:lang w:val="en-US" w:eastAsia="en-US"/>
        </w:rPr>
      </w:pPr>
    </w:p>
    <w:p w14:paraId="471B2BA0" w14:textId="77777777" w:rsidR="00822480" w:rsidRDefault="00822480" w:rsidP="00107F62">
      <w:pPr>
        <w:rPr>
          <w:rFonts w:ascii="Times" w:hAnsi="Times"/>
          <w:b/>
          <w:sz w:val="32"/>
          <w:szCs w:val="32"/>
          <w:lang w:val="en-US" w:eastAsia="en-US"/>
        </w:rPr>
      </w:pPr>
    </w:p>
    <w:p w14:paraId="639D5E83" w14:textId="2821262D" w:rsidR="008139B9" w:rsidRDefault="008139B9" w:rsidP="00107F62">
      <w:pPr>
        <w:rPr>
          <w:rFonts w:ascii="Times" w:hAnsi="Times"/>
          <w:b/>
          <w:sz w:val="32"/>
          <w:szCs w:val="32"/>
          <w:lang w:val="en-US" w:eastAsia="en-US"/>
        </w:rPr>
      </w:pPr>
      <w:r w:rsidRPr="00A4101A">
        <w:rPr>
          <w:rFonts w:ascii="Times" w:hAnsi="Times"/>
          <w:b/>
          <w:sz w:val="32"/>
          <w:szCs w:val="32"/>
          <w:lang w:val="en-US" w:eastAsia="en-US"/>
        </w:rPr>
        <w:t xml:space="preserve">NICE </w:t>
      </w:r>
      <w:r w:rsidR="00283D59" w:rsidRPr="00A4101A">
        <w:rPr>
          <w:rFonts w:ascii="Times" w:hAnsi="Times"/>
          <w:b/>
          <w:sz w:val="32"/>
          <w:szCs w:val="32"/>
          <w:lang w:val="en-US" w:eastAsia="en-US"/>
        </w:rPr>
        <w:t xml:space="preserve">CKD guideline </w:t>
      </w:r>
      <w:r w:rsidR="0083455D" w:rsidRPr="00A4101A">
        <w:rPr>
          <w:rFonts w:ascii="Times" w:hAnsi="Times"/>
          <w:b/>
          <w:sz w:val="32"/>
          <w:szCs w:val="32"/>
          <w:lang w:val="en-US" w:eastAsia="en-US"/>
        </w:rPr>
        <w:t>(lk. 392</w:t>
      </w:r>
      <w:r w:rsidRPr="00A4101A">
        <w:rPr>
          <w:rFonts w:ascii="Times" w:hAnsi="Times"/>
          <w:b/>
          <w:sz w:val="32"/>
          <w:szCs w:val="32"/>
          <w:lang w:val="en-US" w:eastAsia="en-US"/>
        </w:rPr>
        <w:t>)</w:t>
      </w:r>
    </w:p>
    <w:p w14:paraId="43E0AD1F" w14:textId="77777777" w:rsidR="00B00803" w:rsidRPr="00A4101A" w:rsidRDefault="00B00803" w:rsidP="00107F62">
      <w:pPr>
        <w:rPr>
          <w:rFonts w:ascii="Times" w:hAnsi="Times"/>
          <w:b/>
          <w:sz w:val="32"/>
          <w:szCs w:val="32"/>
          <w:lang w:val="en-US" w:eastAsia="en-US"/>
        </w:rPr>
      </w:pPr>
    </w:p>
    <w:p w14:paraId="2287489D" w14:textId="77777777" w:rsidR="008139B9" w:rsidRPr="00B00803" w:rsidRDefault="008139B9" w:rsidP="008139B9">
      <w:pPr>
        <w:widowControl w:val="0"/>
        <w:autoSpaceDE w:val="0"/>
        <w:autoSpaceDN w:val="0"/>
        <w:adjustRightInd w:val="0"/>
        <w:spacing w:after="240"/>
        <w:rPr>
          <w:rFonts w:ascii="Times" w:hAnsi="Times" w:cs="Times"/>
          <w:sz w:val="28"/>
          <w:szCs w:val="28"/>
          <w:u w:val="single"/>
          <w:lang w:val="en-US"/>
        </w:rPr>
      </w:pPr>
      <w:r w:rsidRPr="00B00803">
        <w:rPr>
          <w:rFonts w:ascii="Times" w:hAnsi="Times" w:cs="Calibri"/>
          <w:b/>
          <w:bCs/>
          <w:sz w:val="28"/>
          <w:szCs w:val="28"/>
          <w:u w:val="single"/>
          <w:lang w:val="en-US"/>
        </w:rPr>
        <w:t>13.1 Anaemia identification in people with CKD</w:t>
      </w:r>
    </w:p>
    <w:p w14:paraId="7F60D209" w14:textId="1456CE05" w:rsidR="004A2028" w:rsidRPr="00B00803" w:rsidRDefault="008139B9" w:rsidP="004A2028">
      <w:pPr>
        <w:widowControl w:val="0"/>
        <w:numPr>
          <w:ilvl w:val="0"/>
          <w:numId w:val="17"/>
        </w:numPr>
        <w:tabs>
          <w:tab w:val="left" w:pos="220"/>
          <w:tab w:val="left" w:pos="720"/>
        </w:tabs>
        <w:autoSpaceDE w:val="0"/>
        <w:autoSpaceDN w:val="0"/>
        <w:adjustRightInd w:val="0"/>
        <w:spacing w:after="240"/>
        <w:ind w:hanging="720"/>
        <w:rPr>
          <w:rFonts w:ascii="Times" w:hAnsi="Times" w:cs="Times"/>
          <w:sz w:val="28"/>
          <w:szCs w:val="28"/>
          <w:lang w:val="en-US"/>
        </w:rPr>
      </w:pPr>
      <w:r w:rsidRPr="00B00803">
        <w:rPr>
          <w:rFonts w:ascii="Times" w:hAnsi="Times" w:cs="Calibri"/>
          <w:b/>
          <w:bCs/>
          <w:sz w:val="28"/>
          <w:szCs w:val="28"/>
          <w:lang w:val="en-US"/>
        </w:rPr>
        <w:t xml:space="preserve">NHANES III </w:t>
      </w:r>
      <w:r w:rsidRPr="00B00803">
        <w:rPr>
          <w:rFonts w:ascii="Times" w:hAnsi="Times" w:cs="Times"/>
          <w:sz w:val="28"/>
          <w:szCs w:val="28"/>
          <w:lang w:val="en-US"/>
        </w:rPr>
        <w:t> </w:t>
      </w:r>
      <w:r w:rsidR="007D3148" w:rsidRPr="00B00803">
        <w:rPr>
          <w:rFonts w:ascii="Times" w:hAnsi="Times" w:cs="Times"/>
          <w:sz w:val="28"/>
          <w:szCs w:val="28"/>
          <w:lang w:val="en-US"/>
        </w:rPr>
        <w:t>US (</w:t>
      </w:r>
      <w:r w:rsidR="007D3148" w:rsidRPr="00B00803">
        <w:rPr>
          <w:rFonts w:ascii="Times" w:hAnsi="Times" w:cs="Calibri"/>
          <w:i/>
          <w:iCs/>
          <w:sz w:val="28"/>
          <w:szCs w:val="28"/>
          <w:lang w:val="en-US"/>
        </w:rPr>
        <w:t xml:space="preserve"> Coresh J, Astor BC, Greene T et al. Prevalence of chronic kidney disease and decreased kidney function in the adult US population: Third National Health and Nutrition Examination Survey. American Journal of Kidney Diseases 2003; 41(1):1-12.)</w:t>
      </w:r>
    </w:p>
    <w:p w14:paraId="52F9DACA" w14:textId="77777777" w:rsidR="004A2028" w:rsidRPr="00B00803" w:rsidRDefault="007D3148" w:rsidP="00D0245A">
      <w:pPr>
        <w:widowControl w:val="0"/>
        <w:numPr>
          <w:ilvl w:val="0"/>
          <w:numId w:val="17"/>
        </w:numPr>
        <w:tabs>
          <w:tab w:val="left" w:pos="0"/>
          <w:tab w:val="left" w:pos="220"/>
        </w:tabs>
        <w:autoSpaceDE w:val="0"/>
        <w:autoSpaceDN w:val="0"/>
        <w:adjustRightInd w:val="0"/>
        <w:spacing w:after="240"/>
        <w:ind w:left="0" w:firstLine="0"/>
        <w:jc w:val="both"/>
        <w:rPr>
          <w:rFonts w:ascii="Times" w:hAnsi="Times" w:cs="Times"/>
          <w:b/>
          <w:sz w:val="28"/>
          <w:szCs w:val="28"/>
          <w:lang w:val="en-US"/>
        </w:rPr>
      </w:pPr>
      <w:r w:rsidRPr="00B00803">
        <w:rPr>
          <w:rFonts w:ascii="Times" w:hAnsi="Times" w:cs="Calibri"/>
          <w:b/>
          <w:iCs/>
          <w:sz w:val="28"/>
          <w:szCs w:val="28"/>
          <w:lang w:val="en-US"/>
        </w:rPr>
        <w:t>NEOERICA project UK,</w:t>
      </w:r>
      <w:r w:rsidRPr="00B00803">
        <w:rPr>
          <w:rFonts w:ascii="Times" w:hAnsi="Times" w:cs="Calibri"/>
          <w:iCs/>
          <w:sz w:val="28"/>
          <w:szCs w:val="28"/>
          <w:lang w:val="en-US"/>
        </w:rPr>
        <w:t xml:space="preserve"> </w:t>
      </w:r>
      <w:r w:rsidRPr="00B00803">
        <w:rPr>
          <w:rFonts w:ascii="Times" w:hAnsi="Times" w:cs="Calibri"/>
          <w:b/>
          <w:bCs/>
          <w:sz w:val="28"/>
          <w:szCs w:val="28"/>
          <w:lang w:val="en-US"/>
        </w:rPr>
        <w:t xml:space="preserve">anaemia identification in CKD: prevalence of Hb &lt;11 g/dl in the general population </w:t>
      </w:r>
      <w:r w:rsidRPr="00B00803">
        <w:rPr>
          <w:rFonts w:ascii="Times" w:hAnsi="Times" w:cs="Calibri"/>
          <w:bCs/>
          <w:i/>
          <w:sz w:val="28"/>
          <w:szCs w:val="28"/>
          <w:lang w:val="en-US"/>
        </w:rPr>
        <w:t>(</w:t>
      </w:r>
      <w:r w:rsidRPr="00B00803">
        <w:rPr>
          <w:rFonts w:ascii="Times" w:hAnsi="Times" w:cs="Calibri"/>
          <w:i/>
          <w:iCs/>
          <w:sz w:val="28"/>
          <w:szCs w:val="28"/>
          <w:lang w:val="en-US"/>
        </w:rPr>
        <w:t>Stevens PE, O'Donoghue DJ, de Lusignan S et al. Chronic kidney disease management in the United Kingdom: NEOERICA project results. Kidney International 2007; 72(1):92– 99).)</w:t>
      </w:r>
    </w:p>
    <w:p w14:paraId="064D4864" w14:textId="228628BC" w:rsidR="007D3148" w:rsidRPr="00B00803" w:rsidRDefault="008139B9" w:rsidP="00D0245A">
      <w:pPr>
        <w:widowControl w:val="0"/>
        <w:tabs>
          <w:tab w:val="left" w:pos="0"/>
          <w:tab w:val="left" w:pos="220"/>
        </w:tabs>
        <w:autoSpaceDE w:val="0"/>
        <w:autoSpaceDN w:val="0"/>
        <w:adjustRightInd w:val="0"/>
        <w:spacing w:after="240"/>
        <w:jc w:val="both"/>
        <w:rPr>
          <w:rFonts w:ascii="Times" w:hAnsi="Times" w:cs="Times"/>
          <w:b/>
          <w:sz w:val="28"/>
          <w:szCs w:val="28"/>
          <w:lang w:val="en-US"/>
        </w:rPr>
      </w:pPr>
      <w:r w:rsidRPr="00B00803">
        <w:rPr>
          <w:rFonts w:ascii="Times" w:hAnsi="Times" w:cs="Calibri"/>
          <w:sz w:val="28"/>
          <w:szCs w:val="28"/>
          <w:lang w:val="en-US"/>
        </w:rPr>
        <w:t>In the UK we know that from primary care data 85% of patients who have had a serum creatinine measurement have also had their haemoglobin level measured.</w:t>
      </w:r>
      <w:r w:rsidRPr="00B00803">
        <w:rPr>
          <w:rFonts w:ascii="Times" w:hAnsi="Times" w:cs="Calibri"/>
          <w:position w:val="13"/>
          <w:sz w:val="28"/>
          <w:szCs w:val="28"/>
          <w:lang w:val="en-US"/>
        </w:rPr>
        <w:t xml:space="preserve"> </w:t>
      </w:r>
      <w:r w:rsidRPr="00B00803">
        <w:rPr>
          <w:rFonts w:ascii="Times" w:hAnsi="Times" w:cs="Calibri"/>
          <w:sz w:val="28"/>
          <w:szCs w:val="28"/>
          <w:lang w:val="en-US"/>
        </w:rPr>
        <w:t>This study demonstrated that the prevalence of anaemia rises sharply from CKD stage 3b onwards (Table 130), suggesting the importance of testing for anaemia at levels of GFR &lt;45 ml/min/1.73 m</w:t>
      </w:r>
      <w:r w:rsidRPr="00B00803">
        <w:rPr>
          <w:rFonts w:ascii="Times" w:hAnsi="Times" w:cs="Calibri"/>
          <w:position w:val="13"/>
          <w:sz w:val="28"/>
          <w:szCs w:val="28"/>
          <w:lang w:val="en-US"/>
        </w:rPr>
        <w:t>2</w:t>
      </w:r>
      <w:r w:rsidRPr="00B00803">
        <w:rPr>
          <w:rFonts w:ascii="Times" w:hAnsi="Times" w:cs="Calibri"/>
          <w:sz w:val="28"/>
          <w:szCs w:val="28"/>
          <w:lang w:val="en-US"/>
        </w:rPr>
        <w:t xml:space="preserve">. </w:t>
      </w:r>
    </w:p>
    <w:p w14:paraId="7B4EFE04" w14:textId="10A277F5" w:rsidR="00C4731D" w:rsidRPr="00B00803" w:rsidRDefault="008139B9" w:rsidP="00B00803">
      <w:pPr>
        <w:widowControl w:val="0"/>
        <w:tabs>
          <w:tab w:val="left" w:pos="220"/>
          <w:tab w:val="left" w:pos="720"/>
        </w:tabs>
        <w:autoSpaceDE w:val="0"/>
        <w:autoSpaceDN w:val="0"/>
        <w:adjustRightInd w:val="0"/>
        <w:spacing w:after="240"/>
        <w:jc w:val="both"/>
        <w:rPr>
          <w:rFonts w:ascii="Times" w:hAnsi="Times" w:cs="Times"/>
          <w:sz w:val="28"/>
          <w:szCs w:val="28"/>
          <w:lang w:val="en-US"/>
        </w:rPr>
      </w:pPr>
      <w:r w:rsidRPr="00B00803">
        <w:rPr>
          <w:rFonts w:ascii="Times" w:hAnsi="Times" w:cs="Calibri"/>
          <w:i/>
          <w:iCs/>
          <w:sz w:val="28"/>
          <w:szCs w:val="28"/>
          <w:lang w:val="en-US"/>
        </w:rPr>
        <w:t xml:space="preserve"> </w:t>
      </w:r>
      <w:r w:rsidR="00C4731D" w:rsidRPr="00B00803">
        <w:rPr>
          <w:rFonts w:ascii="Times" w:hAnsi="Times" w:cs="Calibri"/>
          <w:sz w:val="28"/>
          <w:szCs w:val="28"/>
          <w:lang w:val="en-US"/>
        </w:rPr>
        <w:t>NICE clinical guideline 114 (‘Anaemia management in people with CKD’)</w:t>
      </w:r>
      <w:r w:rsidR="00C4731D" w:rsidRPr="00B00803">
        <w:rPr>
          <w:rFonts w:ascii="Times" w:hAnsi="Times" w:cs="Calibri"/>
          <w:position w:val="13"/>
          <w:sz w:val="28"/>
          <w:szCs w:val="28"/>
          <w:lang w:val="en-US"/>
        </w:rPr>
        <w:t xml:space="preserve">273 </w:t>
      </w:r>
      <w:r w:rsidR="00C4731D" w:rsidRPr="00B00803">
        <w:rPr>
          <w:rFonts w:ascii="Times" w:hAnsi="Times" w:cs="Calibri"/>
          <w:sz w:val="28"/>
          <w:szCs w:val="28"/>
          <w:lang w:val="en-US"/>
        </w:rPr>
        <w:t>recommended that investigation and management of anaemia should be considered in people with anaemia of CKD when their haemoglobin (Hb) level falls to 11g.dl or less or they develop symptoms attributable to anaemia (such as tiredness, shortness of breath, lethargy and palpatations). The guideline was wr</w:t>
      </w:r>
      <w:r w:rsidR="004A2028" w:rsidRPr="00B00803">
        <w:rPr>
          <w:rFonts w:ascii="Times" w:hAnsi="Times" w:cs="Calibri"/>
          <w:sz w:val="28"/>
          <w:szCs w:val="28"/>
          <w:lang w:val="en-US"/>
        </w:rPr>
        <w:t>itten for people with a GFR &lt;60</w:t>
      </w:r>
      <w:r w:rsidR="00C4731D" w:rsidRPr="00B00803">
        <w:rPr>
          <w:rFonts w:ascii="Times" w:hAnsi="Times" w:cs="Calibri"/>
          <w:sz w:val="28"/>
          <w:szCs w:val="28"/>
          <w:lang w:val="en-US"/>
        </w:rPr>
        <w:t>ml/min/1.73 m</w:t>
      </w:r>
      <w:r w:rsidR="00C4731D" w:rsidRPr="00B00803">
        <w:rPr>
          <w:rFonts w:ascii="Times" w:hAnsi="Times" w:cs="Calibri"/>
          <w:position w:val="13"/>
          <w:sz w:val="28"/>
          <w:szCs w:val="28"/>
          <w:lang w:val="en-US"/>
        </w:rPr>
        <w:t xml:space="preserve">2 </w:t>
      </w:r>
      <w:r w:rsidR="00C4731D" w:rsidRPr="00B00803">
        <w:rPr>
          <w:rFonts w:ascii="Times" w:hAnsi="Times" w:cs="Calibri"/>
          <w:sz w:val="28"/>
          <w:szCs w:val="28"/>
          <w:lang w:val="en-US"/>
        </w:rPr>
        <w:t>already known to have a haemoglobin level less than 11 g/dl but gave no recommendations about testing for anaemia.</w:t>
      </w:r>
    </w:p>
    <w:p w14:paraId="10FC56F3" w14:textId="77777777" w:rsidR="008139B9" w:rsidRPr="00B00803" w:rsidRDefault="008139B9" w:rsidP="004A2028">
      <w:pPr>
        <w:pStyle w:val="ListParagraph"/>
        <w:widowControl w:val="0"/>
        <w:numPr>
          <w:ilvl w:val="0"/>
          <w:numId w:val="25"/>
        </w:numPr>
        <w:tabs>
          <w:tab w:val="left" w:pos="220"/>
          <w:tab w:val="left" w:pos="720"/>
        </w:tabs>
        <w:autoSpaceDE w:val="0"/>
        <w:autoSpaceDN w:val="0"/>
        <w:adjustRightInd w:val="0"/>
        <w:spacing w:after="240"/>
        <w:rPr>
          <w:rFonts w:ascii="Times" w:hAnsi="Times" w:cs="Times"/>
          <w:sz w:val="28"/>
          <w:szCs w:val="28"/>
          <w:lang w:val="en-US"/>
        </w:rPr>
      </w:pPr>
      <w:r w:rsidRPr="00B00803">
        <w:rPr>
          <w:rFonts w:ascii="Times" w:hAnsi="Times"/>
          <w:b/>
          <w:bCs/>
          <w:sz w:val="28"/>
          <w:szCs w:val="28"/>
          <w:lang w:val="en-US"/>
        </w:rPr>
        <w:t xml:space="preserve">13.1.2  Recommendation </w:t>
      </w:r>
    </w:p>
    <w:p w14:paraId="3BA056CF" w14:textId="0E5257EA" w:rsidR="008139B9" w:rsidRPr="00B00803" w:rsidRDefault="008139B9" w:rsidP="008139B9">
      <w:pPr>
        <w:widowControl w:val="0"/>
        <w:autoSpaceDE w:val="0"/>
        <w:autoSpaceDN w:val="0"/>
        <w:adjustRightInd w:val="0"/>
        <w:spacing w:after="240"/>
        <w:rPr>
          <w:rFonts w:ascii="Times" w:hAnsi="Times" w:cs="Calibri"/>
          <w:b/>
          <w:bCs/>
          <w:sz w:val="28"/>
          <w:szCs w:val="28"/>
          <w:lang w:val="en-US"/>
        </w:rPr>
      </w:pPr>
      <w:r w:rsidRPr="00B00803">
        <w:rPr>
          <w:rFonts w:ascii="Times" w:hAnsi="Times" w:cs="Calibri"/>
          <w:b/>
          <w:bCs/>
          <w:sz w:val="28"/>
          <w:szCs w:val="28"/>
          <w:lang w:val="en-US"/>
        </w:rPr>
        <w:t>If not already measured, check the haemoglobin level in people with a GFR of less than 45 ml/min/1.73 m</w:t>
      </w:r>
      <w:r w:rsidRPr="00B00803">
        <w:rPr>
          <w:rFonts w:ascii="Times" w:hAnsi="Times" w:cs="Calibri"/>
          <w:b/>
          <w:bCs/>
          <w:position w:val="13"/>
          <w:sz w:val="28"/>
          <w:szCs w:val="28"/>
          <w:lang w:val="en-US"/>
        </w:rPr>
        <w:t xml:space="preserve">2 </w:t>
      </w:r>
      <w:r w:rsidRPr="00B00803">
        <w:rPr>
          <w:rFonts w:ascii="Times" w:hAnsi="Times" w:cs="Calibri"/>
          <w:b/>
          <w:bCs/>
          <w:sz w:val="28"/>
          <w:szCs w:val="28"/>
          <w:lang w:val="en-US"/>
        </w:rPr>
        <w:t>(GFR category G3b, G4 or G5) to identify anaemia (haemoglobin less than 110 g/litre (11.0 g/dl), see Anaemia management in people with chronic kidney disease [NICE clinical guideline 114]). Determine the subsequent frequency of testing by the measured value and the clinical circumstances. [2008]</w:t>
      </w:r>
    </w:p>
    <w:p w14:paraId="559CD3E2" w14:textId="713CA923" w:rsidR="004A2028" w:rsidRPr="00B00803" w:rsidRDefault="004A2028" w:rsidP="008139B9">
      <w:pPr>
        <w:widowControl w:val="0"/>
        <w:autoSpaceDE w:val="0"/>
        <w:autoSpaceDN w:val="0"/>
        <w:adjustRightInd w:val="0"/>
        <w:spacing w:after="240"/>
        <w:rPr>
          <w:rFonts w:ascii="Times" w:hAnsi="Times" w:cs="Calibri"/>
          <w:b/>
          <w:bCs/>
          <w:sz w:val="28"/>
          <w:szCs w:val="28"/>
          <w:lang w:val="en-US"/>
        </w:rPr>
      </w:pPr>
      <w:r w:rsidRPr="00B00803">
        <w:rPr>
          <w:rFonts w:ascii="Times" w:hAnsi="Times" w:cs="Calibri"/>
          <w:b/>
          <w:bCs/>
          <w:sz w:val="28"/>
          <w:szCs w:val="28"/>
          <w:lang w:val="en-US"/>
        </w:rPr>
        <w:t>Kontrolli Hgb taset inimestel GFRga &lt; 45ml/min/1,73m2 (G3b, G4, G5), et diagnoosida aneemiat (Hgb tase &lt; 110g/l) kui seda pole veel määratud.</w:t>
      </w:r>
    </w:p>
    <w:p w14:paraId="53B566FC" w14:textId="77777777" w:rsidR="004A2028" w:rsidRPr="004A2028" w:rsidRDefault="004A2028" w:rsidP="008139B9">
      <w:pPr>
        <w:widowControl w:val="0"/>
        <w:autoSpaceDE w:val="0"/>
        <w:autoSpaceDN w:val="0"/>
        <w:adjustRightInd w:val="0"/>
        <w:spacing w:after="240"/>
        <w:rPr>
          <w:rFonts w:ascii="Times" w:hAnsi="Times" w:cs="Times"/>
          <w:lang w:val="en-US"/>
        </w:rPr>
      </w:pPr>
    </w:p>
    <w:p w14:paraId="0645B4C2" w14:textId="1A2CA23B" w:rsidR="00B00803" w:rsidRDefault="00B00803" w:rsidP="00B00803">
      <w:pPr>
        <w:widowControl w:val="0"/>
        <w:autoSpaceDE w:val="0"/>
        <w:autoSpaceDN w:val="0"/>
        <w:adjustRightInd w:val="0"/>
        <w:spacing w:after="240"/>
        <w:rPr>
          <w:rFonts w:ascii="Times" w:hAnsi="Times" w:cs="Times"/>
          <w:b/>
          <w:sz w:val="32"/>
          <w:szCs w:val="32"/>
          <w:lang w:val="en-US"/>
        </w:rPr>
      </w:pPr>
      <w:r w:rsidRPr="00B00803">
        <w:rPr>
          <w:rFonts w:ascii="Times" w:hAnsi="Times" w:cs="Times"/>
          <w:b/>
          <w:sz w:val="32"/>
          <w:szCs w:val="32"/>
          <w:lang w:val="en-US"/>
        </w:rPr>
        <w:t>NICE (NG8): Anaemia Management in Chronic Kidney Disease (Partial update 2015)</w:t>
      </w:r>
    </w:p>
    <w:p w14:paraId="5CB18728" w14:textId="219AF175" w:rsidR="004110A7" w:rsidRDefault="004110A7" w:rsidP="00B00803">
      <w:pPr>
        <w:widowControl w:val="0"/>
        <w:autoSpaceDE w:val="0"/>
        <w:autoSpaceDN w:val="0"/>
        <w:adjustRightInd w:val="0"/>
        <w:spacing w:after="240"/>
        <w:rPr>
          <w:rFonts w:ascii="Times" w:hAnsi="Times" w:cs="Times"/>
          <w:sz w:val="28"/>
          <w:szCs w:val="28"/>
          <w:lang w:val="en-US"/>
        </w:rPr>
      </w:pPr>
      <w:r w:rsidRPr="004110A7">
        <w:rPr>
          <w:rFonts w:ascii="Times" w:hAnsi="Times" w:cs="Times"/>
          <w:sz w:val="28"/>
          <w:szCs w:val="28"/>
          <w:lang w:val="en-US"/>
        </w:rPr>
        <w:t xml:space="preserve">2015 aastal uuendatud ravijuhis aneemia ohta KNHtel. </w:t>
      </w:r>
    </w:p>
    <w:p w14:paraId="502DECDF" w14:textId="0CE4F8E9" w:rsidR="004110A7" w:rsidRDefault="004110A7" w:rsidP="00B00803">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 xml:space="preserve">Käsitleb: </w:t>
      </w:r>
    </w:p>
    <w:p w14:paraId="6DD222BD" w14:textId="25D907CE" w:rsidR="004110A7" w:rsidRDefault="004110A7" w:rsidP="00B00803">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-Aneemia diagnoosimine ja edasine uurimine</w:t>
      </w:r>
    </w:p>
    <w:p w14:paraId="70F35998" w14:textId="77777777" w:rsidR="004110A7" w:rsidRDefault="004110A7" w:rsidP="004110A7">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-Testid rauadefitsiidi kindaks tegemiseks ja ravi efktiivsuse hindamiseks (soovitatud kasutada uuemaid markereid) info uute markerite kohta dialüüsihaigetel</w:t>
      </w:r>
    </w:p>
    <w:p w14:paraId="318BAD2A" w14:textId="046698AE" w:rsidR="004110A7" w:rsidRDefault="004110A7" w:rsidP="00B00803">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-rauaravi</w:t>
      </w:r>
    </w:p>
    <w:p w14:paraId="7F910261" w14:textId="17D37B2D" w:rsidR="004110A7" w:rsidRDefault="004110A7" w:rsidP="00B00803">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-erütropoetiini määramise vajadus</w:t>
      </w:r>
    </w:p>
    <w:p w14:paraId="2607E471" w14:textId="34476150" w:rsidR="004110A7" w:rsidRDefault="004110A7" w:rsidP="00B00803">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-C vitamin, foolhape, karnitiin aneemia ravis</w:t>
      </w:r>
    </w:p>
    <w:p w14:paraId="26C6D0DC" w14:textId="3EE3CAA3" w:rsidR="004110A7" w:rsidRDefault="004110A7" w:rsidP="00B00803">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-vereülekanded</w:t>
      </w:r>
    </w:p>
    <w:p w14:paraId="6EFBF59E" w14:textId="530AA742" w:rsidR="004110A7" w:rsidRDefault="004110A7" w:rsidP="00B00803">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(-ESA ravi)</w:t>
      </w:r>
    </w:p>
    <w:p w14:paraId="7FFC8CF0" w14:textId="77777777" w:rsidR="004110A7" w:rsidRDefault="004110A7" w:rsidP="00B00803">
      <w:pPr>
        <w:widowControl w:val="0"/>
        <w:autoSpaceDE w:val="0"/>
        <w:autoSpaceDN w:val="0"/>
        <w:adjustRightInd w:val="0"/>
        <w:spacing w:after="240"/>
        <w:rPr>
          <w:rFonts w:ascii="Times" w:hAnsi="Times" w:cs="Times"/>
          <w:sz w:val="28"/>
          <w:szCs w:val="28"/>
          <w:lang w:val="en-US"/>
        </w:rPr>
      </w:pPr>
    </w:p>
    <w:p w14:paraId="5E1DF6D3" w14:textId="77777777" w:rsidR="004110A7" w:rsidRPr="004110A7" w:rsidRDefault="004110A7" w:rsidP="00B00803">
      <w:pPr>
        <w:widowControl w:val="0"/>
        <w:autoSpaceDE w:val="0"/>
        <w:autoSpaceDN w:val="0"/>
        <w:adjustRightInd w:val="0"/>
        <w:spacing w:after="240"/>
        <w:rPr>
          <w:rFonts w:ascii="Times" w:hAnsi="Times" w:cs="Times"/>
          <w:sz w:val="28"/>
          <w:szCs w:val="28"/>
          <w:lang w:val="en-US"/>
        </w:rPr>
      </w:pPr>
    </w:p>
    <w:p w14:paraId="273FAF71" w14:textId="49357A4C" w:rsidR="008139B9" w:rsidRDefault="008139B9" w:rsidP="00107F62">
      <w:pPr>
        <w:rPr>
          <w:rFonts w:ascii="Times" w:hAnsi="Times"/>
          <w:b/>
          <w:sz w:val="28"/>
          <w:szCs w:val="28"/>
          <w:lang w:val="en-US" w:eastAsia="en-US"/>
        </w:rPr>
      </w:pPr>
    </w:p>
    <w:p w14:paraId="02E84673" w14:textId="77777777" w:rsidR="00340E0C" w:rsidRPr="00B00803" w:rsidRDefault="00340E0C" w:rsidP="00340E0C">
      <w:pPr>
        <w:widowControl w:val="0"/>
        <w:autoSpaceDE w:val="0"/>
        <w:autoSpaceDN w:val="0"/>
        <w:adjustRightInd w:val="0"/>
        <w:spacing w:after="240"/>
        <w:rPr>
          <w:rFonts w:ascii="Times" w:hAnsi="Times" w:cs="Times"/>
          <w:sz w:val="28"/>
          <w:szCs w:val="28"/>
          <w:u w:val="single"/>
          <w:lang w:val="en-US"/>
        </w:rPr>
      </w:pPr>
      <w:r w:rsidRPr="00B00803">
        <w:rPr>
          <w:rFonts w:ascii="Times" w:hAnsi="Times" w:cs="Times"/>
          <w:sz w:val="28"/>
          <w:szCs w:val="28"/>
          <w:u w:val="single"/>
          <w:lang w:val="en-US"/>
        </w:rPr>
        <w:t>3.2 Complete list of recommendations</w:t>
      </w:r>
    </w:p>
    <w:p w14:paraId="23E36C04" w14:textId="27E17296" w:rsidR="00340E0C" w:rsidRPr="00B00803" w:rsidRDefault="000B3C60" w:rsidP="00FE498E">
      <w:pPr>
        <w:widowControl w:val="0"/>
        <w:tabs>
          <w:tab w:val="left" w:pos="0"/>
          <w:tab w:val="left" w:pos="220"/>
        </w:tabs>
        <w:autoSpaceDE w:val="0"/>
        <w:autoSpaceDN w:val="0"/>
        <w:adjustRightInd w:val="0"/>
        <w:spacing w:after="293"/>
        <w:ind w:left="142"/>
        <w:rPr>
          <w:rFonts w:ascii="Times" w:hAnsi="Times" w:cs="Calibri"/>
          <w:b/>
          <w:sz w:val="28"/>
          <w:szCs w:val="28"/>
          <w:lang w:val="en-US"/>
        </w:rPr>
      </w:pPr>
      <w:r w:rsidRPr="00B00803">
        <w:rPr>
          <w:rFonts w:ascii="Times" w:hAnsi="Times" w:cs="Calibri"/>
          <w:b/>
          <w:sz w:val="28"/>
          <w:szCs w:val="28"/>
          <w:lang w:val="en-US"/>
        </w:rPr>
        <w:t xml:space="preserve">1. </w:t>
      </w:r>
      <w:r w:rsidR="00340E0C" w:rsidRPr="00B00803">
        <w:rPr>
          <w:rFonts w:ascii="Times" w:hAnsi="Times" w:cs="Calibri"/>
          <w:b/>
          <w:sz w:val="28"/>
          <w:szCs w:val="28"/>
          <w:lang w:val="en-US"/>
        </w:rPr>
        <w:t xml:space="preserve">Consider investigating and managing anaemia in people with CKD if: </w:t>
      </w:r>
    </w:p>
    <w:p w14:paraId="66B39ECF" w14:textId="250A3DAA" w:rsidR="00340E0C" w:rsidRPr="00B00803" w:rsidRDefault="00340E0C" w:rsidP="00FE498E">
      <w:pPr>
        <w:widowControl w:val="0"/>
        <w:numPr>
          <w:ilvl w:val="1"/>
          <w:numId w:val="17"/>
        </w:numPr>
        <w:tabs>
          <w:tab w:val="left" w:pos="0"/>
          <w:tab w:val="left" w:pos="940"/>
        </w:tabs>
        <w:autoSpaceDE w:val="0"/>
        <w:autoSpaceDN w:val="0"/>
        <w:adjustRightInd w:val="0"/>
        <w:spacing w:after="293"/>
        <w:ind w:left="23" w:hanging="23"/>
        <w:jc w:val="both"/>
        <w:rPr>
          <w:rFonts w:ascii="Times" w:hAnsi="Times" w:cs="Calibri"/>
          <w:b/>
          <w:sz w:val="28"/>
          <w:szCs w:val="28"/>
          <w:lang w:val="en-US"/>
        </w:rPr>
      </w:pPr>
      <w:r w:rsidRPr="00B00803">
        <w:rPr>
          <w:rFonts w:ascii="Times" w:hAnsi="Times" w:cs="Symbol"/>
          <w:b/>
          <w:sz w:val="28"/>
          <w:szCs w:val="28"/>
          <w:lang w:val="en-US"/>
        </w:rPr>
        <w:t></w:t>
      </w:r>
      <w:r w:rsidRPr="00B00803">
        <w:rPr>
          <w:rFonts w:ascii="Times" w:hAnsi="Times" w:cs="Symbol"/>
          <w:b/>
          <w:sz w:val="28"/>
          <w:szCs w:val="28"/>
          <w:lang w:val="en-US"/>
        </w:rPr>
        <w:t></w:t>
      </w:r>
      <w:r w:rsidR="00B00803">
        <w:rPr>
          <w:rFonts w:ascii="Times" w:hAnsi="Times" w:cs="Symbol"/>
          <w:b/>
          <w:sz w:val="28"/>
          <w:szCs w:val="28"/>
          <w:lang w:val="en-US"/>
        </w:rPr>
        <w:t>t</w:t>
      </w:r>
      <w:r w:rsidRPr="00B00803">
        <w:rPr>
          <w:rFonts w:ascii="Times" w:hAnsi="Times" w:cs="Calibri"/>
          <w:b/>
          <w:sz w:val="28"/>
          <w:szCs w:val="28"/>
          <w:lang w:val="en-US"/>
        </w:rPr>
        <w:t>heir Hb level falls to 110 g/litre or less (or</w:t>
      </w:r>
      <w:r w:rsidR="00FE498E">
        <w:rPr>
          <w:rFonts w:ascii="Times" w:hAnsi="Times" w:cs="Calibri"/>
          <w:b/>
          <w:sz w:val="28"/>
          <w:szCs w:val="28"/>
          <w:lang w:val="en-US"/>
        </w:rPr>
        <w:t xml:space="preserve"> 105 g/litre or less if younger </w:t>
      </w:r>
      <w:r w:rsidRPr="00B00803">
        <w:rPr>
          <w:rFonts w:ascii="Times" w:hAnsi="Times" w:cs="Calibri"/>
          <w:b/>
          <w:sz w:val="28"/>
          <w:szCs w:val="28"/>
          <w:lang w:val="en-US"/>
        </w:rPr>
        <w:t xml:space="preserve">than 2 years) or </w:t>
      </w:r>
    </w:p>
    <w:p w14:paraId="13E05560" w14:textId="184D5E41" w:rsidR="00340E0C" w:rsidRDefault="00340E0C" w:rsidP="00FE498E">
      <w:pPr>
        <w:widowControl w:val="0"/>
        <w:numPr>
          <w:ilvl w:val="1"/>
          <w:numId w:val="17"/>
        </w:numPr>
        <w:tabs>
          <w:tab w:val="left" w:pos="0"/>
          <w:tab w:val="left" w:pos="940"/>
        </w:tabs>
        <w:autoSpaceDE w:val="0"/>
        <w:autoSpaceDN w:val="0"/>
        <w:adjustRightInd w:val="0"/>
        <w:spacing w:after="293"/>
        <w:ind w:left="23" w:hanging="23"/>
        <w:jc w:val="both"/>
        <w:rPr>
          <w:rFonts w:ascii="Times" w:hAnsi="Times" w:cs="Calibri"/>
          <w:b/>
          <w:sz w:val="28"/>
          <w:szCs w:val="28"/>
          <w:lang w:val="en-US"/>
        </w:rPr>
      </w:pPr>
      <w:r w:rsidRPr="00B00803">
        <w:rPr>
          <w:rFonts w:ascii="Times" w:hAnsi="Times" w:cs="Symbol"/>
          <w:b/>
          <w:sz w:val="28"/>
          <w:szCs w:val="28"/>
          <w:lang w:val="en-US"/>
        </w:rPr>
        <w:t></w:t>
      </w:r>
      <w:r w:rsidRPr="00B00803">
        <w:rPr>
          <w:rFonts w:ascii="Times" w:hAnsi="Times" w:cs="Symbol"/>
          <w:b/>
          <w:sz w:val="28"/>
          <w:szCs w:val="28"/>
          <w:lang w:val="en-US"/>
        </w:rPr>
        <w:t></w:t>
      </w:r>
      <w:r w:rsidRPr="00B00803">
        <w:rPr>
          <w:rFonts w:ascii="Times" w:hAnsi="Times" w:cs="Calibri"/>
          <w:b/>
          <w:sz w:val="28"/>
          <w:szCs w:val="28"/>
          <w:lang w:val="en-US"/>
        </w:rPr>
        <w:t>they develop symptoms attributable</w:t>
      </w:r>
      <w:r w:rsidR="00FE498E">
        <w:rPr>
          <w:rFonts w:ascii="Times" w:hAnsi="Times" w:cs="Calibri"/>
          <w:b/>
          <w:sz w:val="28"/>
          <w:szCs w:val="28"/>
          <w:lang w:val="en-US"/>
        </w:rPr>
        <w:t xml:space="preserve"> to anaemia (such as tiredness, </w:t>
      </w:r>
      <w:r w:rsidRPr="00B00803">
        <w:rPr>
          <w:rFonts w:ascii="Times" w:hAnsi="Times" w:cs="Calibri"/>
          <w:b/>
          <w:sz w:val="28"/>
          <w:szCs w:val="28"/>
          <w:lang w:val="en-US"/>
        </w:rPr>
        <w:t xml:space="preserve">shortness of breath, lethargy and palpitations). [2011] </w:t>
      </w:r>
    </w:p>
    <w:p w14:paraId="60E26093" w14:textId="78CAA1EA" w:rsidR="00E50826" w:rsidRPr="00E50826" w:rsidRDefault="00E50826" w:rsidP="00FE498E">
      <w:pPr>
        <w:widowControl w:val="0"/>
        <w:tabs>
          <w:tab w:val="left" w:pos="940"/>
          <w:tab w:val="left" w:pos="1440"/>
        </w:tabs>
        <w:autoSpaceDE w:val="0"/>
        <w:autoSpaceDN w:val="0"/>
        <w:adjustRightInd w:val="0"/>
        <w:spacing w:after="293"/>
        <w:jc w:val="both"/>
        <w:rPr>
          <w:rFonts w:ascii="Times" w:hAnsi="Times" w:cs="Calibri"/>
          <w:b/>
          <w:sz w:val="28"/>
          <w:szCs w:val="28"/>
          <w:lang w:val="en-US"/>
        </w:rPr>
      </w:pPr>
      <w:r>
        <w:rPr>
          <w:rFonts w:ascii="Times" w:hAnsi="Times" w:cs="Symbol"/>
          <w:b/>
          <w:sz w:val="28"/>
          <w:szCs w:val="28"/>
          <w:lang w:val="en-US"/>
        </w:rPr>
        <w:t>1. Uuri ja tegele aneemiaga KNHga patsientidel kui:</w:t>
      </w:r>
    </w:p>
    <w:p w14:paraId="679FCEBA" w14:textId="405B529B" w:rsidR="00E50826" w:rsidRPr="00E50826" w:rsidRDefault="00E50826" w:rsidP="00FE498E">
      <w:pPr>
        <w:widowControl w:val="0"/>
        <w:tabs>
          <w:tab w:val="left" w:pos="940"/>
          <w:tab w:val="left" w:pos="1440"/>
        </w:tabs>
        <w:autoSpaceDE w:val="0"/>
        <w:autoSpaceDN w:val="0"/>
        <w:adjustRightInd w:val="0"/>
        <w:spacing w:after="293"/>
        <w:jc w:val="both"/>
        <w:rPr>
          <w:rFonts w:ascii="Times" w:hAnsi="Times" w:cs="Calibri"/>
          <w:b/>
          <w:sz w:val="28"/>
          <w:szCs w:val="28"/>
          <w:lang w:val="en-US"/>
        </w:rPr>
      </w:pPr>
      <w:r>
        <w:rPr>
          <w:rFonts w:ascii="Times" w:hAnsi="Times" w:cs="Symbol"/>
          <w:b/>
          <w:sz w:val="28"/>
          <w:szCs w:val="28"/>
          <w:lang w:val="en-US"/>
        </w:rPr>
        <w:t>- Hgb tase on =&lt; 110 g/l või</w:t>
      </w:r>
    </w:p>
    <w:p w14:paraId="2B06D663" w14:textId="29FC787C" w:rsidR="00E50826" w:rsidRPr="00B00803" w:rsidRDefault="00E50826" w:rsidP="00FE498E">
      <w:pPr>
        <w:widowControl w:val="0"/>
        <w:tabs>
          <w:tab w:val="left" w:pos="940"/>
          <w:tab w:val="left" w:pos="1440"/>
        </w:tabs>
        <w:autoSpaceDE w:val="0"/>
        <w:autoSpaceDN w:val="0"/>
        <w:adjustRightInd w:val="0"/>
        <w:spacing w:after="293"/>
        <w:jc w:val="both"/>
        <w:rPr>
          <w:rFonts w:ascii="Times" w:hAnsi="Times" w:cs="Calibri"/>
          <w:b/>
          <w:sz w:val="28"/>
          <w:szCs w:val="28"/>
          <w:lang w:val="en-US"/>
        </w:rPr>
      </w:pPr>
      <w:r>
        <w:rPr>
          <w:rFonts w:ascii="Times" w:hAnsi="Times" w:cs="Symbol"/>
          <w:b/>
          <w:sz w:val="28"/>
          <w:szCs w:val="28"/>
          <w:lang w:val="en-US"/>
        </w:rPr>
        <w:t>- esinev</w:t>
      </w:r>
      <w:r w:rsidR="009206B2">
        <w:rPr>
          <w:rFonts w:ascii="Times" w:hAnsi="Times" w:cs="Symbol"/>
          <w:b/>
          <w:sz w:val="28"/>
          <w:szCs w:val="28"/>
          <w:lang w:val="en-US"/>
        </w:rPr>
        <w:t>ad aneemiaga seotud sümptomid (</w:t>
      </w:r>
      <w:r>
        <w:rPr>
          <w:rFonts w:ascii="Times" w:hAnsi="Times" w:cs="Symbol"/>
          <w:b/>
          <w:sz w:val="28"/>
          <w:szCs w:val="28"/>
          <w:lang w:val="en-US"/>
        </w:rPr>
        <w:t xml:space="preserve">väsimus, õhupuudus, tahhükardia jt.) </w:t>
      </w:r>
    </w:p>
    <w:p w14:paraId="04F03C94" w14:textId="77C43292" w:rsidR="00215D65" w:rsidRPr="009206B2" w:rsidRDefault="00215D65" w:rsidP="009206B2">
      <w:pPr>
        <w:widowControl w:val="0"/>
        <w:tabs>
          <w:tab w:val="left" w:pos="0"/>
          <w:tab w:val="left" w:pos="220"/>
        </w:tabs>
        <w:autoSpaceDE w:val="0"/>
        <w:autoSpaceDN w:val="0"/>
        <w:adjustRightInd w:val="0"/>
        <w:spacing w:after="240"/>
        <w:jc w:val="both"/>
        <w:rPr>
          <w:rFonts w:ascii="Times" w:hAnsi="Times" w:cs="Times"/>
          <w:sz w:val="28"/>
          <w:szCs w:val="28"/>
          <w:lang w:val="en-US"/>
        </w:rPr>
      </w:pPr>
      <w:r w:rsidRPr="009206B2">
        <w:rPr>
          <w:rFonts w:ascii="Times" w:hAnsi="Times" w:cs="Times"/>
          <w:sz w:val="28"/>
          <w:szCs w:val="28"/>
          <w:u w:val="single"/>
          <w:lang w:val="en-US"/>
        </w:rPr>
        <w:t>Quality of evidence</w:t>
      </w:r>
      <w:r w:rsidR="002F7B4C" w:rsidRPr="009206B2">
        <w:rPr>
          <w:rFonts w:ascii="Times" w:hAnsi="Times" w:cs="Times"/>
          <w:sz w:val="28"/>
          <w:szCs w:val="28"/>
          <w:u w:val="single"/>
          <w:lang w:val="en-US"/>
        </w:rPr>
        <w:t>:</w:t>
      </w:r>
      <w:r w:rsidR="002F7B4C" w:rsidRPr="009206B2">
        <w:rPr>
          <w:rFonts w:ascii="Times" w:hAnsi="Times" w:cs="Times"/>
          <w:sz w:val="28"/>
          <w:szCs w:val="28"/>
          <w:lang w:val="en-US"/>
        </w:rPr>
        <w:t xml:space="preserve"> </w:t>
      </w:r>
      <w:r w:rsidRPr="009206B2">
        <w:rPr>
          <w:rFonts w:ascii="Times" w:hAnsi="Times" w:cs="Calibri"/>
          <w:sz w:val="28"/>
          <w:szCs w:val="28"/>
          <w:lang w:val="en-US"/>
        </w:rPr>
        <w:t xml:space="preserve">There was </w:t>
      </w:r>
      <w:r w:rsidRPr="009206B2">
        <w:rPr>
          <w:rFonts w:ascii="Times" w:hAnsi="Times" w:cs="Calibri"/>
          <w:b/>
          <w:sz w:val="28"/>
          <w:szCs w:val="28"/>
          <w:lang w:val="en-US"/>
        </w:rPr>
        <w:t>low to moderate quality evidence</w:t>
      </w:r>
      <w:r w:rsidRPr="009206B2">
        <w:rPr>
          <w:rFonts w:ascii="Times" w:hAnsi="Times" w:cs="Calibri"/>
          <w:sz w:val="28"/>
          <w:szCs w:val="28"/>
          <w:lang w:val="en-US"/>
        </w:rPr>
        <w:t xml:space="preserve"> from </w:t>
      </w:r>
      <w:r w:rsidRPr="009206B2">
        <w:rPr>
          <w:rFonts w:ascii="Times" w:hAnsi="Times" w:cs="Calibri"/>
          <w:b/>
          <w:sz w:val="28"/>
          <w:szCs w:val="28"/>
          <w:lang w:val="en-US"/>
        </w:rPr>
        <w:t>prospective and retrospective cohort studies.</w:t>
      </w:r>
      <w:r w:rsidRPr="009206B2">
        <w:rPr>
          <w:rFonts w:ascii="Times" w:hAnsi="Times" w:cs="Calibri"/>
          <w:sz w:val="28"/>
          <w:szCs w:val="28"/>
          <w:lang w:val="en-US"/>
        </w:rPr>
        <w:t xml:space="preserve"> The majority of the studies were adjusted for confounding factors but the GDG considered that confounding (for example the more severe the chronic kidney disease, the lower the Hb is likely to be) remained an important issue in deciding at which level of Hb to initiate management. </w:t>
      </w:r>
    </w:p>
    <w:p w14:paraId="6F3B255D" w14:textId="7865785B" w:rsidR="00215D65" w:rsidRDefault="00215D65" w:rsidP="009206B2">
      <w:pPr>
        <w:widowControl w:val="0"/>
        <w:autoSpaceDE w:val="0"/>
        <w:autoSpaceDN w:val="0"/>
        <w:adjustRightInd w:val="0"/>
        <w:spacing w:after="240"/>
        <w:jc w:val="both"/>
        <w:rPr>
          <w:rFonts w:ascii="Times" w:hAnsi="Times" w:cs="Calibri"/>
          <w:sz w:val="28"/>
          <w:szCs w:val="28"/>
          <w:lang w:val="en-US"/>
        </w:rPr>
      </w:pPr>
      <w:r w:rsidRPr="009206B2">
        <w:rPr>
          <w:rFonts w:ascii="Times" w:hAnsi="Times" w:cs="Calibri"/>
          <w:sz w:val="28"/>
          <w:szCs w:val="28"/>
          <w:lang w:val="en-US"/>
        </w:rPr>
        <w:t>The 2011 update to the guidance on anaemia in CKD (CG114) indicated that the blood count should be monitored in CKD, without specifying the interval. The GDG for the 2015 update felt that blood count monitoring has to be tailored to the patient, and usually coincides with eGFR testing (to avoid unnecessary needlesticks).</w:t>
      </w:r>
    </w:p>
    <w:p w14:paraId="0944EB58" w14:textId="67517C3A" w:rsidR="00A27C77" w:rsidRPr="00A27C77" w:rsidRDefault="00A27C77" w:rsidP="00A27C77">
      <w:pPr>
        <w:widowControl w:val="0"/>
        <w:tabs>
          <w:tab w:val="left" w:pos="220"/>
          <w:tab w:val="left" w:pos="720"/>
        </w:tabs>
        <w:autoSpaceDE w:val="0"/>
        <w:autoSpaceDN w:val="0"/>
        <w:adjustRightInd w:val="0"/>
        <w:spacing w:after="240"/>
        <w:jc w:val="both"/>
        <w:rPr>
          <w:rFonts w:ascii="Times" w:hAnsi="Times" w:cs="Times"/>
          <w:sz w:val="28"/>
          <w:szCs w:val="28"/>
          <w:u w:val="single"/>
          <w:lang w:val="en-US"/>
        </w:rPr>
      </w:pPr>
      <w:r w:rsidRPr="00A27C77">
        <w:rPr>
          <w:rFonts w:ascii="Times" w:hAnsi="Times" w:cs="Times"/>
          <w:sz w:val="28"/>
          <w:szCs w:val="28"/>
          <w:u w:val="single"/>
          <w:lang w:val="en-US"/>
        </w:rPr>
        <w:t xml:space="preserve">Health economic evidence statements [2011] </w:t>
      </w:r>
      <w:r w:rsidRPr="0007542D">
        <w:rPr>
          <w:rFonts w:ascii="Times" w:hAnsi="Times" w:cs="Calibri"/>
          <w:sz w:val="28"/>
          <w:szCs w:val="28"/>
          <w:lang w:val="en-US"/>
        </w:rPr>
        <w:t>Evidence statement:</w:t>
      </w:r>
    </w:p>
    <w:p w14:paraId="34054119" w14:textId="77777777" w:rsidR="00A27C77" w:rsidRPr="0007542D" w:rsidRDefault="00A27C77" w:rsidP="00A27C77">
      <w:pPr>
        <w:widowControl w:val="0"/>
        <w:autoSpaceDE w:val="0"/>
        <w:autoSpaceDN w:val="0"/>
        <w:adjustRightInd w:val="0"/>
        <w:spacing w:after="240"/>
        <w:jc w:val="both"/>
        <w:rPr>
          <w:rFonts w:ascii="Times" w:hAnsi="Times" w:cs="Times"/>
          <w:sz w:val="28"/>
          <w:szCs w:val="28"/>
          <w:lang w:val="en-US"/>
        </w:rPr>
      </w:pPr>
      <w:r w:rsidRPr="0007542D">
        <w:rPr>
          <w:rFonts w:ascii="Times" w:hAnsi="Times" w:cs="Calibri"/>
          <w:sz w:val="28"/>
          <w:szCs w:val="28"/>
          <w:lang w:val="en-US"/>
        </w:rPr>
        <w:t>There is moderate quality evidence</w:t>
      </w:r>
      <w:r w:rsidRPr="0007542D">
        <w:rPr>
          <w:rFonts w:ascii="Times" w:hAnsi="Times" w:cs="Calibri"/>
          <w:position w:val="13"/>
          <w:sz w:val="28"/>
          <w:szCs w:val="28"/>
          <w:lang w:val="en-US"/>
        </w:rPr>
        <w:t xml:space="preserve">189 </w:t>
      </w:r>
      <w:r w:rsidRPr="0007542D">
        <w:rPr>
          <w:rFonts w:ascii="Times" w:hAnsi="Times" w:cs="Calibri"/>
          <w:sz w:val="28"/>
          <w:szCs w:val="28"/>
          <w:lang w:val="en-US"/>
        </w:rPr>
        <w:t>that is partially applicable to the guideline to show that in untreated patients:</w:t>
      </w:r>
    </w:p>
    <w:p w14:paraId="489F236A" w14:textId="77777777" w:rsidR="00A27C77" w:rsidRPr="0007542D" w:rsidRDefault="00A27C77" w:rsidP="00A27C77">
      <w:pPr>
        <w:pStyle w:val="ListParagraph"/>
        <w:widowControl w:val="0"/>
        <w:numPr>
          <w:ilvl w:val="0"/>
          <w:numId w:val="35"/>
        </w:numPr>
        <w:tabs>
          <w:tab w:val="left" w:pos="0"/>
          <w:tab w:val="left" w:pos="220"/>
        </w:tabs>
        <w:autoSpaceDE w:val="0"/>
        <w:autoSpaceDN w:val="0"/>
        <w:adjustRightInd w:val="0"/>
        <w:spacing w:after="240"/>
        <w:jc w:val="both"/>
        <w:rPr>
          <w:rFonts w:ascii="Times" w:hAnsi="Times" w:cs="Times"/>
          <w:sz w:val="28"/>
          <w:szCs w:val="28"/>
          <w:lang w:val="en-US"/>
        </w:rPr>
      </w:pPr>
      <w:r w:rsidRPr="0007542D">
        <w:rPr>
          <w:rFonts w:ascii="Times" w:hAnsi="Times"/>
          <w:sz w:val="28"/>
          <w:szCs w:val="28"/>
          <w:lang w:val="en-US"/>
        </w:rPr>
        <w:t xml:space="preserve">low Hb [&lt;11 g/dL] compared to higher Hb [&gt;11 g/dL] is associated with increased costs. </w:t>
      </w:r>
    </w:p>
    <w:p w14:paraId="1C1E705A" w14:textId="77777777" w:rsidR="00A27C77" w:rsidRPr="0007542D" w:rsidRDefault="00A27C77" w:rsidP="00A27C77">
      <w:pPr>
        <w:pStyle w:val="ListParagraph"/>
        <w:widowControl w:val="0"/>
        <w:numPr>
          <w:ilvl w:val="0"/>
          <w:numId w:val="35"/>
        </w:numPr>
        <w:tabs>
          <w:tab w:val="left" w:pos="0"/>
          <w:tab w:val="left" w:pos="220"/>
        </w:tabs>
        <w:autoSpaceDE w:val="0"/>
        <w:autoSpaceDN w:val="0"/>
        <w:adjustRightInd w:val="0"/>
        <w:spacing w:after="240"/>
        <w:jc w:val="both"/>
        <w:rPr>
          <w:rFonts w:ascii="Times" w:hAnsi="Times" w:cs="Times"/>
          <w:sz w:val="28"/>
          <w:szCs w:val="28"/>
          <w:lang w:val="en-US"/>
        </w:rPr>
      </w:pPr>
      <w:r w:rsidRPr="0007542D">
        <w:rPr>
          <w:rFonts w:ascii="Times" w:hAnsi="Times"/>
          <w:sz w:val="28"/>
          <w:szCs w:val="28"/>
          <w:lang w:val="en-US"/>
        </w:rPr>
        <w:t xml:space="preserve">an decrement in Hb level of 1 g/dL is associated with increased cost. </w:t>
      </w:r>
    </w:p>
    <w:p w14:paraId="56C8F42D" w14:textId="77777777" w:rsidR="00A27C77" w:rsidRPr="0007542D" w:rsidRDefault="00A27C77" w:rsidP="00A27C77">
      <w:pPr>
        <w:widowControl w:val="0"/>
        <w:tabs>
          <w:tab w:val="left" w:pos="0"/>
          <w:tab w:val="left" w:pos="220"/>
        </w:tabs>
        <w:autoSpaceDE w:val="0"/>
        <w:autoSpaceDN w:val="0"/>
        <w:adjustRightInd w:val="0"/>
        <w:spacing w:after="240"/>
        <w:jc w:val="both"/>
        <w:rPr>
          <w:rFonts w:ascii="Times" w:hAnsi="Times" w:cs="Times"/>
          <w:sz w:val="28"/>
          <w:szCs w:val="28"/>
          <w:lang w:val="en-US"/>
        </w:rPr>
      </w:pPr>
      <w:r w:rsidRPr="0007542D">
        <w:rPr>
          <w:rFonts w:ascii="Times" w:hAnsi="Times" w:cs="Calibri"/>
          <w:sz w:val="28"/>
          <w:szCs w:val="28"/>
          <w:lang w:val="en-US"/>
        </w:rPr>
        <w:t>Lefebvre and colleagues</w:t>
      </w:r>
      <w:r w:rsidRPr="0007542D">
        <w:rPr>
          <w:rFonts w:ascii="Times" w:hAnsi="Times" w:cs="Calibri"/>
          <w:position w:val="13"/>
          <w:sz w:val="28"/>
          <w:szCs w:val="28"/>
          <w:lang w:val="en-US"/>
        </w:rPr>
        <w:t xml:space="preserve">189 </w:t>
      </w:r>
      <w:r w:rsidRPr="0007542D">
        <w:rPr>
          <w:rFonts w:ascii="Times" w:hAnsi="Times" w:cs="Calibri"/>
          <w:sz w:val="28"/>
          <w:szCs w:val="28"/>
          <w:lang w:val="en-US"/>
        </w:rPr>
        <w:t xml:space="preserve">reported that, in CKD patients untreated for anaemia, a haemoglobin level &lt;11 g/dL was associated with an additional monthly cost of £320 (CI: £223, £408) compared to a haemoglobin level &gt;11 g/dL. Every 1g/dL decrease in haemoglobin was associated with a £52 increase in cost (CI: £32-£71). </w:t>
      </w:r>
    </w:p>
    <w:p w14:paraId="0D8F0E86" w14:textId="77777777" w:rsidR="00A27C77" w:rsidRPr="00822480" w:rsidRDefault="00A27C77" w:rsidP="009206B2">
      <w:pPr>
        <w:widowControl w:val="0"/>
        <w:autoSpaceDE w:val="0"/>
        <w:autoSpaceDN w:val="0"/>
        <w:adjustRightInd w:val="0"/>
        <w:spacing w:after="240"/>
        <w:jc w:val="both"/>
        <w:rPr>
          <w:rFonts w:ascii="Times" w:hAnsi="Times" w:cs="Calibri"/>
          <w:sz w:val="28"/>
          <w:szCs w:val="28"/>
          <w:lang w:val="en-US"/>
        </w:rPr>
      </w:pPr>
    </w:p>
    <w:p w14:paraId="2038061D" w14:textId="767CF932" w:rsidR="00340E0C" w:rsidRPr="004A10CC" w:rsidRDefault="00340E0C" w:rsidP="004A10CC">
      <w:pPr>
        <w:pStyle w:val="ListParagraph"/>
        <w:widowControl w:val="0"/>
        <w:numPr>
          <w:ilvl w:val="0"/>
          <w:numId w:val="26"/>
        </w:numPr>
        <w:tabs>
          <w:tab w:val="left" w:pos="940"/>
          <w:tab w:val="left" w:pos="1440"/>
        </w:tabs>
        <w:autoSpaceDE w:val="0"/>
        <w:autoSpaceDN w:val="0"/>
        <w:adjustRightInd w:val="0"/>
        <w:spacing w:after="293"/>
        <w:jc w:val="both"/>
        <w:rPr>
          <w:rFonts w:ascii="Times" w:hAnsi="Times"/>
          <w:sz w:val="28"/>
          <w:szCs w:val="28"/>
          <w:lang w:val="en-US"/>
        </w:rPr>
      </w:pPr>
      <w:r w:rsidRPr="004A10CC">
        <w:rPr>
          <w:rFonts w:ascii="Times" w:hAnsi="Times"/>
          <w:b/>
          <w:sz w:val="28"/>
          <w:szCs w:val="28"/>
          <w:lang w:val="en-US"/>
        </w:rPr>
        <w:t>An estimated glomerular filtration rate (eGFR) of less than 60 ml/min/1.73m</w:t>
      </w:r>
      <w:r w:rsidRPr="004A10CC">
        <w:rPr>
          <w:rFonts w:ascii="Times" w:hAnsi="Times"/>
          <w:b/>
          <w:position w:val="13"/>
          <w:sz w:val="28"/>
          <w:szCs w:val="28"/>
          <w:lang w:val="en-US"/>
        </w:rPr>
        <w:t xml:space="preserve">2 </w:t>
      </w:r>
      <w:r w:rsidRPr="004A10CC">
        <w:rPr>
          <w:rFonts w:ascii="Times" w:hAnsi="Times"/>
          <w:b/>
          <w:sz w:val="28"/>
          <w:szCs w:val="28"/>
          <w:lang w:val="en-US"/>
        </w:rPr>
        <w:t>should trigger investigation into whether anaemia is due to CKD. When the eGFR is greater than or equal to 60 ml/min/1.73m</w:t>
      </w:r>
      <w:r w:rsidRPr="004A10CC">
        <w:rPr>
          <w:rFonts w:ascii="Times" w:hAnsi="Times"/>
          <w:b/>
          <w:position w:val="13"/>
          <w:sz w:val="28"/>
          <w:szCs w:val="28"/>
          <w:lang w:val="en-US"/>
        </w:rPr>
        <w:t xml:space="preserve">2 </w:t>
      </w:r>
      <w:r w:rsidRPr="004A10CC">
        <w:rPr>
          <w:rFonts w:ascii="Times" w:hAnsi="Times"/>
          <w:b/>
          <w:sz w:val="28"/>
          <w:szCs w:val="28"/>
          <w:lang w:val="en-US"/>
        </w:rPr>
        <w:t xml:space="preserve">the anaemia is more likely to be related to other causes. [2006] </w:t>
      </w:r>
    </w:p>
    <w:p w14:paraId="6A58E345" w14:textId="57C9FD08" w:rsidR="004A10CC" w:rsidRPr="00434A51" w:rsidRDefault="004A10CC" w:rsidP="00434A51">
      <w:pPr>
        <w:widowControl w:val="0"/>
        <w:tabs>
          <w:tab w:val="left" w:pos="940"/>
          <w:tab w:val="left" w:pos="1440"/>
        </w:tabs>
        <w:autoSpaceDE w:val="0"/>
        <w:autoSpaceDN w:val="0"/>
        <w:adjustRightInd w:val="0"/>
        <w:spacing w:after="293"/>
        <w:jc w:val="both"/>
        <w:rPr>
          <w:rFonts w:ascii="Times" w:hAnsi="Times"/>
          <w:b/>
          <w:sz w:val="28"/>
          <w:szCs w:val="28"/>
          <w:lang w:val="en-US"/>
        </w:rPr>
      </w:pPr>
      <w:r w:rsidRPr="00434A51">
        <w:rPr>
          <w:rFonts w:ascii="Times" w:hAnsi="Times"/>
          <w:b/>
          <w:sz w:val="28"/>
          <w:szCs w:val="28"/>
          <w:lang w:val="en-US"/>
        </w:rPr>
        <w:t>2. Kui eGFR on madalam kui 60ml/min/1,73m2 siis peaks uurima kas aneemia põhjuseks on KNH. Kui eGFR on võrdne või kõrgem kui 60ml/min/1,73m2, siis on suurem tõen</w:t>
      </w:r>
      <w:r w:rsidR="009206B2" w:rsidRPr="00434A51">
        <w:rPr>
          <w:rFonts w:ascii="Times" w:hAnsi="Times"/>
          <w:b/>
          <w:sz w:val="28"/>
          <w:szCs w:val="28"/>
          <w:lang w:val="en-US"/>
        </w:rPr>
        <w:t>äosus, et aneemial on mud põhjused.</w:t>
      </w:r>
    </w:p>
    <w:p w14:paraId="63ECB0CB" w14:textId="7AFCFC8F" w:rsidR="002F7B4C" w:rsidRPr="009206B2" w:rsidRDefault="002F7B4C" w:rsidP="009206B2">
      <w:pPr>
        <w:widowControl w:val="0"/>
        <w:tabs>
          <w:tab w:val="left" w:pos="220"/>
          <w:tab w:val="left" w:pos="720"/>
        </w:tabs>
        <w:autoSpaceDE w:val="0"/>
        <w:autoSpaceDN w:val="0"/>
        <w:adjustRightInd w:val="0"/>
        <w:spacing w:after="240"/>
        <w:ind w:left="720"/>
        <w:jc w:val="both"/>
        <w:rPr>
          <w:rFonts w:ascii="Times" w:hAnsi="Times" w:cs="Times"/>
          <w:sz w:val="28"/>
          <w:szCs w:val="28"/>
          <w:lang w:val="en-US"/>
        </w:rPr>
      </w:pPr>
      <w:r w:rsidRPr="009206B2">
        <w:rPr>
          <w:rFonts w:ascii="Times" w:hAnsi="Times" w:cs="Times"/>
          <w:sz w:val="28"/>
          <w:szCs w:val="28"/>
          <w:u w:val="single"/>
          <w:lang w:val="en-US"/>
        </w:rPr>
        <w:t>Clinical introduction</w:t>
      </w:r>
      <w:r w:rsidR="009206B2" w:rsidRPr="009206B2">
        <w:rPr>
          <w:rFonts w:ascii="Times" w:hAnsi="Times" w:cs="Times"/>
          <w:sz w:val="28"/>
          <w:szCs w:val="28"/>
          <w:lang w:val="en-US"/>
        </w:rPr>
        <w:t>:</w:t>
      </w:r>
      <w:r w:rsidRPr="009206B2">
        <w:rPr>
          <w:rFonts w:ascii="Times" w:hAnsi="Times" w:cs="Times"/>
          <w:sz w:val="28"/>
          <w:szCs w:val="28"/>
          <w:lang w:val="en-US"/>
        </w:rPr>
        <w:t xml:space="preserve">  </w:t>
      </w:r>
      <w:r w:rsidRPr="009206B2">
        <w:rPr>
          <w:rFonts w:ascii="Times" w:hAnsi="Times" w:cs="Calibri"/>
          <w:sz w:val="28"/>
          <w:szCs w:val="28"/>
          <w:lang w:val="en-US"/>
        </w:rPr>
        <w:t xml:space="preserve">Data from population studies such as </w:t>
      </w:r>
      <w:r w:rsidRPr="00A603D9">
        <w:rPr>
          <w:rFonts w:ascii="Times" w:hAnsi="Times" w:cs="Calibri"/>
          <w:b/>
          <w:sz w:val="28"/>
          <w:szCs w:val="28"/>
          <w:lang w:val="en-US"/>
        </w:rPr>
        <w:t>NHANES III</w:t>
      </w:r>
      <w:r w:rsidRPr="009206B2">
        <w:rPr>
          <w:rFonts w:ascii="Times" w:hAnsi="Times" w:cs="Calibri"/>
          <w:sz w:val="28"/>
          <w:szCs w:val="28"/>
          <w:lang w:val="en-US"/>
        </w:rPr>
        <w:t xml:space="preserve"> in the USA and the </w:t>
      </w:r>
      <w:r w:rsidRPr="00A603D9">
        <w:rPr>
          <w:rFonts w:ascii="Times" w:hAnsi="Times" w:cs="Calibri"/>
          <w:b/>
          <w:sz w:val="28"/>
          <w:szCs w:val="28"/>
          <w:lang w:val="en-US"/>
        </w:rPr>
        <w:t>NEOERICA</w:t>
      </w:r>
      <w:r w:rsidRPr="009206B2">
        <w:rPr>
          <w:rFonts w:ascii="Times" w:hAnsi="Times" w:cs="Calibri"/>
          <w:sz w:val="28"/>
          <w:szCs w:val="28"/>
          <w:lang w:val="en-US"/>
        </w:rPr>
        <w:t xml:space="preserve"> study in the UK suggest an increasing prevalence of anaemia with decreasing GFR level. A similar relationship between glomerular filtration rate (GFR) and anaemia has also been demonstrated in population cohorts of people with diabetes</w:t>
      </w:r>
      <w:r w:rsidRPr="009206B2">
        <w:rPr>
          <w:rFonts w:ascii="Times" w:hAnsi="Times" w:cs="Calibri"/>
          <w:position w:val="13"/>
          <w:sz w:val="28"/>
          <w:szCs w:val="28"/>
          <w:lang w:val="en-US"/>
        </w:rPr>
        <w:t>354</w:t>
      </w:r>
      <w:r w:rsidRPr="009206B2">
        <w:rPr>
          <w:rFonts w:ascii="Times" w:hAnsi="Times" w:cs="Calibri"/>
          <w:sz w:val="28"/>
          <w:szCs w:val="28"/>
          <w:lang w:val="en-US"/>
        </w:rPr>
        <w:t>. Although anaemia is common in people with diabetes it is also commonly unrecognised and undetected</w:t>
      </w:r>
      <w:r w:rsidRPr="009206B2">
        <w:rPr>
          <w:rFonts w:ascii="Times" w:hAnsi="Times" w:cs="Calibri"/>
          <w:position w:val="13"/>
          <w:sz w:val="28"/>
          <w:szCs w:val="28"/>
          <w:lang w:val="en-US"/>
        </w:rPr>
        <w:t>335</w:t>
      </w:r>
      <w:r w:rsidRPr="009206B2">
        <w:rPr>
          <w:rFonts w:ascii="Times" w:hAnsi="Times" w:cs="Calibri"/>
          <w:sz w:val="28"/>
          <w:szCs w:val="28"/>
          <w:lang w:val="en-US"/>
        </w:rPr>
        <w:t>. The prevalence of anaemia in people with diabetes is increased at all levels of renal function in those with increased proteinuria/albuminuria</w:t>
      </w:r>
      <w:r w:rsidRPr="009206B2">
        <w:rPr>
          <w:rFonts w:ascii="Times" w:hAnsi="Times" w:cs="Calibri"/>
          <w:position w:val="13"/>
          <w:sz w:val="28"/>
          <w:szCs w:val="28"/>
          <w:lang w:val="en-US"/>
        </w:rPr>
        <w:t>355</w:t>
      </w:r>
      <w:r w:rsidRPr="009206B2">
        <w:rPr>
          <w:rFonts w:ascii="Times" w:hAnsi="Times" w:cs="Calibri"/>
          <w:sz w:val="28"/>
          <w:szCs w:val="28"/>
          <w:lang w:val="en-US"/>
        </w:rPr>
        <w:t xml:space="preserve">, and it has been suggested that in people with diabetes, anaemia associated with CKD may occur earlier in the evolution of CKD when compared with people without diabetes. In investigating the evidence base, this section seeks to describe the relationship between GFR and haemoglobin levels and provide guidance for clinicians about the threshold level of GFR below which they should suspect that anaemia is associated with CKD. </w:t>
      </w:r>
    </w:p>
    <w:p w14:paraId="3A8C75A3" w14:textId="5D321732" w:rsidR="00065B38" w:rsidRPr="009206B2" w:rsidRDefault="00065B38" w:rsidP="009206B2">
      <w:pPr>
        <w:widowControl w:val="0"/>
        <w:tabs>
          <w:tab w:val="left" w:pos="220"/>
          <w:tab w:val="left" w:pos="720"/>
        </w:tabs>
        <w:autoSpaceDE w:val="0"/>
        <w:autoSpaceDN w:val="0"/>
        <w:adjustRightInd w:val="0"/>
        <w:spacing w:after="240"/>
        <w:ind w:left="720"/>
        <w:jc w:val="both"/>
        <w:rPr>
          <w:rFonts w:ascii="Times" w:hAnsi="Times" w:cs="Times"/>
          <w:b/>
          <w:sz w:val="28"/>
          <w:szCs w:val="28"/>
          <w:lang w:val="en-US"/>
        </w:rPr>
      </w:pPr>
      <w:r w:rsidRPr="009206B2">
        <w:rPr>
          <w:rFonts w:ascii="Times" w:hAnsi="Times" w:cs="Calibri"/>
          <w:sz w:val="28"/>
          <w:szCs w:val="28"/>
          <w:lang w:val="en-US"/>
        </w:rPr>
        <w:t xml:space="preserve">A literature search identified five studies investigating the association between GFR or creatinine </w:t>
      </w:r>
      <w:r w:rsidRPr="009206B2">
        <w:rPr>
          <w:rFonts w:ascii="Times" w:hAnsi="Times" w:cs="Times"/>
          <w:sz w:val="28"/>
          <w:szCs w:val="28"/>
          <w:lang w:val="en-US"/>
        </w:rPr>
        <w:t> </w:t>
      </w:r>
      <w:r w:rsidRPr="009206B2">
        <w:rPr>
          <w:rFonts w:ascii="Times" w:hAnsi="Times" w:cs="Calibri"/>
          <w:sz w:val="28"/>
          <w:szCs w:val="28"/>
          <w:lang w:val="en-US"/>
        </w:rPr>
        <w:t>clearance (CCr) with Hb/Hct levels in non-diabetic patients</w:t>
      </w:r>
      <w:r w:rsidRPr="009206B2">
        <w:rPr>
          <w:rFonts w:ascii="Times" w:hAnsi="Times" w:cs="Calibri"/>
          <w:position w:val="13"/>
          <w:sz w:val="28"/>
          <w:szCs w:val="28"/>
          <w:lang w:val="en-US"/>
        </w:rPr>
        <w:t xml:space="preserve">25,113,146,170,216 </w:t>
      </w:r>
      <w:r w:rsidR="009206B2" w:rsidRPr="009206B2">
        <w:rPr>
          <w:rFonts w:ascii="Times" w:hAnsi="Times" w:cs="Calibri"/>
          <w:sz w:val="28"/>
          <w:szCs w:val="28"/>
          <w:lang w:val="en-US"/>
        </w:rPr>
        <w:t xml:space="preserve">and four studies in diabetic patients </w:t>
      </w:r>
      <w:r w:rsidRPr="009206B2">
        <w:rPr>
          <w:rFonts w:ascii="Times" w:hAnsi="Times" w:cs="Calibri"/>
          <w:sz w:val="28"/>
          <w:szCs w:val="28"/>
          <w:lang w:val="en-US"/>
        </w:rPr>
        <w:t>85,100,353,354</w:t>
      </w:r>
      <w:r w:rsidR="009206B2" w:rsidRPr="009206B2">
        <w:rPr>
          <w:rFonts w:ascii="Times" w:hAnsi="Times" w:cs="Calibri"/>
          <w:position w:val="-14"/>
          <w:sz w:val="28"/>
          <w:szCs w:val="28"/>
          <w:lang w:val="en-US"/>
        </w:rPr>
        <w:t xml:space="preserve">. </w:t>
      </w:r>
      <w:r w:rsidRPr="009206B2">
        <w:rPr>
          <w:rFonts w:ascii="Times" w:hAnsi="Times" w:cs="Calibri"/>
          <w:b/>
          <w:position w:val="-14"/>
          <w:sz w:val="28"/>
          <w:szCs w:val="28"/>
          <w:lang w:val="en-US"/>
        </w:rPr>
        <w:t>(Level 2+, level 3)</w:t>
      </w:r>
    </w:p>
    <w:p w14:paraId="51727CAB" w14:textId="77777777" w:rsidR="00A603D9" w:rsidRDefault="00A603D9" w:rsidP="00A603D9">
      <w:pPr>
        <w:widowControl w:val="0"/>
        <w:tabs>
          <w:tab w:val="left" w:pos="220"/>
          <w:tab w:val="left" w:pos="720"/>
        </w:tabs>
        <w:autoSpaceDE w:val="0"/>
        <w:autoSpaceDN w:val="0"/>
        <w:adjustRightInd w:val="0"/>
        <w:spacing w:after="293"/>
        <w:rPr>
          <w:rFonts w:ascii="Times" w:hAnsi="Times" w:cs="Times"/>
          <w:lang w:val="en-US"/>
        </w:rPr>
      </w:pPr>
    </w:p>
    <w:p w14:paraId="149030DF" w14:textId="5343B85E" w:rsidR="00340E0C" w:rsidRPr="00BB329A" w:rsidRDefault="00434A51" w:rsidP="00BB329A">
      <w:pPr>
        <w:pStyle w:val="ListParagraph"/>
        <w:widowControl w:val="0"/>
        <w:numPr>
          <w:ilvl w:val="0"/>
          <w:numId w:val="26"/>
        </w:numPr>
        <w:tabs>
          <w:tab w:val="left" w:pos="220"/>
          <w:tab w:val="left" w:pos="720"/>
        </w:tabs>
        <w:autoSpaceDE w:val="0"/>
        <w:autoSpaceDN w:val="0"/>
        <w:adjustRightInd w:val="0"/>
        <w:spacing w:after="293"/>
        <w:jc w:val="both"/>
        <w:rPr>
          <w:rFonts w:ascii="Times" w:hAnsi="Times"/>
          <w:b/>
          <w:sz w:val="28"/>
          <w:szCs w:val="28"/>
          <w:lang w:val="en-US"/>
        </w:rPr>
      </w:pPr>
      <w:r>
        <w:rPr>
          <w:rFonts w:ascii="Times" w:hAnsi="Times"/>
          <w:b/>
          <w:sz w:val="28"/>
          <w:szCs w:val="28"/>
          <w:lang w:val="en-US"/>
        </w:rPr>
        <w:t xml:space="preserve"> </w:t>
      </w:r>
      <w:r w:rsidR="00340E0C" w:rsidRPr="00BB329A">
        <w:rPr>
          <w:rFonts w:ascii="Times" w:hAnsi="Times"/>
          <w:b/>
          <w:sz w:val="28"/>
          <w:szCs w:val="28"/>
          <w:lang w:val="en-US"/>
        </w:rPr>
        <w:t xml:space="preserve">Carry out testing to diagnose iron deficiency and determine potential responsiveness to iron therapy and long-term iron requirements every 3 months (every 1–3 months for people receiving haemodialysis). </w:t>
      </w:r>
    </w:p>
    <w:p w14:paraId="7AAF87E4" w14:textId="6F248523" w:rsidR="00340E0C" w:rsidRPr="00BB329A" w:rsidRDefault="00340E0C" w:rsidP="00BB329A">
      <w:pPr>
        <w:widowControl w:val="0"/>
        <w:numPr>
          <w:ilvl w:val="1"/>
          <w:numId w:val="18"/>
        </w:numPr>
        <w:tabs>
          <w:tab w:val="left" w:pos="0"/>
          <w:tab w:val="left" w:pos="940"/>
        </w:tabs>
        <w:autoSpaceDE w:val="0"/>
        <w:autoSpaceDN w:val="0"/>
        <w:adjustRightInd w:val="0"/>
        <w:spacing w:after="293"/>
        <w:ind w:left="23" w:hanging="23"/>
        <w:jc w:val="both"/>
        <w:rPr>
          <w:rFonts w:ascii="Times" w:hAnsi="Times" w:cs="Calibri"/>
          <w:b/>
          <w:sz w:val="28"/>
          <w:szCs w:val="28"/>
          <w:lang w:val="en-US"/>
        </w:rPr>
      </w:pPr>
      <w:r w:rsidRPr="00BB329A">
        <w:rPr>
          <w:rFonts w:ascii="Times" w:hAnsi="Times" w:cs="Symbol"/>
          <w:b/>
          <w:sz w:val="28"/>
          <w:szCs w:val="28"/>
          <w:lang w:val="en-US"/>
        </w:rPr>
        <w:tab/>
      </w:r>
      <w:r w:rsidRPr="00BB329A">
        <w:rPr>
          <w:rFonts w:ascii="Times" w:hAnsi="Times" w:cs="Symbol"/>
          <w:b/>
          <w:sz w:val="28"/>
          <w:szCs w:val="28"/>
          <w:lang w:val="en-US"/>
        </w:rPr>
        <w:tab/>
      </w:r>
      <w:r w:rsidRPr="00BB329A">
        <w:rPr>
          <w:rFonts w:ascii="Times" w:hAnsi="Times" w:cs="Symbol"/>
          <w:b/>
          <w:sz w:val="28"/>
          <w:szCs w:val="28"/>
          <w:lang w:val="en-US"/>
        </w:rPr>
        <w:t></w:t>
      </w:r>
      <w:r w:rsidRPr="00BB329A">
        <w:rPr>
          <w:rFonts w:ascii="Times" w:hAnsi="Times" w:cs="Symbol"/>
          <w:b/>
          <w:sz w:val="28"/>
          <w:szCs w:val="28"/>
          <w:lang w:val="en-US"/>
        </w:rPr>
        <w:t></w:t>
      </w:r>
      <w:r w:rsidRPr="00BB329A">
        <w:rPr>
          <w:rFonts w:ascii="Times" w:hAnsi="Times" w:cs="Calibri"/>
          <w:b/>
          <w:sz w:val="28"/>
          <w:szCs w:val="28"/>
          <w:lang w:val="en-US"/>
        </w:rPr>
        <w:t xml:space="preserve">Use percentage of hypochromic red blood cells (% HRC; more than 6%), but only if processing of blood sample is possible within 6 hours. </w:t>
      </w:r>
    </w:p>
    <w:p w14:paraId="3AFD2E77" w14:textId="67148D98" w:rsidR="00340E0C" w:rsidRPr="00BB329A" w:rsidRDefault="00340E0C" w:rsidP="00BB329A">
      <w:pPr>
        <w:widowControl w:val="0"/>
        <w:numPr>
          <w:ilvl w:val="1"/>
          <w:numId w:val="18"/>
        </w:numPr>
        <w:tabs>
          <w:tab w:val="left" w:pos="0"/>
          <w:tab w:val="left" w:pos="940"/>
        </w:tabs>
        <w:autoSpaceDE w:val="0"/>
        <w:autoSpaceDN w:val="0"/>
        <w:adjustRightInd w:val="0"/>
        <w:spacing w:after="293"/>
        <w:ind w:left="23" w:hanging="1440"/>
        <w:jc w:val="both"/>
        <w:rPr>
          <w:rFonts w:ascii="Times" w:hAnsi="Times" w:cs="Calibri"/>
          <w:b/>
          <w:sz w:val="28"/>
          <w:szCs w:val="28"/>
          <w:lang w:val="en-US"/>
        </w:rPr>
      </w:pPr>
      <w:r w:rsidRPr="00BB329A">
        <w:rPr>
          <w:rFonts w:ascii="Times" w:hAnsi="Times" w:cs="Symbol"/>
          <w:b/>
          <w:sz w:val="28"/>
          <w:szCs w:val="28"/>
          <w:lang w:val="en-US"/>
        </w:rPr>
        <w:tab/>
      </w:r>
      <w:r w:rsidRPr="00BB329A">
        <w:rPr>
          <w:rFonts w:ascii="Times" w:hAnsi="Times" w:cs="Symbol"/>
          <w:b/>
          <w:sz w:val="28"/>
          <w:szCs w:val="28"/>
          <w:lang w:val="en-US"/>
        </w:rPr>
        <w:tab/>
      </w:r>
      <w:r w:rsidRPr="00BB329A">
        <w:rPr>
          <w:rFonts w:ascii="Times" w:hAnsi="Times" w:cs="Symbol"/>
          <w:b/>
          <w:sz w:val="28"/>
          <w:szCs w:val="28"/>
          <w:lang w:val="en-US"/>
        </w:rPr>
        <w:t></w:t>
      </w:r>
      <w:r w:rsidRPr="00BB329A">
        <w:rPr>
          <w:rFonts w:ascii="Times" w:hAnsi="Times" w:cs="Symbol"/>
          <w:b/>
          <w:sz w:val="28"/>
          <w:szCs w:val="28"/>
          <w:lang w:val="en-US"/>
        </w:rPr>
        <w:t></w:t>
      </w:r>
      <w:r w:rsidRPr="00BB329A">
        <w:rPr>
          <w:rFonts w:ascii="Times" w:hAnsi="Times" w:cs="Calibri"/>
          <w:b/>
          <w:sz w:val="28"/>
          <w:szCs w:val="28"/>
          <w:lang w:val="en-US"/>
        </w:rPr>
        <w:t xml:space="preserve">If using percentage of hypochromic red blood cells is not possible, use reticulocyte Hb content (CHr; less than 29 pg) or equivalent tests – for example, reticulocyte Hb equivalent. </w:t>
      </w:r>
    </w:p>
    <w:p w14:paraId="23E6FE5D" w14:textId="77777777" w:rsidR="000B3C60" w:rsidRPr="00BB329A" w:rsidRDefault="00340E0C" w:rsidP="00BB329A">
      <w:pPr>
        <w:widowControl w:val="0"/>
        <w:numPr>
          <w:ilvl w:val="0"/>
          <w:numId w:val="18"/>
        </w:numPr>
        <w:tabs>
          <w:tab w:val="left" w:pos="0"/>
          <w:tab w:val="left" w:pos="220"/>
        </w:tabs>
        <w:autoSpaceDE w:val="0"/>
        <w:autoSpaceDN w:val="0"/>
        <w:adjustRightInd w:val="0"/>
        <w:spacing w:after="293"/>
        <w:ind w:hanging="720"/>
        <w:jc w:val="both"/>
        <w:rPr>
          <w:rFonts w:ascii="Times" w:hAnsi="Times" w:cs="Calibri"/>
          <w:sz w:val="28"/>
          <w:szCs w:val="28"/>
          <w:lang w:val="en-US"/>
        </w:rPr>
      </w:pPr>
      <w:r w:rsidRPr="00BB329A">
        <w:rPr>
          <w:rFonts w:ascii="Times" w:hAnsi="Times" w:cs="Symbol"/>
          <w:b/>
          <w:sz w:val="28"/>
          <w:szCs w:val="28"/>
          <w:lang w:val="en-US"/>
        </w:rPr>
        <w:tab/>
      </w:r>
      <w:r w:rsidRPr="00BB329A">
        <w:rPr>
          <w:rFonts w:ascii="Times" w:hAnsi="Times" w:cs="Symbol"/>
          <w:b/>
          <w:sz w:val="28"/>
          <w:szCs w:val="28"/>
          <w:lang w:val="en-US"/>
        </w:rPr>
        <w:tab/>
      </w:r>
      <w:r w:rsidRPr="00BB329A">
        <w:rPr>
          <w:rFonts w:ascii="Times" w:hAnsi="Times" w:cs="Symbol"/>
          <w:b/>
          <w:sz w:val="28"/>
          <w:szCs w:val="28"/>
          <w:lang w:val="en-US"/>
        </w:rPr>
        <w:t></w:t>
      </w:r>
      <w:r w:rsidRPr="00BB329A">
        <w:rPr>
          <w:rFonts w:ascii="Times" w:hAnsi="Times" w:cs="Symbol"/>
          <w:b/>
          <w:sz w:val="28"/>
          <w:szCs w:val="28"/>
          <w:lang w:val="en-US"/>
        </w:rPr>
        <w:t></w:t>
      </w:r>
      <w:r w:rsidRPr="00BB329A">
        <w:rPr>
          <w:rFonts w:ascii="Times" w:hAnsi="Times" w:cs="Calibri"/>
          <w:b/>
          <w:sz w:val="28"/>
          <w:szCs w:val="28"/>
          <w:lang w:val="en-US"/>
        </w:rPr>
        <w:t xml:space="preserve">If these tests are not available or the person has thalassaemia or thalassaemia trait, use a combination of transferrin saturation (less than 20%) and serum ferritin measurement (less than 100 micrograms/litre). [new 2015] </w:t>
      </w:r>
    </w:p>
    <w:p w14:paraId="381F2788" w14:textId="6A79F4BC" w:rsidR="00A603D9" w:rsidRPr="00B15B7C" w:rsidRDefault="00A603D9" w:rsidP="00A603D9">
      <w:pPr>
        <w:widowControl w:val="0"/>
        <w:numPr>
          <w:ilvl w:val="0"/>
          <w:numId w:val="18"/>
        </w:numPr>
        <w:tabs>
          <w:tab w:val="left" w:pos="0"/>
          <w:tab w:val="left" w:pos="220"/>
        </w:tabs>
        <w:autoSpaceDE w:val="0"/>
        <w:autoSpaceDN w:val="0"/>
        <w:adjustRightInd w:val="0"/>
        <w:spacing w:after="293"/>
        <w:ind w:hanging="720"/>
        <w:jc w:val="both"/>
        <w:rPr>
          <w:rFonts w:ascii="Calibri" w:hAnsi="Calibri" w:cs="Calibri"/>
          <w:sz w:val="30"/>
          <w:szCs w:val="30"/>
          <w:lang w:val="en-US"/>
        </w:rPr>
      </w:pPr>
      <w:r w:rsidRPr="00434A51">
        <w:rPr>
          <w:rFonts w:ascii="Times" w:hAnsi="Times" w:cs="Symbol"/>
          <w:b/>
          <w:sz w:val="28"/>
          <w:szCs w:val="28"/>
          <w:lang w:val="en-US"/>
        </w:rPr>
        <w:t></w:t>
      </w:r>
      <w:r>
        <w:rPr>
          <w:rFonts w:ascii="Symbol" w:hAnsi="Symbol" w:cs="Symbol"/>
          <w:b/>
          <w:sz w:val="30"/>
          <w:szCs w:val="30"/>
          <w:lang w:val="en-US"/>
        </w:rPr>
        <w:t></w:t>
      </w:r>
      <w:r>
        <w:rPr>
          <w:rFonts w:ascii="Symbol" w:hAnsi="Symbol" w:cs="Symbol"/>
          <w:b/>
          <w:sz w:val="30"/>
          <w:szCs w:val="30"/>
          <w:lang w:val="en-US"/>
        </w:rPr>
        <w:t></w:t>
      </w:r>
      <w:r>
        <w:rPr>
          <w:rFonts w:ascii="Times" w:hAnsi="Times" w:cs="Symbol"/>
          <w:b/>
          <w:sz w:val="28"/>
          <w:szCs w:val="28"/>
          <w:lang w:val="en-US"/>
        </w:rPr>
        <w:t>Vii läbi teste raua defitsiidi diagnoosimiseks</w:t>
      </w:r>
      <w:r w:rsidR="00B15B7C">
        <w:rPr>
          <w:rFonts w:ascii="Times" w:hAnsi="Times" w:cs="Symbol"/>
          <w:b/>
          <w:sz w:val="28"/>
          <w:szCs w:val="28"/>
          <w:lang w:val="en-US"/>
        </w:rPr>
        <w:t xml:space="preserve"> ja määra potentsiaalset </w:t>
      </w:r>
      <w:r w:rsidR="00534B29">
        <w:rPr>
          <w:rFonts w:ascii="Times" w:hAnsi="Times" w:cs="Symbol"/>
          <w:b/>
          <w:sz w:val="28"/>
          <w:szCs w:val="28"/>
          <w:lang w:val="en-US"/>
        </w:rPr>
        <w:t>rauaravi tundlikkus</w:t>
      </w:r>
      <w:r w:rsidR="00B15B7C">
        <w:rPr>
          <w:rFonts w:ascii="Times" w:hAnsi="Times" w:cs="Symbol"/>
          <w:b/>
          <w:sz w:val="28"/>
          <w:szCs w:val="28"/>
          <w:lang w:val="en-US"/>
        </w:rPr>
        <w:t xml:space="preserve"> iga 3 kuu tag</w:t>
      </w:r>
      <w:r w:rsidR="00BB329A">
        <w:rPr>
          <w:rFonts w:ascii="Times" w:hAnsi="Times" w:cs="Symbol"/>
          <w:b/>
          <w:sz w:val="28"/>
          <w:szCs w:val="28"/>
          <w:lang w:val="en-US"/>
        </w:rPr>
        <w:t>ant (iga 1-3 kuu tagant</w:t>
      </w:r>
      <w:r w:rsidR="00B15B7C">
        <w:rPr>
          <w:rFonts w:ascii="Times" w:hAnsi="Times" w:cs="Symbol"/>
          <w:b/>
          <w:sz w:val="28"/>
          <w:szCs w:val="28"/>
          <w:lang w:val="en-US"/>
        </w:rPr>
        <w:t xml:space="preserve"> HD patsintidel)</w:t>
      </w:r>
    </w:p>
    <w:p w14:paraId="063C5E28" w14:textId="185326A1" w:rsidR="00B15B7C" w:rsidRDefault="00B15B7C" w:rsidP="00B15B7C">
      <w:pPr>
        <w:pStyle w:val="ListParagraph"/>
        <w:widowControl w:val="0"/>
        <w:numPr>
          <w:ilvl w:val="0"/>
          <w:numId w:val="25"/>
        </w:numPr>
        <w:tabs>
          <w:tab w:val="left" w:pos="0"/>
          <w:tab w:val="left" w:pos="220"/>
        </w:tabs>
        <w:autoSpaceDE w:val="0"/>
        <w:autoSpaceDN w:val="0"/>
        <w:adjustRightInd w:val="0"/>
        <w:spacing w:after="293"/>
        <w:jc w:val="both"/>
        <w:rPr>
          <w:rFonts w:ascii="Times" w:hAnsi="Times"/>
          <w:b/>
          <w:sz w:val="28"/>
          <w:szCs w:val="28"/>
          <w:lang w:val="en-US"/>
        </w:rPr>
      </w:pPr>
      <w:r w:rsidRPr="00B15B7C">
        <w:rPr>
          <w:rFonts w:ascii="Times" w:hAnsi="Times"/>
          <w:b/>
          <w:sz w:val="28"/>
          <w:szCs w:val="28"/>
          <w:lang w:val="en-US"/>
        </w:rPr>
        <w:t>Kasuta hüpokroomsete erütrotsüütide protsenti (HRC &gt;6%) ainult siis kui vereproovi on võimalik töödelda 6 tunni jooksul</w:t>
      </w:r>
    </w:p>
    <w:p w14:paraId="48FDAA5B" w14:textId="2794BF9D" w:rsidR="00B15B7C" w:rsidRDefault="00B15B7C" w:rsidP="00B15B7C">
      <w:pPr>
        <w:pStyle w:val="ListParagraph"/>
        <w:widowControl w:val="0"/>
        <w:numPr>
          <w:ilvl w:val="0"/>
          <w:numId w:val="25"/>
        </w:numPr>
        <w:tabs>
          <w:tab w:val="left" w:pos="0"/>
          <w:tab w:val="left" w:pos="220"/>
        </w:tabs>
        <w:autoSpaceDE w:val="0"/>
        <w:autoSpaceDN w:val="0"/>
        <w:adjustRightInd w:val="0"/>
        <w:spacing w:after="293"/>
        <w:jc w:val="both"/>
        <w:rPr>
          <w:rFonts w:ascii="Times" w:hAnsi="Times"/>
          <w:b/>
          <w:sz w:val="28"/>
          <w:szCs w:val="28"/>
          <w:lang w:val="en-US"/>
        </w:rPr>
      </w:pPr>
      <w:r>
        <w:rPr>
          <w:rFonts w:ascii="Times" w:hAnsi="Times"/>
          <w:b/>
          <w:sz w:val="28"/>
          <w:szCs w:val="28"/>
          <w:lang w:val="en-US"/>
        </w:rPr>
        <w:t>Kui hüpokroomsete erütrotsüütide prots</w:t>
      </w:r>
      <w:r w:rsidR="00BB329A">
        <w:rPr>
          <w:rFonts w:ascii="Times" w:hAnsi="Times"/>
          <w:b/>
          <w:sz w:val="28"/>
          <w:szCs w:val="28"/>
          <w:lang w:val="en-US"/>
        </w:rPr>
        <w:t>enti pole võimalik määrata, kas</w:t>
      </w:r>
      <w:r>
        <w:rPr>
          <w:rFonts w:ascii="Times" w:hAnsi="Times"/>
          <w:b/>
          <w:sz w:val="28"/>
          <w:szCs w:val="28"/>
          <w:lang w:val="en-US"/>
        </w:rPr>
        <w:t xml:space="preserve">uta retikulotsüütide Hgb </w:t>
      </w:r>
      <w:r w:rsidR="00BB329A">
        <w:rPr>
          <w:rFonts w:ascii="Times" w:hAnsi="Times"/>
          <w:b/>
          <w:sz w:val="28"/>
          <w:szCs w:val="28"/>
          <w:lang w:val="en-US"/>
        </w:rPr>
        <w:t>sisalduse määramise (vähem kui 29 pg) või muu testi nt. retikulotsüütide Hgb ekvivalenti</w:t>
      </w:r>
    </w:p>
    <w:p w14:paraId="5833CA51" w14:textId="46462986" w:rsidR="00BB329A" w:rsidRPr="00B15B7C" w:rsidRDefault="00BB329A" w:rsidP="00B15B7C">
      <w:pPr>
        <w:pStyle w:val="ListParagraph"/>
        <w:widowControl w:val="0"/>
        <w:numPr>
          <w:ilvl w:val="0"/>
          <w:numId w:val="25"/>
        </w:numPr>
        <w:tabs>
          <w:tab w:val="left" w:pos="0"/>
          <w:tab w:val="left" w:pos="220"/>
        </w:tabs>
        <w:autoSpaceDE w:val="0"/>
        <w:autoSpaceDN w:val="0"/>
        <w:adjustRightInd w:val="0"/>
        <w:spacing w:after="293"/>
        <w:jc w:val="both"/>
        <w:rPr>
          <w:rFonts w:ascii="Times" w:hAnsi="Times"/>
          <w:b/>
          <w:sz w:val="28"/>
          <w:szCs w:val="28"/>
          <w:lang w:val="en-US"/>
        </w:rPr>
      </w:pPr>
      <w:r>
        <w:rPr>
          <w:rFonts w:ascii="Times" w:hAnsi="Times"/>
          <w:b/>
          <w:sz w:val="28"/>
          <w:szCs w:val="28"/>
          <w:lang w:val="en-US"/>
        </w:rPr>
        <w:t>Kui neid teste pole võimalik teostada või tegemist on talasseemia diagnoosiga patsiendiga, siis määra transferrini saturatsiooni (vähem kui 20%) ja ferritiini (vähem kui 100mkg/l) kombinatsiooni.</w:t>
      </w:r>
    </w:p>
    <w:p w14:paraId="4ADD392B" w14:textId="6FB90428" w:rsidR="000B3C60" w:rsidRPr="00133FCE" w:rsidRDefault="000B3C60" w:rsidP="00133FCE">
      <w:pPr>
        <w:widowControl w:val="0"/>
        <w:numPr>
          <w:ilvl w:val="0"/>
          <w:numId w:val="18"/>
        </w:numPr>
        <w:tabs>
          <w:tab w:val="left" w:pos="220"/>
          <w:tab w:val="left" w:pos="720"/>
        </w:tabs>
        <w:autoSpaceDE w:val="0"/>
        <w:autoSpaceDN w:val="0"/>
        <w:adjustRightInd w:val="0"/>
        <w:spacing w:after="293"/>
        <w:ind w:hanging="720"/>
        <w:jc w:val="both"/>
        <w:rPr>
          <w:rFonts w:ascii="Times" w:hAnsi="Times" w:cs="Calibri"/>
          <w:b/>
          <w:sz w:val="28"/>
          <w:szCs w:val="28"/>
          <w:lang w:val="en-US"/>
        </w:rPr>
      </w:pPr>
      <w:r w:rsidRPr="00FF1FA7">
        <w:rPr>
          <w:rFonts w:ascii="Times" w:hAnsi="Times" w:cs="Calibri"/>
          <w:b/>
          <w:sz w:val="28"/>
          <w:szCs w:val="28"/>
          <w:lang w:val="en-US"/>
        </w:rPr>
        <w:t>4.</w:t>
      </w:r>
      <w:r w:rsidRPr="000B3C60">
        <w:rPr>
          <w:rFonts w:ascii="Calibri" w:hAnsi="Calibri" w:cs="Calibri"/>
          <w:b/>
          <w:sz w:val="30"/>
          <w:szCs w:val="30"/>
          <w:lang w:val="en-US"/>
        </w:rPr>
        <w:t xml:space="preserve"> </w:t>
      </w:r>
      <w:r w:rsidRPr="00133FCE">
        <w:rPr>
          <w:rFonts w:ascii="Times" w:hAnsi="Times" w:cs="Calibri"/>
          <w:b/>
          <w:sz w:val="28"/>
          <w:szCs w:val="28"/>
          <w:lang w:val="en-US"/>
        </w:rPr>
        <w:t xml:space="preserve">Do not request transferrin saturation or serum ferritin measurement alone to assess iron deficiency status in people with anaemia of CKD. [new 2015] </w:t>
      </w:r>
    </w:p>
    <w:p w14:paraId="1DEC4FCB" w14:textId="37B492C4" w:rsidR="00340E0C" w:rsidRPr="00FF1FA7" w:rsidRDefault="008D76B1" w:rsidP="00434A51">
      <w:pPr>
        <w:widowControl w:val="0"/>
        <w:tabs>
          <w:tab w:val="left" w:pos="940"/>
          <w:tab w:val="left" w:pos="1440"/>
        </w:tabs>
        <w:autoSpaceDE w:val="0"/>
        <w:autoSpaceDN w:val="0"/>
        <w:adjustRightInd w:val="0"/>
        <w:spacing w:after="293"/>
        <w:jc w:val="both"/>
        <w:rPr>
          <w:rFonts w:ascii="Times" w:hAnsi="Times" w:cs="Calibri"/>
          <w:b/>
          <w:sz w:val="28"/>
          <w:szCs w:val="28"/>
          <w:lang w:val="en-US"/>
        </w:rPr>
      </w:pPr>
      <w:r>
        <w:rPr>
          <w:rFonts w:ascii="Times" w:hAnsi="Times" w:cs="Calibri"/>
          <w:b/>
          <w:sz w:val="28"/>
          <w:szCs w:val="28"/>
          <w:lang w:val="en-US"/>
        </w:rPr>
        <w:t>4. Ära määra</w:t>
      </w:r>
      <w:r w:rsidR="008310CE" w:rsidRPr="00FF1FA7">
        <w:rPr>
          <w:rFonts w:ascii="Times" w:hAnsi="Times" w:cs="Calibri"/>
          <w:b/>
          <w:sz w:val="28"/>
          <w:szCs w:val="28"/>
          <w:lang w:val="en-US"/>
        </w:rPr>
        <w:t xml:space="preserve"> ainult transferriini saturatsiooni või seerumi ferritiini rauadefitsiitse aneemia hindamiseks </w:t>
      </w:r>
      <w:r w:rsidR="00FF1FA7" w:rsidRPr="00FF1FA7">
        <w:rPr>
          <w:rFonts w:ascii="Times" w:hAnsi="Times" w:cs="Calibri"/>
          <w:b/>
          <w:sz w:val="28"/>
          <w:szCs w:val="28"/>
          <w:lang w:val="en-US"/>
        </w:rPr>
        <w:t>KNH ja aneemiaga patsientidel</w:t>
      </w:r>
    </w:p>
    <w:p w14:paraId="1CE594DC" w14:textId="28F2D9ED" w:rsidR="000B3C60" w:rsidRPr="00BB63C8" w:rsidRDefault="000B3C60" w:rsidP="00BB63C8">
      <w:pPr>
        <w:widowControl w:val="0"/>
        <w:autoSpaceDE w:val="0"/>
        <w:autoSpaceDN w:val="0"/>
        <w:adjustRightInd w:val="0"/>
        <w:spacing w:after="240"/>
        <w:jc w:val="both"/>
        <w:rPr>
          <w:rFonts w:ascii="Times" w:hAnsi="Times" w:cs="Times"/>
          <w:sz w:val="28"/>
          <w:szCs w:val="28"/>
          <w:lang w:val="en-US"/>
        </w:rPr>
      </w:pPr>
      <w:r w:rsidRPr="00BB63C8">
        <w:rPr>
          <w:rFonts w:ascii="Times" w:hAnsi="Times" w:cs="Times"/>
          <w:sz w:val="28"/>
          <w:szCs w:val="28"/>
          <w:u w:val="single"/>
          <w:lang w:val="en-US"/>
        </w:rPr>
        <w:t>Summary:</w:t>
      </w:r>
      <w:r w:rsidRPr="00BB63C8">
        <w:rPr>
          <w:rFonts w:ascii="Times" w:hAnsi="Times" w:cs="Times"/>
          <w:sz w:val="28"/>
          <w:szCs w:val="28"/>
          <w:lang w:val="en-US"/>
        </w:rPr>
        <w:t xml:space="preserve"> </w:t>
      </w:r>
      <w:r w:rsidRPr="00BB63C8">
        <w:rPr>
          <w:rFonts w:ascii="Times" w:hAnsi="Times"/>
          <w:sz w:val="28"/>
          <w:szCs w:val="28"/>
          <w:lang w:val="en-US"/>
        </w:rPr>
        <w:t>Based on the evidence (</w:t>
      </w:r>
      <w:r w:rsidRPr="00BB63C8">
        <w:rPr>
          <w:rFonts w:ascii="Times" w:hAnsi="Times"/>
          <w:b/>
          <w:sz w:val="28"/>
          <w:szCs w:val="28"/>
          <w:lang w:val="en-US"/>
        </w:rPr>
        <w:t>ranging from low to very low quality</w:t>
      </w:r>
      <w:r w:rsidRPr="00BB63C8">
        <w:rPr>
          <w:rFonts w:ascii="Times" w:hAnsi="Times"/>
          <w:sz w:val="28"/>
          <w:szCs w:val="28"/>
          <w:lang w:val="en-US"/>
        </w:rPr>
        <w:t>) which showed that %HRC had high sensitivity and specificity, followed by CHr, and the results of the health economic model, the GDG recommended %HRC (&gt;6%) as the first-line test to diagnose iron deficiency followed by CHr or equivalent test (&lt;29 pg). TSAT (&lt;20%) and SF (&lt;100 micrograms/litre)</w:t>
      </w:r>
      <w:r w:rsidR="00BB63C8" w:rsidRPr="00BB63C8">
        <w:rPr>
          <w:rFonts w:ascii="Times" w:hAnsi="Times"/>
          <w:sz w:val="28"/>
          <w:szCs w:val="28"/>
          <w:lang w:val="en-US"/>
        </w:rPr>
        <w:t xml:space="preserve"> </w:t>
      </w:r>
      <w:r w:rsidRPr="00BB63C8">
        <w:rPr>
          <w:rFonts w:ascii="Times" w:hAnsi="Times"/>
          <w:sz w:val="28"/>
          <w:szCs w:val="28"/>
          <w:lang w:val="en-US"/>
        </w:rPr>
        <w:t xml:space="preserve">in combination were only recommended for the diagnosis of iron deficiency when any of the other tests were not available; the GDG agreed that as the sensitivity for each test was very low, neither TSAT nor SF could be used for diagnosis of iron deficiency and recommended against their use in isolation. However, it was acknowledged that SF still has a place in the diagnosis of iron overload (SF &gt;800 micrograms/litre) and should be used (link to CG114 recs </w:t>
      </w:r>
      <w:r w:rsidRPr="00BB63C8">
        <w:rPr>
          <w:rFonts w:ascii="Times" w:hAnsi="Times" w:cs="Calibri"/>
          <w:sz w:val="28"/>
          <w:szCs w:val="28"/>
          <w:lang w:val="en-US"/>
        </w:rPr>
        <w:t>and algorithm).</w:t>
      </w:r>
    </w:p>
    <w:p w14:paraId="1301B53C" w14:textId="381CDE01" w:rsidR="00645E6E" w:rsidRPr="001460F3" w:rsidRDefault="00AD4202" w:rsidP="00AD4202">
      <w:pPr>
        <w:widowControl w:val="0"/>
        <w:numPr>
          <w:ilvl w:val="0"/>
          <w:numId w:val="17"/>
        </w:numPr>
        <w:tabs>
          <w:tab w:val="left" w:pos="0"/>
          <w:tab w:val="left" w:pos="220"/>
        </w:tabs>
        <w:autoSpaceDE w:val="0"/>
        <w:autoSpaceDN w:val="0"/>
        <w:adjustRightInd w:val="0"/>
        <w:spacing w:after="240"/>
        <w:ind w:left="0" w:firstLine="0"/>
        <w:jc w:val="both"/>
        <w:rPr>
          <w:rFonts w:ascii="Times" w:hAnsi="Times" w:cs="Times"/>
          <w:lang w:val="en-US"/>
        </w:rPr>
      </w:pPr>
      <w:r>
        <w:rPr>
          <w:rFonts w:ascii="Times" w:hAnsi="Times" w:cs="Times"/>
          <w:sz w:val="28"/>
          <w:szCs w:val="28"/>
          <w:lang w:val="en-US"/>
        </w:rPr>
        <w:t xml:space="preserve">Üks uuring predialüüsihaugete kohta: </w:t>
      </w:r>
      <w:r w:rsidRPr="00AD4202">
        <w:rPr>
          <w:rFonts w:ascii="Times" w:hAnsi="Times" w:cs="Calibri"/>
          <w:sz w:val="28"/>
          <w:szCs w:val="28"/>
          <w:lang w:val="en-US"/>
        </w:rPr>
        <w:t>Stancu S, Barsan L, Stanciu A, Mircescu G. Can the response to iron therapy be predicted in anemic nondialysis patients with chronic kidney disease? Clinical Jou</w:t>
      </w:r>
      <w:r>
        <w:rPr>
          <w:rFonts w:ascii="Times" w:hAnsi="Times" w:cs="Calibri"/>
          <w:sz w:val="28"/>
          <w:szCs w:val="28"/>
          <w:lang w:val="en-US"/>
        </w:rPr>
        <w:t xml:space="preserve">rnal of The American Society of </w:t>
      </w:r>
      <w:r w:rsidRPr="00AD4202">
        <w:rPr>
          <w:rFonts w:ascii="Times" w:hAnsi="Times" w:cs="Calibri"/>
          <w:sz w:val="28"/>
          <w:szCs w:val="28"/>
          <w:lang w:val="en-US"/>
        </w:rPr>
        <w:t>Nephrology</w:t>
      </w:r>
      <w:r w:rsidRPr="00AD4202">
        <w:rPr>
          <w:rFonts w:ascii="Times" w:hAnsi="Times" w:cs="Times"/>
          <w:sz w:val="28"/>
          <w:szCs w:val="28"/>
          <w:lang w:val="en-US"/>
        </w:rPr>
        <w:t xml:space="preserve">. </w:t>
      </w:r>
      <w:r w:rsidRPr="00AD4202">
        <w:rPr>
          <w:rFonts w:ascii="Times" w:hAnsi="Times" w:cs="Calibri"/>
          <w:sz w:val="28"/>
          <w:szCs w:val="28"/>
          <w:lang w:val="en-US"/>
        </w:rPr>
        <w:t>2010; 5(3):409-416</w:t>
      </w:r>
      <w:r w:rsidRPr="00AD4202">
        <w:rPr>
          <w:rFonts w:ascii="Times" w:hAnsi="Times" w:cs="Times"/>
          <w:sz w:val="28"/>
          <w:szCs w:val="28"/>
          <w:lang w:val="en-US"/>
        </w:rPr>
        <w:t xml:space="preserve"> (</w:t>
      </w:r>
      <w:hyperlink r:id="rId15" w:history="1">
        <w:r w:rsidRPr="00AD4202">
          <w:rPr>
            <w:rStyle w:val="Hyperlink"/>
            <w:rFonts w:ascii="Times" w:hAnsi="Times" w:cs="Times"/>
            <w:sz w:val="28"/>
            <w:szCs w:val="28"/>
            <w:lang w:val="en-US"/>
          </w:rPr>
          <w:t>http://cjasn.asnjournals.org/content/5/3/409.long</w:t>
        </w:r>
      </w:hyperlink>
      <w:r w:rsidRPr="00AD4202">
        <w:rPr>
          <w:rFonts w:ascii="Times" w:hAnsi="Times" w:cs="Times"/>
          <w:sz w:val="28"/>
          <w:szCs w:val="28"/>
          <w:lang w:val="en-US"/>
        </w:rPr>
        <w:t>)</w:t>
      </w:r>
    </w:p>
    <w:p w14:paraId="2985C1A4" w14:textId="77777777" w:rsidR="001460F3" w:rsidRPr="001460F3" w:rsidRDefault="001460F3" w:rsidP="001460F3">
      <w:pPr>
        <w:widowControl w:val="0"/>
        <w:autoSpaceDE w:val="0"/>
        <w:autoSpaceDN w:val="0"/>
        <w:adjustRightInd w:val="0"/>
        <w:spacing w:after="240"/>
        <w:jc w:val="both"/>
        <w:rPr>
          <w:rFonts w:ascii="Times" w:hAnsi="Times" w:cs="Times"/>
          <w:sz w:val="28"/>
          <w:szCs w:val="28"/>
          <w:lang w:val="en-US"/>
        </w:rPr>
      </w:pPr>
      <w:r w:rsidRPr="001460F3">
        <w:rPr>
          <w:rFonts w:ascii="Times" w:hAnsi="Times" w:cs="Times"/>
          <w:sz w:val="28"/>
          <w:szCs w:val="28"/>
          <w:lang w:val="en-US"/>
        </w:rPr>
        <w:t>Evidence statements</w:t>
      </w:r>
    </w:p>
    <w:p w14:paraId="6C71FD51" w14:textId="108C31BF" w:rsidR="001460F3" w:rsidRPr="001460F3" w:rsidRDefault="001460F3" w:rsidP="001460F3">
      <w:pPr>
        <w:widowControl w:val="0"/>
        <w:autoSpaceDE w:val="0"/>
        <w:autoSpaceDN w:val="0"/>
        <w:adjustRightInd w:val="0"/>
        <w:spacing w:after="240"/>
        <w:jc w:val="both"/>
        <w:rPr>
          <w:rFonts w:ascii="Times" w:hAnsi="Times" w:cs="Times"/>
          <w:sz w:val="28"/>
          <w:szCs w:val="28"/>
          <w:u w:val="single"/>
          <w:lang w:val="en-US"/>
        </w:rPr>
      </w:pPr>
      <w:r w:rsidRPr="001460F3">
        <w:rPr>
          <w:rFonts w:ascii="Times" w:hAnsi="Times" w:cs="Times"/>
          <w:sz w:val="28"/>
          <w:szCs w:val="28"/>
          <w:u w:val="single"/>
          <w:lang w:val="en-US"/>
        </w:rPr>
        <w:t>CHr</w:t>
      </w:r>
    </w:p>
    <w:p w14:paraId="6C100CB3" w14:textId="77777777" w:rsidR="001460F3" w:rsidRPr="001460F3" w:rsidRDefault="001460F3" w:rsidP="001460F3">
      <w:pPr>
        <w:pStyle w:val="ListParagraph"/>
        <w:widowControl w:val="0"/>
        <w:numPr>
          <w:ilvl w:val="0"/>
          <w:numId w:val="17"/>
        </w:numPr>
        <w:autoSpaceDE w:val="0"/>
        <w:autoSpaceDN w:val="0"/>
        <w:adjustRightInd w:val="0"/>
        <w:spacing w:after="240"/>
        <w:ind w:left="0" w:firstLine="0"/>
        <w:jc w:val="both"/>
        <w:rPr>
          <w:rFonts w:ascii="Times" w:hAnsi="Times" w:cs="Times"/>
          <w:sz w:val="28"/>
          <w:szCs w:val="28"/>
          <w:lang w:val="en-US"/>
        </w:rPr>
      </w:pPr>
      <w:r w:rsidRPr="001460F3">
        <w:rPr>
          <w:rFonts w:ascii="Times" w:hAnsi="Times"/>
          <w:sz w:val="28"/>
          <w:szCs w:val="28"/>
          <w:lang w:val="en-US"/>
        </w:rPr>
        <w:t>Two studies were identified looking at the performance of CHr to predict response to iron therapy based on average dose of ESA used to maintain target haematocrit. Moderate quality evidence from one RCT</w:t>
      </w:r>
      <w:r w:rsidRPr="001460F3">
        <w:rPr>
          <w:rFonts w:ascii="Times" w:hAnsi="Times"/>
          <w:position w:val="13"/>
          <w:sz w:val="28"/>
          <w:szCs w:val="28"/>
          <w:lang w:val="en-US"/>
        </w:rPr>
        <w:t xml:space="preserve">111 </w:t>
      </w:r>
      <w:r w:rsidRPr="001460F3">
        <w:rPr>
          <w:rFonts w:ascii="Times" w:hAnsi="Times"/>
          <w:sz w:val="28"/>
          <w:szCs w:val="28"/>
          <w:lang w:val="en-US"/>
        </w:rPr>
        <w:t>(n=138) favoured using CHr at a threshold of less than 29 pg compared with using TSAT or SF. Low quality evidence from another RCT</w:t>
      </w:r>
      <w:r w:rsidRPr="001460F3">
        <w:rPr>
          <w:rFonts w:ascii="Times" w:hAnsi="Times"/>
          <w:position w:val="13"/>
          <w:sz w:val="28"/>
          <w:szCs w:val="28"/>
          <w:lang w:val="en-US"/>
        </w:rPr>
        <w:t xml:space="preserve">166 </w:t>
      </w:r>
      <w:r w:rsidRPr="001460F3">
        <w:rPr>
          <w:rFonts w:ascii="Times" w:hAnsi="Times"/>
          <w:sz w:val="28"/>
          <w:szCs w:val="28"/>
          <w:lang w:val="en-US"/>
        </w:rPr>
        <w:t>(n=183) favoured the use of TSAT alone compared with using CHr at a higher threshold of less than 32.5 pg.</w:t>
      </w:r>
    </w:p>
    <w:p w14:paraId="3EC42E08" w14:textId="77777777" w:rsidR="001460F3" w:rsidRPr="001460F3" w:rsidRDefault="001460F3" w:rsidP="001460F3">
      <w:pPr>
        <w:pStyle w:val="ListParagraph"/>
        <w:widowControl w:val="0"/>
        <w:numPr>
          <w:ilvl w:val="0"/>
          <w:numId w:val="17"/>
        </w:numPr>
        <w:autoSpaceDE w:val="0"/>
        <w:autoSpaceDN w:val="0"/>
        <w:adjustRightInd w:val="0"/>
        <w:spacing w:after="240"/>
        <w:ind w:left="0" w:firstLine="0"/>
        <w:jc w:val="both"/>
        <w:rPr>
          <w:rFonts w:ascii="Times" w:hAnsi="Times" w:cs="Times"/>
          <w:sz w:val="28"/>
          <w:szCs w:val="28"/>
          <w:lang w:val="en-US"/>
        </w:rPr>
      </w:pPr>
      <w:r w:rsidRPr="001460F3">
        <w:rPr>
          <w:rFonts w:ascii="Times" w:hAnsi="Times"/>
          <w:sz w:val="28"/>
          <w:szCs w:val="28"/>
          <w:lang w:val="en-US"/>
        </w:rPr>
        <w:t>Low quality evidence based on raw data scores in three cohort studies</w:t>
      </w:r>
      <w:r w:rsidRPr="001460F3">
        <w:rPr>
          <w:rFonts w:ascii="Times" w:hAnsi="Times"/>
          <w:position w:val="13"/>
          <w:sz w:val="28"/>
          <w:szCs w:val="28"/>
          <w:lang w:val="en-US"/>
        </w:rPr>
        <w:t xml:space="preserve">51,93,350 </w:t>
      </w:r>
      <w:r w:rsidRPr="001460F3">
        <w:rPr>
          <w:rFonts w:ascii="Times" w:hAnsi="Times"/>
          <w:sz w:val="28"/>
          <w:szCs w:val="28"/>
          <w:lang w:val="en-US"/>
        </w:rPr>
        <w:t>(n=178) using a less than 29-30 pg threshold showed highly variable and mediocre sensitivity (point estimates of 33%, 47% and 57% with a range of 10-73%) and high but variable specificity (point estimates of 100%, 83% and 93% with a range of 36-100%). Two of these studies reported fair AUC</w:t>
      </w:r>
      <w:r w:rsidRPr="001460F3">
        <w:rPr>
          <w:rFonts w:ascii="Times" w:hAnsi="Times"/>
          <w:position w:val="13"/>
          <w:sz w:val="28"/>
          <w:szCs w:val="28"/>
          <w:lang w:val="en-US"/>
        </w:rPr>
        <w:t xml:space="preserve">51,350 </w:t>
      </w:r>
      <w:r w:rsidRPr="001460F3">
        <w:rPr>
          <w:rFonts w:ascii="Times" w:hAnsi="Times"/>
          <w:sz w:val="28"/>
          <w:szCs w:val="28"/>
          <w:lang w:val="en-US"/>
        </w:rPr>
        <w:t>(75.2 and 79.8). One very low quality paper</w:t>
      </w:r>
      <w:r w:rsidRPr="001460F3">
        <w:rPr>
          <w:rFonts w:ascii="Times" w:hAnsi="Times"/>
          <w:position w:val="13"/>
          <w:sz w:val="28"/>
          <w:szCs w:val="28"/>
          <w:lang w:val="en-US"/>
        </w:rPr>
        <w:t xml:space="preserve">54 </w:t>
      </w:r>
      <w:r w:rsidRPr="001460F3">
        <w:rPr>
          <w:rFonts w:ascii="Times" w:hAnsi="Times"/>
          <w:sz w:val="28"/>
          <w:szCs w:val="28"/>
          <w:lang w:val="en-US"/>
        </w:rPr>
        <w:t>(n=69) also reported a fair AUC of 74. One very low quality paper</w:t>
      </w:r>
      <w:r w:rsidRPr="001460F3">
        <w:rPr>
          <w:rFonts w:ascii="Times" w:hAnsi="Times"/>
          <w:position w:val="13"/>
          <w:sz w:val="28"/>
          <w:szCs w:val="28"/>
          <w:lang w:val="en-US"/>
        </w:rPr>
        <w:t xml:space="preserve">109 </w:t>
      </w:r>
      <w:r w:rsidRPr="001460F3">
        <w:rPr>
          <w:rFonts w:ascii="Times" w:hAnsi="Times"/>
          <w:sz w:val="28"/>
          <w:szCs w:val="28"/>
          <w:lang w:val="en-US"/>
        </w:rPr>
        <w:t>(n=32) using a lower threshold (less than 26%) reported higher sensitivity (100%) and similar specificity (80%).</w:t>
      </w:r>
    </w:p>
    <w:p w14:paraId="0726BE41" w14:textId="77777777" w:rsidR="001460F3" w:rsidRPr="001460F3" w:rsidRDefault="001460F3" w:rsidP="001460F3">
      <w:pPr>
        <w:pStyle w:val="ListParagraph"/>
        <w:widowControl w:val="0"/>
        <w:numPr>
          <w:ilvl w:val="0"/>
          <w:numId w:val="17"/>
        </w:numPr>
        <w:autoSpaceDE w:val="0"/>
        <w:autoSpaceDN w:val="0"/>
        <w:adjustRightInd w:val="0"/>
        <w:spacing w:after="240"/>
        <w:ind w:left="0" w:firstLine="0"/>
        <w:jc w:val="both"/>
        <w:rPr>
          <w:rFonts w:ascii="Times" w:hAnsi="Times" w:cs="Times"/>
          <w:sz w:val="28"/>
          <w:szCs w:val="28"/>
          <w:u w:val="single"/>
          <w:lang w:val="en-US"/>
        </w:rPr>
      </w:pPr>
      <w:r w:rsidRPr="001460F3">
        <w:rPr>
          <w:rFonts w:ascii="Times" w:hAnsi="Times" w:cs="Times"/>
          <w:sz w:val="28"/>
          <w:szCs w:val="28"/>
          <w:u w:val="single"/>
          <w:lang w:val="en-US"/>
        </w:rPr>
        <w:t>%HRC</w:t>
      </w:r>
    </w:p>
    <w:p w14:paraId="745D72D1" w14:textId="77777777" w:rsidR="001460F3" w:rsidRPr="001460F3" w:rsidRDefault="001460F3" w:rsidP="001460F3">
      <w:pPr>
        <w:pStyle w:val="ListParagraph"/>
        <w:widowControl w:val="0"/>
        <w:numPr>
          <w:ilvl w:val="0"/>
          <w:numId w:val="17"/>
        </w:numPr>
        <w:autoSpaceDE w:val="0"/>
        <w:autoSpaceDN w:val="0"/>
        <w:adjustRightInd w:val="0"/>
        <w:spacing w:after="240"/>
        <w:ind w:left="0" w:firstLine="0"/>
        <w:jc w:val="both"/>
        <w:rPr>
          <w:rFonts w:ascii="Times" w:hAnsi="Times" w:cs="Times"/>
          <w:sz w:val="28"/>
          <w:szCs w:val="28"/>
          <w:lang w:val="en-US"/>
        </w:rPr>
      </w:pPr>
      <w:r w:rsidRPr="001460F3">
        <w:rPr>
          <w:rFonts w:ascii="Times" w:hAnsi="Times"/>
          <w:sz w:val="28"/>
          <w:szCs w:val="28"/>
          <w:lang w:val="en-US"/>
        </w:rPr>
        <w:t>Very low quality evidence based on raw data scores in two cohort studies</w:t>
      </w:r>
      <w:r w:rsidRPr="001460F3">
        <w:rPr>
          <w:rFonts w:ascii="Times" w:hAnsi="Times"/>
          <w:position w:val="13"/>
          <w:sz w:val="28"/>
          <w:szCs w:val="28"/>
          <w:lang w:val="en-US"/>
        </w:rPr>
        <w:t xml:space="preserve">51,350 </w:t>
      </w:r>
      <w:r w:rsidRPr="001460F3">
        <w:rPr>
          <w:rFonts w:ascii="Times" w:hAnsi="Times"/>
          <w:sz w:val="28"/>
          <w:szCs w:val="28"/>
          <w:lang w:val="en-US"/>
        </w:rPr>
        <w:t>(n=157) using a more than 6% threshold showed reasonably high and variable sensitivity (point estimates of 82% and 92% with a range from 62-100%) and reasonably high and variable specificity (point estimates of 75% and 95% with a range of 51-99%). These studies also reported excellent AUC (93.7 and 92.9). One very low quality paper</w:t>
      </w:r>
      <w:r w:rsidRPr="001460F3">
        <w:rPr>
          <w:rFonts w:ascii="Times" w:hAnsi="Times"/>
          <w:position w:val="13"/>
          <w:sz w:val="28"/>
          <w:szCs w:val="28"/>
          <w:lang w:val="en-US"/>
        </w:rPr>
        <w:t xml:space="preserve">54 </w:t>
      </w:r>
      <w:r w:rsidRPr="001460F3">
        <w:rPr>
          <w:rFonts w:ascii="Times" w:hAnsi="Times"/>
          <w:sz w:val="28"/>
          <w:szCs w:val="28"/>
          <w:lang w:val="en-US"/>
        </w:rPr>
        <w:t>(n=69) also reported a fair AUC of 72. One very low quality paper</w:t>
      </w:r>
      <w:r w:rsidRPr="001460F3">
        <w:rPr>
          <w:rFonts w:ascii="Times" w:hAnsi="Times"/>
          <w:position w:val="13"/>
          <w:sz w:val="28"/>
          <w:szCs w:val="28"/>
          <w:lang w:val="en-US"/>
        </w:rPr>
        <w:t xml:space="preserve">109 </w:t>
      </w:r>
      <w:r w:rsidRPr="001460F3">
        <w:rPr>
          <w:rFonts w:ascii="Times" w:hAnsi="Times"/>
          <w:sz w:val="28"/>
          <w:szCs w:val="28"/>
          <w:lang w:val="en-US"/>
        </w:rPr>
        <w:t>(n=32) using a higher threshold (more than 10%) reported lower sensitivity (43%) and similar specificity (80%).</w:t>
      </w:r>
    </w:p>
    <w:p w14:paraId="400AA666" w14:textId="77777777" w:rsidR="001460F3" w:rsidRPr="001460F3" w:rsidRDefault="001460F3" w:rsidP="001460F3">
      <w:pPr>
        <w:pStyle w:val="ListParagraph"/>
        <w:widowControl w:val="0"/>
        <w:numPr>
          <w:ilvl w:val="0"/>
          <w:numId w:val="17"/>
        </w:numPr>
        <w:autoSpaceDE w:val="0"/>
        <w:autoSpaceDN w:val="0"/>
        <w:adjustRightInd w:val="0"/>
        <w:spacing w:after="240"/>
        <w:ind w:left="0" w:firstLine="0"/>
        <w:jc w:val="both"/>
        <w:rPr>
          <w:rFonts w:ascii="Times" w:hAnsi="Times" w:cs="Times"/>
          <w:sz w:val="28"/>
          <w:szCs w:val="28"/>
          <w:u w:val="single"/>
          <w:lang w:val="en-US"/>
        </w:rPr>
      </w:pPr>
      <w:r w:rsidRPr="001460F3">
        <w:rPr>
          <w:rFonts w:ascii="Times" w:hAnsi="Times" w:cs="Times"/>
          <w:sz w:val="28"/>
          <w:szCs w:val="28"/>
          <w:u w:val="single"/>
          <w:lang w:val="en-US"/>
        </w:rPr>
        <w:t>TSAT</w:t>
      </w:r>
    </w:p>
    <w:p w14:paraId="739E753D" w14:textId="77777777" w:rsidR="001460F3" w:rsidRPr="001460F3" w:rsidRDefault="001460F3" w:rsidP="001460F3">
      <w:pPr>
        <w:pStyle w:val="ListParagraph"/>
        <w:widowControl w:val="0"/>
        <w:numPr>
          <w:ilvl w:val="0"/>
          <w:numId w:val="17"/>
        </w:numPr>
        <w:autoSpaceDE w:val="0"/>
        <w:autoSpaceDN w:val="0"/>
        <w:adjustRightInd w:val="0"/>
        <w:spacing w:after="240"/>
        <w:ind w:left="0" w:firstLine="0"/>
        <w:jc w:val="both"/>
        <w:rPr>
          <w:rFonts w:ascii="Times" w:hAnsi="Times" w:cs="Times"/>
          <w:sz w:val="28"/>
          <w:szCs w:val="28"/>
          <w:lang w:val="en-US"/>
        </w:rPr>
      </w:pPr>
      <w:r w:rsidRPr="001460F3">
        <w:rPr>
          <w:rFonts w:ascii="Times" w:hAnsi="Times"/>
          <w:sz w:val="28"/>
          <w:szCs w:val="28"/>
          <w:lang w:val="en-US"/>
        </w:rPr>
        <w:t>Very low quality evidence from a diagnostic meta-analysis of six studies</w:t>
      </w:r>
      <w:r w:rsidRPr="001460F3">
        <w:rPr>
          <w:rFonts w:ascii="Times" w:hAnsi="Times"/>
          <w:position w:val="13"/>
          <w:sz w:val="28"/>
          <w:szCs w:val="28"/>
          <w:lang w:val="en-US"/>
        </w:rPr>
        <w:t xml:space="preserve">51,93,109,110,332,350 </w:t>
      </w:r>
      <w:r w:rsidRPr="001460F3">
        <w:rPr>
          <w:rFonts w:ascii="Times" w:hAnsi="Times"/>
          <w:sz w:val="28"/>
          <w:szCs w:val="28"/>
          <w:lang w:val="en-US"/>
        </w:rPr>
        <w:t>(n=357) using a less than 20% threshold showed variable and mediocre sensitivity 61% (34-84%) and mediocre specificity 78% (63-91%). AUC from three of the six studies</w:t>
      </w:r>
      <w:r w:rsidRPr="001460F3">
        <w:rPr>
          <w:rFonts w:ascii="Times" w:hAnsi="Times"/>
          <w:position w:val="13"/>
          <w:sz w:val="28"/>
          <w:szCs w:val="28"/>
          <w:lang w:val="en-US"/>
        </w:rPr>
        <w:t xml:space="preserve">51,332,350 </w:t>
      </w:r>
      <w:r w:rsidRPr="001460F3">
        <w:rPr>
          <w:rFonts w:ascii="Times" w:hAnsi="Times"/>
          <w:sz w:val="28"/>
          <w:szCs w:val="28"/>
          <w:lang w:val="en-US"/>
        </w:rPr>
        <w:t>(n=257) and one additional very low quality study</w:t>
      </w:r>
      <w:r w:rsidRPr="001460F3">
        <w:rPr>
          <w:rFonts w:ascii="Times" w:hAnsi="Times"/>
          <w:position w:val="13"/>
          <w:sz w:val="28"/>
          <w:szCs w:val="28"/>
          <w:lang w:val="en-US"/>
        </w:rPr>
        <w:t xml:space="preserve">54 </w:t>
      </w:r>
      <w:r w:rsidRPr="001460F3">
        <w:rPr>
          <w:rFonts w:ascii="Times" w:hAnsi="Times"/>
          <w:sz w:val="28"/>
          <w:szCs w:val="28"/>
          <w:lang w:val="en-US"/>
        </w:rPr>
        <w:t>(n=69) not included in the meta-analysis ranged from very poor/equal to chance to good (40-90).</w:t>
      </w:r>
    </w:p>
    <w:p w14:paraId="21048B5D" w14:textId="77777777" w:rsidR="001460F3" w:rsidRPr="001460F3" w:rsidRDefault="001460F3" w:rsidP="001460F3">
      <w:pPr>
        <w:pStyle w:val="ListParagraph"/>
        <w:widowControl w:val="0"/>
        <w:numPr>
          <w:ilvl w:val="0"/>
          <w:numId w:val="17"/>
        </w:numPr>
        <w:autoSpaceDE w:val="0"/>
        <w:autoSpaceDN w:val="0"/>
        <w:adjustRightInd w:val="0"/>
        <w:spacing w:after="240"/>
        <w:ind w:left="0" w:firstLine="0"/>
        <w:jc w:val="both"/>
        <w:rPr>
          <w:rFonts w:ascii="Times" w:hAnsi="Times" w:cs="Times"/>
          <w:sz w:val="28"/>
          <w:szCs w:val="28"/>
          <w:u w:val="single"/>
          <w:lang w:val="en-US"/>
        </w:rPr>
      </w:pPr>
      <w:r w:rsidRPr="001460F3">
        <w:rPr>
          <w:rFonts w:ascii="Times" w:hAnsi="Times" w:cs="Times"/>
          <w:sz w:val="28"/>
          <w:szCs w:val="28"/>
          <w:u w:val="single"/>
          <w:lang w:val="en-US"/>
        </w:rPr>
        <w:t>SF</w:t>
      </w:r>
    </w:p>
    <w:p w14:paraId="46633F55" w14:textId="77777777" w:rsidR="001460F3" w:rsidRPr="001460F3" w:rsidRDefault="001460F3" w:rsidP="001460F3">
      <w:pPr>
        <w:pStyle w:val="ListParagraph"/>
        <w:widowControl w:val="0"/>
        <w:numPr>
          <w:ilvl w:val="0"/>
          <w:numId w:val="17"/>
        </w:numPr>
        <w:autoSpaceDE w:val="0"/>
        <w:autoSpaceDN w:val="0"/>
        <w:adjustRightInd w:val="0"/>
        <w:spacing w:after="240"/>
        <w:ind w:left="0" w:firstLine="0"/>
        <w:jc w:val="both"/>
        <w:rPr>
          <w:rFonts w:ascii="Times" w:hAnsi="Times" w:cs="Times"/>
          <w:sz w:val="28"/>
          <w:szCs w:val="28"/>
          <w:lang w:val="en-US"/>
        </w:rPr>
      </w:pPr>
      <w:r w:rsidRPr="001460F3">
        <w:rPr>
          <w:rFonts w:ascii="Times" w:hAnsi="Times"/>
          <w:sz w:val="28"/>
          <w:szCs w:val="28"/>
          <w:lang w:val="en-US"/>
        </w:rPr>
        <w:t>Very low quality evidence from a diagnostic meta-analysis of six studies</w:t>
      </w:r>
      <w:r w:rsidRPr="001460F3">
        <w:rPr>
          <w:rFonts w:ascii="Times" w:hAnsi="Times"/>
          <w:position w:val="13"/>
          <w:sz w:val="28"/>
          <w:szCs w:val="28"/>
          <w:lang w:val="en-US"/>
        </w:rPr>
        <w:t xml:space="preserve">51,93,109,110,332,350 </w:t>
      </w:r>
      <w:r w:rsidRPr="001460F3">
        <w:rPr>
          <w:rFonts w:ascii="Times" w:hAnsi="Times"/>
          <w:sz w:val="28"/>
          <w:szCs w:val="28"/>
          <w:lang w:val="en-US"/>
        </w:rPr>
        <w:t>(n=357) using a less than 100 micrograms/litre threshold showed low senility 39% (20-60%) and reasonably high specificity 81% (65-92%). AUC from two of the six studies</w:t>
      </w:r>
      <w:r w:rsidRPr="001460F3">
        <w:rPr>
          <w:rFonts w:ascii="Times" w:hAnsi="Times"/>
          <w:position w:val="13"/>
          <w:sz w:val="28"/>
          <w:szCs w:val="28"/>
          <w:lang w:val="en-US"/>
        </w:rPr>
        <w:t xml:space="preserve">332,350 </w:t>
      </w:r>
      <w:r w:rsidRPr="001460F3">
        <w:rPr>
          <w:rFonts w:ascii="Times" w:hAnsi="Times"/>
          <w:sz w:val="28"/>
          <w:szCs w:val="28"/>
          <w:lang w:val="en-US"/>
        </w:rPr>
        <w:t>(n=225) and one additional very low quality study</w:t>
      </w:r>
      <w:r w:rsidRPr="001460F3">
        <w:rPr>
          <w:rFonts w:ascii="Times" w:hAnsi="Times"/>
          <w:position w:val="13"/>
          <w:sz w:val="28"/>
          <w:szCs w:val="28"/>
          <w:lang w:val="en-US"/>
        </w:rPr>
        <w:t xml:space="preserve">54 </w:t>
      </w:r>
      <w:r w:rsidRPr="001460F3">
        <w:rPr>
          <w:rFonts w:ascii="Times" w:hAnsi="Times"/>
          <w:sz w:val="28"/>
          <w:szCs w:val="28"/>
          <w:lang w:val="en-US"/>
        </w:rPr>
        <w:t>(n=69) not included in the meta-analysis ranged from very poor/equal to chance to poor (38-69).</w:t>
      </w:r>
    </w:p>
    <w:p w14:paraId="688183D5" w14:textId="77777777" w:rsidR="001460F3" w:rsidRPr="001460F3" w:rsidRDefault="001460F3" w:rsidP="001460F3">
      <w:pPr>
        <w:pStyle w:val="ListParagraph"/>
        <w:widowControl w:val="0"/>
        <w:numPr>
          <w:ilvl w:val="0"/>
          <w:numId w:val="17"/>
        </w:numPr>
        <w:autoSpaceDE w:val="0"/>
        <w:autoSpaceDN w:val="0"/>
        <w:adjustRightInd w:val="0"/>
        <w:spacing w:after="240"/>
        <w:ind w:left="0" w:firstLine="0"/>
        <w:jc w:val="both"/>
        <w:rPr>
          <w:rFonts w:ascii="Times" w:hAnsi="Times" w:cs="Times"/>
          <w:sz w:val="28"/>
          <w:szCs w:val="28"/>
          <w:u w:val="single"/>
          <w:lang w:val="en-US"/>
        </w:rPr>
      </w:pPr>
      <w:r w:rsidRPr="001460F3">
        <w:rPr>
          <w:rFonts w:ascii="Times" w:hAnsi="Times" w:cs="Times"/>
          <w:sz w:val="28"/>
          <w:szCs w:val="28"/>
          <w:u w:val="single"/>
          <w:lang w:val="en-US"/>
        </w:rPr>
        <w:t>TSAT/SF combinations</w:t>
      </w:r>
    </w:p>
    <w:p w14:paraId="4BAB680E" w14:textId="77777777" w:rsidR="001460F3" w:rsidRPr="001460F3" w:rsidRDefault="001460F3" w:rsidP="001460F3">
      <w:pPr>
        <w:pStyle w:val="ListParagraph"/>
        <w:widowControl w:val="0"/>
        <w:numPr>
          <w:ilvl w:val="0"/>
          <w:numId w:val="17"/>
        </w:numPr>
        <w:autoSpaceDE w:val="0"/>
        <w:autoSpaceDN w:val="0"/>
        <w:adjustRightInd w:val="0"/>
        <w:spacing w:after="240"/>
        <w:jc w:val="both"/>
        <w:rPr>
          <w:rFonts w:ascii="Times" w:hAnsi="Times" w:cs="Times"/>
          <w:sz w:val="28"/>
          <w:szCs w:val="28"/>
          <w:lang w:val="en-US"/>
        </w:rPr>
      </w:pPr>
      <w:r w:rsidRPr="001460F3">
        <w:rPr>
          <w:rFonts w:ascii="Times" w:hAnsi="Times"/>
          <w:sz w:val="28"/>
          <w:szCs w:val="28"/>
          <w:lang w:val="en-US"/>
        </w:rPr>
        <w:t>Very low quality evidence from one study</w:t>
      </w:r>
      <w:r w:rsidRPr="001460F3">
        <w:rPr>
          <w:rFonts w:ascii="Times" w:hAnsi="Times"/>
          <w:position w:val="13"/>
          <w:sz w:val="28"/>
          <w:szCs w:val="28"/>
          <w:lang w:val="en-US"/>
        </w:rPr>
        <w:t xml:space="preserve">63 </w:t>
      </w:r>
      <w:r w:rsidRPr="001460F3">
        <w:rPr>
          <w:rFonts w:ascii="Times" w:hAnsi="Times"/>
          <w:sz w:val="28"/>
          <w:szCs w:val="28"/>
          <w:lang w:val="en-US"/>
        </w:rPr>
        <w:t>(n=100) investigating the use of TSAT and SF alone or in combination (and/or) showed very low sensitivity 27% and high specificity 92%. Moderate quality evidence from a second paper</w:t>
      </w:r>
      <w:r w:rsidRPr="001460F3">
        <w:rPr>
          <w:rFonts w:ascii="Times" w:hAnsi="Times"/>
          <w:position w:val="13"/>
          <w:sz w:val="28"/>
          <w:szCs w:val="28"/>
          <w:lang w:val="en-US"/>
        </w:rPr>
        <w:t xml:space="preserve">332 </w:t>
      </w:r>
      <w:r w:rsidRPr="001460F3">
        <w:rPr>
          <w:rFonts w:ascii="Times" w:hAnsi="Times"/>
          <w:sz w:val="28"/>
          <w:szCs w:val="28"/>
          <w:lang w:val="en-US"/>
        </w:rPr>
        <w:t>(n=100) investigating TSAT and SF in combination showed similarly low sensitivity 33% and high specificity 98%.</w:t>
      </w:r>
    </w:p>
    <w:p w14:paraId="09C3CD96" w14:textId="77777777" w:rsidR="001460F3" w:rsidRPr="001460F3" w:rsidRDefault="001460F3" w:rsidP="001460F3">
      <w:pPr>
        <w:pStyle w:val="ListParagraph"/>
        <w:widowControl w:val="0"/>
        <w:numPr>
          <w:ilvl w:val="0"/>
          <w:numId w:val="17"/>
        </w:numPr>
        <w:autoSpaceDE w:val="0"/>
        <w:autoSpaceDN w:val="0"/>
        <w:adjustRightInd w:val="0"/>
        <w:spacing w:after="240"/>
        <w:ind w:left="0" w:firstLine="0"/>
        <w:jc w:val="both"/>
        <w:rPr>
          <w:rFonts w:ascii="Times" w:hAnsi="Times" w:cs="Times"/>
          <w:sz w:val="28"/>
          <w:szCs w:val="28"/>
          <w:u w:val="single"/>
          <w:lang w:val="en-US"/>
        </w:rPr>
      </w:pPr>
      <w:r w:rsidRPr="001460F3">
        <w:rPr>
          <w:rFonts w:ascii="Times" w:hAnsi="Times" w:cs="Times"/>
          <w:sz w:val="28"/>
          <w:szCs w:val="28"/>
          <w:u w:val="single"/>
          <w:lang w:val="en-US"/>
        </w:rPr>
        <w:t>sTfR</w:t>
      </w:r>
    </w:p>
    <w:p w14:paraId="19FAF602" w14:textId="3D4C5385" w:rsidR="001460F3" w:rsidRPr="001460F3" w:rsidRDefault="001460F3" w:rsidP="001460F3">
      <w:pPr>
        <w:pStyle w:val="ListParagraph"/>
        <w:widowControl w:val="0"/>
        <w:numPr>
          <w:ilvl w:val="0"/>
          <w:numId w:val="17"/>
        </w:numPr>
        <w:autoSpaceDE w:val="0"/>
        <w:autoSpaceDN w:val="0"/>
        <w:adjustRightInd w:val="0"/>
        <w:spacing w:after="240"/>
        <w:jc w:val="both"/>
        <w:rPr>
          <w:rFonts w:ascii="Times" w:hAnsi="Times" w:cs="Times"/>
          <w:sz w:val="28"/>
          <w:szCs w:val="28"/>
          <w:lang w:val="en-US"/>
        </w:rPr>
      </w:pPr>
      <w:r w:rsidRPr="001460F3">
        <w:rPr>
          <w:rFonts w:ascii="Times" w:hAnsi="Times"/>
          <w:sz w:val="28"/>
          <w:szCs w:val="28"/>
          <w:lang w:val="en-US"/>
        </w:rPr>
        <w:t>Very low quality evidence from one cohort study</w:t>
      </w:r>
      <w:r w:rsidRPr="001460F3">
        <w:rPr>
          <w:rFonts w:ascii="Times" w:hAnsi="Times"/>
          <w:position w:val="13"/>
          <w:sz w:val="28"/>
          <w:szCs w:val="28"/>
          <w:lang w:val="en-US"/>
        </w:rPr>
        <w:t xml:space="preserve">12 </w:t>
      </w:r>
      <w:r w:rsidRPr="001460F3">
        <w:rPr>
          <w:rFonts w:ascii="Times" w:hAnsi="Times"/>
          <w:sz w:val="28"/>
          <w:szCs w:val="28"/>
          <w:lang w:val="en-US"/>
        </w:rPr>
        <w:t>(n=17) showed reasonably high but highly variable sensitivity 82% (47-100) and specificity 78% (40-97). Very low quality evidence from two other studies</w:t>
      </w:r>
      <w:r w:rsidRPr="001460F3">
        <w:rPr>
          <w:rFonts w:ascii="Times" w:hAnsi="Times"/>
          <w:position w:val="13"/>
          <w:sz w:val="28"/>
          <w:szCs w:val="28"/>
          <w:lang w:val="en-US"/>
        </w:rPr>
        <w:t xml:space="preserve">51,350 </w:t>
      </w:r>
      <w:r w:rsidRPr="001460F3">
        <w:rPr>
          <w:rFonts w:ascii="Times" w:hAnsi="Times"/>
          <w:sz w:val="28"/>
          <w:szCs w:val="28"/>
          <w:lang w:val="en-US"/>
        </w:rPr>
        <w:t>reported fair to excellent AUC (78.3 and 98.9).</w:t>
      </w:r>
    </w:p>
    <w:p w14:paraId="60F5ADAC" w14:textId="4C1480F7" w:rsidR="001B2F65" w:rsidRPr="001B2F65" w:rsidRDefault="001B2F65" w:rsidP="001B2F65">
      <w:pPr>
        <w:widowControl w:val="0"/>
        <w:autoSpaceDE w:val="0"/>
        <w:autoSpaceDN w:val="0"/>
        <w:adjustRightInd w:val="0"/>
        <w:spacing w:after="240"/>
        <w:jc w:val="both"/>
        <w:rPr>
          <w:rFonts w:ascii="Times" w:hAnsi="Times" w:cs="Times"/>
          <w:sz w:val="28"/>
          <w:szCs w:val="28"/>
          <w:u w:val="single"/>
          <w:lang w:val="en-US"/>
        </w:rPr>
      </w:pPr>
      <w:r w:rsidRPr="001B2F65">
        <w:rPr>
          <w:rFonts w:ascii="Times" w:hAnsi="Times" w:cs="Times"/>
          <w:sz w:val="28"/>
          <w:szCs w:val="28"/>
          <w:u w:val="single"/>
          <w:lang w:val="en-US"/>
        </w:rPr>
        <w:t>Economic evidence</w:t>
      </w:r>
    </w:p>
    <w:p w14:paraId="4242E7F1" w14:textId="77777777" w:rsidR="001B2F65" w:rsidRPr="001B2F65" w:rsidRDefault="001B2F65" w:rsidP="001B2F65">
      <w:pPr>
        <w:widowControl w:val="0"/>
        <w:autoSpaceDE w:val="0"/>
        <w:autoSpaceDN w:val="0"/>
        <w:adjustRightInd w:val="0"/>
        <w:spacing w:after="240"/>
        <w:jc w:val="both"/>
        <w:rPr>
          <w:rFonts w:ascii="Times" w:hAnsi="Times" w:cs="Times"/>
          <w:sz w:val="28"/>
          <w:szCs w:val="28"/>
          <w:lang w:val="en-US"/>
        </w:rPr>
      </w:pPr>
      <w:r w:rsidRPr="001B2F65">
        <w:rPr>
          <w:rFonts w:ascii="Times" w:hAnsi="Times" w:cs="Times"/>
          <w:sz w:val="28"/>
          <w:szCs w:val="28"/>
          <w:lang w:val="en-US"/>
        </w:rPr>
        <w:t>Results</w:t>
      </w:r>
    </w:p>
    <w:p w14:paraId="1BC8D7E7" w14:textId="77777777" w:rsidR="001B2F65" w:rsidRPr="001B2F65" w:rsidRDefault="001B2F65" w:rsidP="001B2F65">
      <w:pPr>
        <w:widowControl w:val="0"/>
        <w:autoSpaceDE w:val="0"/>
        <w:autoSpaceDN w:val="0"/>
        <w:adjustRightInd w:val="0"/>
        <w:spacing w:after="240"/>
        <w:jc w:val="both"/>
        <w:rPr>
          <w:rFonts w:ascii="Times" w:hAnsi="Times" w:cs="Times"/>
          <w:sz w:val="28"/>
          <w:szCs w:val="28"/>
          <w:lang w:val="en-US"/>
        </w:rPr>
      </w:pPr>
      <w:r w:rsidRPr="001B2F65">
        <w:rPr>
          <w:rFonts w:ascii="Times" w:hAnsi="Times" w:cs="Calibri"/>
          <w:sz w:val="28"/>
          <w:szCs w:val="28"/>
          <w:lang w:val="en-US"/>
        </w:rPr>
        <w:t>The results of the base case analysis are presented in Table 47. For haemodialysis patients, %HRC more than 6 dominated all other strategies (it led both to more QALYs and lower cost). For the other patients, TSAT less than 20% and SF less than 100 micrograms/litre was the lowest cost strategy, but %HRC was the most cost-effective, costing £11,300 per additional QALY gained. The results were subjected to a number of sensitivity analyses. %HRC was ranked 1</w:t>
      </w:r>
      <w:r w:rsidRPr="001B2F65">
        <w:rPr>
          <w:rFonts w:ascii="Times" w:hAnsi="Times" w:cs="Calibri"/>
          <w:position w:val="13"/>
          <w:sz w:val="28"/>
          <w:szCs w:val="28"/>
          <w:lang w:val="en-US"/>
        </w:rPr>
        <w:t xml:space="preserve">st </w:t>
      </w:r>
      <w:r w:rsidRPr="001B2F65">
        <w:rPr>
          <w:rFonts w:ascii="Times" w:hAnsi="Times" w:cs="Calibri"/>
          <w:sz w:val="28"/>
          <w:szCs w:val="28"/>
          <w:lang w:val="en-US"/>
        </w:rPr>
        <w:t>in all but the following scenarios:</w:t>
      </w:r>
    </w:p>
    <w:p w14:paraId="030F7A1C" w14:textId="77777777" w:rsidR="001B2F65" w:rsidRPr="001B2F65" w:rsidRDefault="001B2F65" w:rsidP="001B2F65">
      <w:pPr>
        <w:widowControl w:val="0"/>
        <w:tabs>
          <w:tab w:val="left" w:pos="0"/>
          <w:tab w:val="left" w:pos="220"/>
        </w:tabs>
        <w:autoSpaceDE w:val="0"/>
        <w:autoSpaceDN w:val="0"/>
        <w:adjustRightInd w:val="0"/>
        <w:spacing w:after="240"/>
        <w:jc w:val="both"/>
        <w:rPr>
          <w:rFonts w:ascii="Times" w:hAnsi="Times" w:cs="Times"/>
          <w:sz w:val="28"/>
          <w:szCs w:val="28"/>
          <w:lang w:val="en-US"/>
        </w:rPr>
      </w:pPr>
      <w:r w:rsidRPr="001B2F65">
        <w:rPr>
          <w:rFonts w:ascii="Times" w:hAnsi="Times" w:cs="Symbol"/>
          <w:sz w:val="28"/>
          <w:szCs w:val="28"/>
          <w:lang w:val="en-US"/>
        </w:rPr>
        <w:tab/>
      </w:r>
      <w:r w:rsidRPr="001B2F65">
        <w:rPr>
          <w:rFonts w:ascii="Times" w:hAnsi="Times" w:cs="Symbol"/>
          <w:sz w:val="28"/>
          <w:szCs w:val="28"/>
          <w:lang w:val="en-US"/>
        </w:rPr>
        <w:tab/>
      </w:r>
      <w:r w:rsidRPr="001B2F65">
        <w:rPr>
          <w:rFonts w:ascii="Times" w:hAnsi="Times" w:cs="Symbol"/>
          <w:sz w:val="28"/>
          <w:szCs w:val="28"/>
          <w:lang w:val="en-US"/>
        </w:rPr>
        <w:t>  </w:t>
      </w:r>
      <w:r w:rsidRPr="001B2F65">
        <w:rPr>
          <w:rFonts w:ascii="Times" w:hAnsi="Times" w:cs="Calibri"/>
          <w:sz w:val="28"/>
          <w:szCs w:val="28"/>
          <w:lang w:val="en-US"/>
        </w:rPr>
        <w:t xml:space="preserve">When we used the accuracy data from Bovy2007 instead of Tessitore2001 for %HRC (optimal </w:t>
      </w:r>
      <w:r w:rsidRPr="001B2F65">
        <w:rPr>
          <w:rFonts w:ascii="Times" w:hAnsi="Times" w:cs="Times"/>
          <w:sz w:val="28"/>
          <w:szCs w:val="28"/>
          <w:lang w:val="en-US"/>
        </w:rPr>
        <w:t> </w:t>
      </w:r>
      <w:r w:rsidRPr="001B2F65">
        <w:rPr>
          <w:rFonts w:ascii="Times" w:hAnsi="Times" w:cs="Calibri"/>
          <w:sz w:val="28"/>
          <w:szCs w:val="28"/>
          <w:lang w:val="en-US"/>
        </w:rPr>
        <w:t xml:space="preserve">strategy = CHr less than 29 pg – both subgroups). </w:t>
      </w:r>
    </w:p>
    <w:p w14:paraId="03CC38B3" w14:textId="77777777" w:rsidR="001B2F65" w:rsidRPr="001B2F65" w:rsidRDefault="001B2F65" w:rsidP="001B2F65">
      <w:pPr>
        <w:widowControl w:val="0"/>
        <w:tabs>
          <w:tab w:val="left" w:pos="0"/>
          <w:tab w:val="left" w:pos="220"/>
        </w:tabs>
        <w:autoSpaceDE w:val="0"/>
        <w:autoSpaceDN w:val="0"/>
        <w:adjustRightInd w:val="0"/>
        <w:spacing w:after="240"/>
        <w:jc w:val="both"/>
        <w:rPr>
          <w:rFonts w:ascii="Times" w:hAnsi="Times" w:cs="Times"/>
          <w:sz w:val="28"/>
          <w:szCs w:val="28"/>
          <w:lang w:val="en-US"/>
        </w:rPr>
      </w:pPr>
      <w:r w:rsidRPr="001B2F65">
        <w:rPr>
          <w:rFonts w:ascii="Times" w:hAnsi="Times" w:cs="Symbol"/>
          <w:sz w:val="28"/>
          <w:szCs w:val="28"/>
          <w:lang w:val="en-US"/>
        </w:rPr>
        <w:tab/>
      </w:r>
      <w:r w:rsidRPr="001B2F65">
        <w:rPr>
          <w:rFonts w:ascii="Times" w:hAnsi="Times" w:cs="Symbol"/>
          <w:sz w:val="28"/>
          <w:szCs w:val="28"/>
          <w:lang w:val="en-US"/>
        </w:rPr>
        <w:tab/>
      </w:r>
      <w:r w:rsidRPr="001B2F65">
        <w:rPr>
          <w:rFonts w:ascii="Times" w:hAnsi="Times" w:cs="Symbol"/>
          <w:sz w:val="28"/>
          <w:szCs w:val="28"/>
          <w:lang w:val="en-US"/>
        </w:rPr>
        <w:t>  </w:t>
      </w:r>
      <w:r w:rsidRPr="001B2F65">
        <w:rPr>
          <w:rFonts w:ascii="Times" w:hAnsi="Times" w:cs="Calibri"/>
          <w:sz w:val="28"/>
          <w:szCs w:val="28"/>
          <w:lang w:val="en-US"/>
        </w:rPr>
        <w:t xml:space="preserve">When we assumed 1.4% of SAEs were fatal (based on EMA data) and no survival benefit from </w:t>
      </w:r>
      <w:r w:rsidRPr="001B2F65">
        <w:rPr>
          <w:rFonts w:ascii="Times" w:hAnsi="Times" w:cs="Times"/>
          <w:sz w:val="28"/>
          <w:szCs w:val="28"/>
          <w:lang w:val="en-US"/>
        </w:rPr>
        <w:t> </w:t>
      </w:r>
      <w:r w:rsidRPr="001B2F65">
        <w:rPr>
          <w:rFonts w:ascii="Times" w:hAnsi="Times" w:cs="Calibri"/>
          <w:sz w:val="28"/>
          <w:szCs w:val="28"/>
          <w:lang w:val="en-US"/>
        </w:rPr>
        <w:t xml:space="preserve">achieving target Hb (optimal strategy = TSAT less than 20% and SF less than 100 micrograms/litre </w:t>
      </w:r>
      <w:r w:rsidRPr="001B2F65">
        <w:rPr>
          <w:rFonts w:ascii="Times" w:hAnsi="Times" w:cs="Times"/>
          <w:sz w:val="28"/>
          <w:szCs w:val="28"/>
          <w:lang w:val="en-US"/>
        </w:rPr>
        <w:t> </w:t>
      </w:r>
      <w:r w:rsidRPr="001B2F65">
        <w:rPr>
          <w:rFonts w:ascii="Times" w:hAnsi="Times" w:cs="Calibri"/>
          <w:sz w:val="28"/>
          <w:szCs w:val="28"/>
          <w:lang w:val="en-US"/>
        </w:rPr>
        <w:t xml:space="preserve">for both subgroups). </w:t>
      </w:r>
    </w:p>
    <w:p w14:paraId="4CA7EB2B" w14:textId="77777777" w:rsidR="001B2F65" w:rsidRDefault="001B2F65" w:rsidP="001B2F65">
      <w:pPr>
        <w:widowControl w:val="0"/>
        <w:tabs>
          <w:tab w:val="left" w:pos="0"/>
          <w:tab w:val="left" w:pos="220"/>
        </w:tabs>
        <w:autoSpaceDE w:val="0"/>
        <w:autoSpaceDN w:val="0"/>
        <w:adjustRightInd w:val="0"/>
        <w:spacing w:after="240"/>
        <w:jc w:val="both"/>
        <w:rPr>
          <w:rFonts w:ascii="Times" w:hAnsi="Times" w:cs="Times"/>
          <w:lang w:val="en-US"/>
        </w:rPr>
      </w:pPr>
      <w:r w:rsidRPr="001B2F65">
        <w:rPr>
          <w:rFonts w:ascii="Times" w:hAnsi="Times" w:cs="Symbol"/>
          <w:sz w:val="28"/>
          <w:szCs w:val="28"/>
          <w:lang w:val="en-US"/>
        </w:rPr>
        <w:tab/>
      </w:r>
      <w:r w:rsidRPr="001B2F65">
        <w:rPr>
          <w:rFonts w:ascii="Times" w:hAnsi="Times" w:cs="Symbol"/>
          <w:sz w:val="28"/>
          <w:szCs w:val="28"/>
          <w:lang w:val="en-US"/>
        </w:rPr>
        <w:tab/>
      </w:r>
      <w:r w:rsidRPr="001B2F65">
        <w:rPr>
          <w:rFonts w:ascii="Times" w:hAnsi="Times" w:cs="Symbol"/>
          <w:sz w:val="28"/>
          <w:szCs w:val="28"/>
          <w:lang w:val="en-US"/>
        </w:rPr>
        <w:t>  </w:t>
      </w:r>
      <w:r w:rsidRPr="001B2F65">
        <w:rPr>
          <w:rFonts w:ascii="Times" w:hAnsi="Times" w:cs="Calibri"/>
          <w:sz w:val="28"/>
          <w:szCs w:val="28"/>
          <w:lang w:val="en-US"/>
        </w:rPr>
        <w:t xml:space="preserve">When we used the cost of a day case from the NHS reference costs for each iron infusion for non- </w:t>
      </w:r>
      <w:r w:rsidRPr="001B2F65">
        <w:rPr>
          <w:rFonts w:ascii="Times" w:hAnsi="Times" w:cs="Times"/>
          <w:sz w:val="28"/>
          <w:szCs w:val="28"/>
          <w:lang w:val="en-US"/>
        </w:rPr>
        <w:t> </w:t>
      </w:r>
      <w:r w:rsidRPr="001B2F65">
        <w:rPr>
          <w:rFonts w:ascii="Times" w:hAnsi="Times" w:cs="Calibri"/>
          <w:sz w:val="28"/>
          <w:szCs w:val="28"/>
          <w:lang w:val="en-US"/>
        </w:rPr>
        <w:t xml:space="preserve">haemodialysis patients (optimal strategy = TSAT less than 20% and SF less than 100 micrograms/litre) </w:t>
      </w:r>
    </w:p>
    <w:p w14:paraId="75A2F646" w14:textId="77777777" w:rsidR="00AD4202" w:rsidRPr="002A2E01" w:rsidRDefault="00AD4202" w:rsidP="002A2E01">
      <w:pPr>
        <w:widowControl w:val="0"/>
        <w:autoSpaceDE w:val="0"/>
        <w:autoSpaceDN w:val="0"/>
        <w:adjustRightInd w:val="0"/>
        <w:spacing w:after="240"/>
        <w:rPr>
          <w:rFonts w:ascii="Times" w:hAnsi="Times" w:cs="Times"/>
          <w:lang w:val="en-US"/>
        </w:rPr>
      </w:pPr>
    </w:p>
    <w:p w14:paraId="7C0C2441" w14:textId="06D0105D" w:rsidR="00340E0C" w:rsidRPr="00FD3B43" w:rsidRDefault="00340E0C" w:rsidP="00FD3B43">
      <w:pPr>
        <w:pStyle w:val="ListParagraph"/>
        <w:widowControl w:val="0"/>
        <w:numPr>
          <w:ilvl w:val="0"/>
          <w:numId w:val="29"/>
        </w:numPr>
        <w:autoSpaceDE w:val="0"/>
        <w:autoSpaceDN w:val="0"/>
        <w:adjustRightInd w:val="0"/>
        <w:spacing w:after="240"/>
        <w:ind w:left="0" w:firstLine="0"/>
        <w:rPr>
          <w:rFonts w:ascii="Times" w:hAnsi="Times"/>
          <w:b/>
          <w:sz w:val="28"/>
          <w:szCs w:val="28"/>
          <w:lang w:val="en-US"/>
        </w:rPr>
      </w:pPr>
      <w:r w:rsidRPr="00FD3B43">
        <w:rPr>
          <w:rFonts w:ascii="Times" w:hAnsi="Times"/>
          <w:b/>
          <w:sz w:val="28"/>
          <w:szCs w:val="28"/>
          <w:lang w:val="en-US"/>
        </w:rPr>
        <w:t xml:space="preserve">Do not routinely consider measurement of erythropoietin levels for the diagnosis or management of anaemia in people with anaemia of CKD. [2006] </w:t>
      </w:r>
      <w:r w:rsidR="000B3C60" w:rsidRPr="00FD3B43">
        <w:rPr>
          <w:rFonts w:ascii="Times" w:hAnsi="Times"/>
          <w:b/>
          <w:sz w:val="28"/>
          <w:szCs w:val="28"/>
          <w:lang w:val="en-US"/>
        </w:rPr>
        <w:t>(lk. 115)</w:t>
      </w:r>
    </w:p>
    <w:p w14:paraId="2DD421DB" w14:textId="06737EE2" w:rsidR="00645E6E" w:rsidRPr="00645E6E" w:rsidRDefault="00645E6E" w:rsidP="00FD3B43">
      <w:pPr>
        <w:widowControl w:val="0"/>
        <w:autoSpaceDE w:val="0"/>
        <w:autoSpaceDN w:val="0"/>
        <w:adjustRightInd w:val="0"/>
        <w:spacing w:after="240"/>
        <w:rPr>
          <w:rFonts w:ascii="Times" w:hAnsi="Times" w:cs="Times"/>
          <w:b/>
          <w:sz w:val="28"/>
          <w:szCs w:val="28"/>
          <w:lang w:val="en-US"/>
        </w:rPr>
      </w:pPr>
      <w:r w:rsidRPr="00645E6E">
        <w:rPr>
          <w:rFonts w:ascii="Times" w:hAnsi="Times" w:cs="Times"/>
          <w:b/>
          <w:sz w:val="28"/>
          <w:szCs w:val="28"/>
          <w:lang w:val="en-US"/>
        </w:rPr>
        <w:t xml:space="preserve">5. </w:t>
      </w:r>
      <w:r>
        <w:rPr>
          <w:rFonts w:ascii="Times" w:hAnsi="Times" w:cs="Times"/>
          <w:b/>
          <w:sz w:val="28"/>
          <w:szCs w:val="28"/>
          <w:lang w:val="en-US"/>
        </w:rPr>
        <w:t>Ära määra rutiinselt erütropoetiini tas</w:t>
      </w:r>
      <w:r w:rsidR="00FD3B43">
        <w:rPr>
          <w:rFonts w:ascii="Times" w:hAnsi="Times" w:cs="Times"/>
          <w:b/>
          <w:sz w:val="28"/>
          <w:szCs w:val="28"/>
          <w:lang w:val="en-US"/>
        </w:rPr>
        <w:t>et aneemia diagnoosimiseks ja ohjamiseks KNHga patsientidel.</w:t>
      </w:r>
    </w:p>
    <w:p w14:paraId="0455A8ED" w14:textId="77777777" w:rsidR="00FD3B43" w:rsidRPr="00FD3B43" w:rsidRDefault="000B3C60" w:rsidP="00FD3B43">
      <w:pPr>
        <w:widowControl w:val="0"/>
        <w:tabs>
          <w:tab w:val="left" w:pos="220"/>
          <w:tab w:val="left" w:pos="720"/>
        </w:tabs>
        <w:autoSpaceDE w:val="0"/>
        <w:autoSpaceDN w:val="0"/>
        <w:adjustRightInd w:val="0"/>
        <w:spacing w:after="293"/>
        <w:jc w:val="both"/>
        <w:rPr>
          <w:rFonts w:ascii="Times" w:hAnsi="Times" w:cs="Times"/>
          <w:sz w:val="28"/>
          <w:szCs w:val="28"/>
          <w:lang w:val="en-US"/>
        </w:rPr>
      </w:pPr>
      <w:r w:rsidRPr="00FD3B43">
        <w:rPr>
          <w:rFonts w:ascii="Times" w:hAnsi="Times" w:cs="Times"/>
          <w:sz w:val="28"/>
          <w:szCs w:val="28"/>
          <w:lang w:val="en-US"/>
        </w:rPr>
        <w:t>Evidence statements</w:t>
      </w:r>
      <w:r w:rsidR="00FD3B43" w:rsidRPr="00FD3B43">
        <w:rPr>
          <w:rFonts w:ascii="Times" w:hAnsi="Times" w:cs="Times"/>
          <w:sz w:val="28"/>
          <w:szCs w:val="28"/>
          <w:lang w:val="en-US"/>
        </w:rPr>
        <w:t>:</w:t>
      </w:r>
    </w:p>
    <w:p w14:paraId="35D5D78F" w14:textId="653E3874" w:rsidR="000B3C60" w:rsidRPr="00FD3B43" w:rsidRDefault="000B3C60" w:rsidP="00FD3B43">
      <w:pPr>
        <w:widowControl w:val="0"/>
        <w:tabs>
          <w:tab w:val="left" w:pos="220"/>
          <w:tab w:val="left" w:pos="720"/>
        </w:tabs>
        <w:autoSpaceDE w:val="0"/>
        <w:autoSpaceDN w:val="0"/>
        <w:adjustRightInd w:val="0"/>
        <w:spacing w:after="293"/>
        <w:jc w:val="both"/>
        <w:rPr>
          <w:rFonts w:ascii="Times" w:hAnsi="Times" w:cs="Times"/>
          <w:sz w:val="28"/>
          <w:szCs w:val="28"/>
          <w:u w:val="single"/>
          <w:lang w:val="en-US"/>
        </w:rPr>
      </w:pPr>
      <w:r w:rsidRPr="00FD3B43">
        <w:rPr>
          <w:rFonts w:ascii="Times" w:hAnsi="Times" w:cs="Times"/>
          <w:sz w:val="28"/>
          <w:szCs w:val="28"/>
          <w:u w:val="single"/>
          <w:lang w:val="en-US"/>
        </w:rPr>
        <w:t>Adults with diabetes</w:t>
      </w:r>
    </w:p>
    <w:p w14:paraId="67BB56CC" w14:textId="77777777" w:rsidR="000B3C60" w:rsidRPr="00FD3B43" w:rsidRDefault="000B3C60" w:rsidP="00FD3B43">
      <w:pPr>
        <w:widowControl w:val="0"/>
        <w:autoSpaceDE w:val="0"/>
        <w:autoSpaceDN w:val="0"/>
        <w:adjustRightInd w:val="0"/>
        <w:spacing w:after="240"/>
        <w:jc w:val="both"/>
        <w:rPr>
          <w:rFonts w:ascii="Times" w:hAnsi="Times" w:cs="Times"/>
          <w:sz w:val="28"/>
          <w:szCs w:val="28"/>
          <w:lang w:val="en-US"/>
        </w:rPr>
      </w:pPr>
      <w:r w:rsidRPr="00FD3B43">
        <w:rPr>
          <w:rFonts w:ascii="Times" w:hAnsi="Times"/>
          <w:sz w:val="28"/>
          <w:szCs w:val="28"/>
          <w:lang w:val="en-US"/>
        </w:rPr>
        <w:t xml:space="preserve">In people with Type 2 diabetes </w:t>
      </w:r>
      <w:r w:rsidRPr="00FD3B43">
        <w:rPr>
          <w:rFonts w:ascii="Times" w:hAnsi="Times"/>
          <w:sz w:val="28"/>
          <w:szCs w:val="28"/>
          <w:u w:val="single"/>
          <w:lang w:val="en-US"/>
        </w:rPr>
        <w:t>without nephropathy (n=62) a significant negative correlation between serum EPO and Hb levels was found</w:t>
      </w:r>
      <w:r w:rsidRPr="00FD3B43">
        <w:rPr>
          <w:rFonts w:ascii="Times" w:hAnsi="Times"/>
          <w:sz w:val="28"/>
          <w:szCs w:val="28"/>
          <w:lang w:val="en-US"/>
        </w:rPr>
        <w:t xml:space="preserve"> (r2=0.612, p=0.01)</w:t>
      </w:r>
      <w:r w:rsidRPr="00FD3B43">
        <w:rPr>
          <w:rFonts w:ascii="Times" w:hAnsi="Times"/>
          <w:position w:val="13"/>
          <w:sz w:val="28"/>
          <w:szCs w:val="28"/>
          <w:lang w:val="en-US"/>
        </w:rPr>
        <w:t>76</w:t>
      </w:r>
      <w:r w:rsidRPr="00FD3B43">
        <w:rPr>
          <w:rFonts w:ascii="Times" w:hAnsi="Times"/>
          <w:sz w:val="28"/>
          <w:szCs w:val="28"/>
          <w:lang w:val="en-US"/>
        </w:rPr>
        <w:t xml:space="preserve">. </w:t>
      </w:r>
      <w:r w:rsidRPr="00FD3B43">
        <w:rPr>
          <w:rFonts w:ascii="Times" w:hAnsi="Times"/>
          <w:b/>
          <w:sz w:val="28"/>
          <w:szCs w:val="28"/>
          <w:lang w:val="en-US"/>
        </w:rPr>
        <w:t>(Level 3)</w:t>
      </w:r>
    </w:p>
    <w:p w14:paraId="18FDC5C0" w14:textId="77777777" w:rsidR="000B3C60" w:rsidRPr="00FD3B43" w:rsidRDefault="000B3C60" w:rsidP="00FD3B43">
      <w:pPr>
        <w:pStyle w:val="ListParagraph"/>
        <w:widowControl w:val="0"/>
        <w:numPr>
          <w:ilvl w:val="0"/>
          <w:numId w:val="18"/>
        </w:numPr>
        <w:autoSpaceDE w:val="0"/>
        <w:autoSpaceDN w:val="0"/>
        <w:adjustRightInd w:val="0"/>
        <w:spacing w:after="240"/>
        <w:ind w:left="0" w:firstLine="0"/>
        <w:jc w:val="both"/>
        <w:rPr>
          <w:rFonts w:ascii="Times" w:hAnsi="Times" w:cs="Times"/>
          <w:sz w:val="28"/>
          <w:szCs w:val="28"/>
          <w:lang w:val="en-US"/>
        </w:rPr>
      </w:pPr>
      <w:r w:rsidRPr="00FD3B43">
        <w:rPr>
          <w:rFonts w:ascii="Times" w:hAnsi="Times"/>
          <w:sz w:val="28"/>
          <w:szCs w:val="28"/>
          <w:lang w:val="en-US"/>
        </w:rPr>
        <w:t xml:space="preserve">In contrast to the above finding, a study in people with Type 1 diabetes with </w:t>
      </w:r>
      <w:r w:rsidRPr="00FD3B43">
        <w:rPr>
          <w:rFonts w:ascii="Times" w:hAnsi="Times"/>
          <w:sz w:val="28"/>
          <w:szCs w:val="28"/>
          <w:u w:val="single"/>
          <w:lang w:val="en-US"/>
        </w:rPr>
        <w:t>diabetic nephropathy (in the absence of advanced renal failure) (n=27), found no significant EPO response to lower Hb levels</w:t>
      </w:r>
      <w:r w:rsidRPr="00FD3B43">
        <w:rPr>
          <w:rFonts w:ascii="Times" w:hAnsi="Times"/>
          <w:position w:val="13"/>
          <w:sz w:val="28"/>
          <w:szCs w:val="28"/>
          <w:lang w:val="en-US"/>
        </w:rPr>
        <w:t>50</w:t>
      </w:r>
      <w:r w:rsidRPr="00FD3B43">
        <w:rPr>
          <w:rFonts w:ascii="Times" w:hAnsi="Times"/>
          <w:sz w:val="28"/>
          <w:szCs w:val="28"/>
          <w:lang w:val="en-US"/>
        </w:rPr>
        <w:t xml:space="preserve">. </w:t>
      </w:r>
      <w:r w:rsidRPr="00FD3B43">
        <w:rPr>
          <w:rFonts w:ascii="Times" w:hAnsi="Times"/>
          <w:b/>
          <w:sz w:val="28"/>
          <w:szCs w:val="28"/>
          <w:lang w:val="en-US"/>
        </w:rPr>
        <w:t>(Level 3)</w:t>
      </w:r>
    </w:p>
    <w:p w14:paraId="5A9810F8" w14:textId="77777777" w:rsidR="000B3C60" w:rsidRPr="00FD3B43" w:rsidRDefault="000B3C60" w:rsidP="00FD3B43">
      <w:pPr>
        <w:pStyle w:val="ListParagraph"/>
        <w:widowControl w:val="0"/>
        <w:numPr>
          <w:ilvl w:val="0"/>
          <w:numId w:val="18"/>
        </w:numPr>
        <w:autoSpaceDE w:val="0"/>
        <w:autoSpaceDN w:val="0"/>
        <w:adjustRightInd w:val="0"/>
        <w:spacing w:after="240"/>
        <w:ind w:left="0" w:firstLine="0"/>
        <w:jc w:val="both"/>
        <w:rPr>
          <w:rFonts w:ascii="Times" w:hAnsi="Times" w:cs="Times"/>
          <w:sz w:val="28"/>
          <w:szCs w:val="28"/>
          <w:lang w:val="en-US"/>
        </w:rPr>
      </w:pPr>
      <w:r w:rsidRPr="00FD3B43">
        <w:rPr>
          <w:rFonts w:ascii="Times" w:hAnsi="Times"/>
          <w:sz w:val="28"/>
          <w:szCs w:val="28"/>
          <w:lang w:val="en-US"/>
        </w:rPr>
        <w:t>A cross-sectional study conducted in people with diabetes</w:t>
      </w:r>
      <w:r w:rsidRPr="00FD3B43">
        <w:rPr>
          <w:rFonts w:ascii="Times" w:hAnsi="Times"/>
          <w:position w:val="13"/>
          <w:sz w:val="28"/>
          <w:szCs w:val="28"/>
          <w:lang w:val="en-US"/>
        </w:rPr>
        <w:t xml:space="preserve">352 </w:t>
      </w:r>
      <w:r w:rsidRPr="00FD3B43">
        <w:rPr>
          <w:rFonts w:ascii="Times" w:hAnsi="Times"/>
          <w:sz w:val="28"/>
          <w:szCs w:val="28"/>
          <w:lang w:val="en-US"/>
        </w:rPr>
        <w:t xml:space="preserve">found no significant EPO response in anaemic patients (defined as Hb &lt;12 g/dl for women and Hb &lt;13 g/dl for men) with GFR &gt;60 ml/min/1.73m2 or &gt;90 ml/min/1.73m2. </w:t>
      </w:r>
      <w:r w:rsidRPr="00FD3B43">
        <w:rPr>
          <w:rFonts w:ascii="Times" w:hAnsi="Times"/>
          <w:b/>
          <w:sz w:val="28"/>
          <w:szCs w:val="28"/>
          <w:lang w:val="en-US"/>
        </w:rPr>
        <w:t>(Level 3)</w:t>
      </w:r>
    </w:p>
    <w:p w14:paraId="16CFD91B" w14:textId="77777777" w:rsidR="000B3C60" w:rsidRPr="00FD3B43" w:rsidRDefault="000B3C60" w:rsidP="00FD3B43">
      <w:pPr>
        <w:pStyle w:val="ListParagraph"/>
        <w:widowControl w:val="0"/>
        <w:numPr>
          <w:ilvl w:val="0"/>
          <w:numId w:val="18"/>
        </w:numPr>
        <w:autoSpaceDE w:val="0"/>
        <w:autoSpaceDN w:val="0"/>
        <w:adjustRightInd w:val="0"/>
        <w:spacing w:after="240"/>
        <w:ind w:left="0" w:firstLine="0"/>
        <w:jc w:val="both"/>
        <w:rPr>
          <w:rFonts w:ascii="Times" w:hAnsi="Times" w:cs="Times"/>
          <w:sz w:val="28"/>
          <w:szCs w:val="28"/>
          <w:lang w:val="en-US"/>
        </w:rPr>
      </w:pPr>
      <w:r w:rsidRPr="00FD3B43">
        <w:rPr>
          <w:rFonts w:ascii="Times" w:hAnsi="Times"/>
          <w:sz w:val="28"/>
          <w:szCs w:val="28"/>
          <w:lang w:val="en-US"/>
        </w:rPr>
        <w:t>In a subgroup of iron replete diabetic patients (transferrin saturation level &gt;16%), from the above study</w:t>
      </w:r>
      <w:r w:rsidRPr="00FD3B43">
        <w:rPr>
          <w:rFonts w:ascii="Times" w:hAnsi="Times"/>
          <w:position w:val="13"/>
          <w:sz w:val="28"/>
          <w:szCs w:val="28"/>
          <w:lang w:val="en-US"/>
        </w:rPr>
        <w:t>352</w:t>
      </w:r>
      <w:r w:rsidRPr="00FD3B43">
        <w:rPr>
          <w:rFonts w:ascii="Times" w:hAnsi="Times"/>
          <w:sz w:val="28"/>
          <w:szCs w:val="28"/>
          <w:lang w:val="en-US"/>
        </w:rPr>
        <w:t>, serum EPO levels did not change significantly with Hb level as shown below.</w:t>
      </w:r>
    </w:p>
    <w:p w14:paraId="29060623" w14:textId="77777777" w:rsidR="000B3C60" w:rsidRPr="00082A2F" w:rsidRDefault="000B3C60" w:rsidP="00FD3B43">
      <w:pPr>
        <w:pStyle w:val="ListParagraph"/>
        <w:widowControl w:val="0"/>
        <w:numPr>
          <w:ilvl w:val="0"/>
          <w:numId w:val="18"/>
        </w:numPr>
        <w:autoSpaceDE w:val="0"/>
        <w:autoSpaceDN w:val="0"/>
        <w:adjustRightInd w:val="0"/>
        <w:spacing w:after="240"/>
        <w:ind w:left="0" w:firstLine="0"/>
        <w:jc w:val="both"/>
        <w:rPr>
          <w:rFonts w:ascii="Times" w:hAnsi="Times" w:cs="Times"/>
          <w:sz w:val="28"/>
          <w:szCs w:val="28"/>
          <w:u w:val="single"/>
          <w:lang w:val="en-US"/>
        </w:rPr>
      </w:pPr>
      <w:r w:rsidRPr="00082A2F">
        <w:rPr>
          <w:rFonts w:ascii="Times" w:hAnsi="Times" w:cs="Times"/>
          <w:sz w:val="28"/>
          <w:szCs w:val="28"/>
          <w:u w:val="single"/>
          <w:lang w:val="en-US"/>
        </w:rPr>
        <w:t>Adults with chronic renal failure on conservative therapy</w:t>
      </w:r>
    </w:p>
    <w:p w14:paraId="67262D3A" w14:textId="77777777" w:rsidR="000B3C60" w:rsidRPr="00082A2F" w:rsidRDefault="000B3C60" w:rsidP="00FD3B43">
      <w:pPr>
        <w:pStyle w:val="ListParagraph"/>
        <w:widowControl w:val="0"/>
        <w:numPr>
          <w:ilvl w:val="0"/>
          <w:numId w:val="18"/>
        </w:numPr>
        <w:autoSpaceDE w:val="0"/>
        <w:autoSpaceDN w:val="0"/>
        <w:adjustRightInd w:val="0"/>
        <w:spacing w:after="240"/>
        <w:ind w:left="0" w:firstLine="0"/>
        <w:jc w:val="both"/>
        <w:rPr>
          <w:rFonts w:ascii="Times" w:hAnsi="Times" w:cs="Times"/>
          <w:b/>
          <w:sz w:val="28"/>
          <w:szCs w:val="28"/>
          <w:lang w:val="en-US"/>
        </w:rPr>
      </w:pPr>
      <w:r w:rsidRPr="00FD3B43">
        <w:rPr>
          <w:rFonts w:ascii="Times" w:hAnsi="Times"/>
          <w:sz w:val="28"/>
          <w:szCs w:val="28"/>
          <w:lang w:val="en-US"/>
        </w:rPr>
        <w:t xml:space="preserve">In patients with CKD of varying renal function (CCr 2 to 90 ml/min/1.73m2 (n=117)), mean serum EPO levels were significantly elevated in all patients when compared with healthy controls (n=59) (p&lt;0.01). In a subgroup analysis of patients with CCr 2–40 ml/min/1.73m2 (n=88), </w:t>
      </w:r>
      <w:r w:rsidRPr="00082A2F">
        <w:rPr>
          <w:rFonts w:ascii="Times" w:hAnsi="Times"/>
          <w:sz w:val="28"/>
          <w:szCs w:val="28"/>
          <w:u w:val="single"/>
          <w:lang w:val="en-US"/>
        </w:rPr>
        <w:t>CCr and serum EPO showed a positive correlation</w:t>
      </w:r>
      <w:r w:rsidRPr="00FD3B43">
        <w:rPr>
          <w:rFonts w:ascii="Times" w:hAnsi="Times"/>
          <w:sz w:val="28"/>
          <w:szCs w:val="28"/>
          <w:lang w:val="en-US"/>
        </w:rPr>
        <w:t xml:space="preserve"> (r=0.27, p&lt;0.015)</w:t>
      </w:r>
      <w:r w:rsidRPr="00FD3B43">
        <w:rPr>
          <w:rFonts w:ascii="Times" w:hAnsi="Times"/>
          <w:position w:val="13"/>
          <w:sz w:val="28"/>
          <w:szCs w:val="28"/>
          <w:lang w:val="en-US"/>
        </w:rPr>
        <w:t>292</w:t>
      </w:r>
      <w:r w:rsidRPr="00FD3B43">
        <w:rPr>
          <w:rFonts w:ascii="Times" w:hAnsi="Times"/>
          <w:sz w:val="28"/>
          <w:szCs w:val="28"/>
          <w:lang w:val="en-US"/>
        </w:rPr>
        <w:t xml:space="preserve">. </w:t>
      </w:r>
      <w:r w:rsidRPr="00082A2F">
        <w:rPr>
          <w:rFonts w:ascii="Times" w:hAnsi="Times"/>
          <w:b/>
          <w:sz w:val="28"/>
          <w:szCs w:val="28"/>
          <w:lang w:val="en-US"/>
        </w:rPr>
        <w:t>(Level 2+)</w:t>
      </w:r>
    </w:p>
    <w:p w14:paraId="3EA1F2F8" w14:textId="77777777" w:rsidR="000B3C60" w:rsidRPr="00082A2F" w:rsidRDefault="000B3C60" w:rsidP="00FD3B43">
      <w:pPr>
        <w:pStyle w:val="ListParagraph"/>
        <w:widowControl w:val="0"/>
        <w:numPr>
          <w:ilvl w:val="0"/>
          <w:numId w:val="18"/>
        </w:numPr>
        <w:autoSpaceDE w:val="0"/>
        <w:autoSpaceDN w:val="0"/>
        <w:adjustRightInd w:val="0"/>
        <w:spacing w:after="240"/>
        <w:ind w:left="0" w:firstLine="0"/>
        <w:jc w:val="both"/>
        <w:rPr>
          <w:rFonts w:ascii="Times" w:hAnsi="Times" w:cs="Times"/>
          <w:sz w:val="28"/>
          <w:szCs w:val="28"/>
          <w:u w:val="single"/>
          <w:lang w:val="en-US"/>
        </w:rPr>
      </w:pPr>
      <w:r w:rsidRPr="00082A2F">
        <w:rPr>
          <w:rFonts w:ascii="Times" w:hAnsi="Times" w:cs="Times"/>
          <w:sz w:val="28"/>
          <w:szCs w:val="28"/>
          <w:u w:val="single"/>
          <w:lang w:val="en-US"/>
        </w:rPr>
        <w:t>Unselected population of adults</w:t>
      </w:r>
    </w:p>
    <w:p w14:paraId="65F2F952" w14:textId="77777777" w:rsidR="000B3C60" w:rsidRPr="00082A2F" w:rsidRDefault="000B3C60" w:rsidP="00FD3B43">
      <w:pPr>
        <w:pStyle w:val="ListParagraph"/>
        <w:widowControl w:val="0"/>
        <w:numPr>
          <w:ilvl w:val="0"/>
          <w:numId w:val="18"/>
        </w:numPr>
        <w:autoSpaceDE w:val="0"/>
        <w:autoSpaceDN w:val="0"/>
        <w:adjustRightInd w:val="0"/>
        <w:spacing w:after="240"/>
        <w:ind w:left="0" w:firstLine="0"/>
        <w:jc w:val="both"/>
        <w:rPr>
          <w:rFonts w:ascii="Times" w:hAnsi="Times" w:cs="Times"/>
          <w:b/>
          <w:sz w:val="28"/>
          <w:szCs w:val="28"/>
          <w:lang w:val="en-US"/>
        </w:rPr>
      </w:pPr>
      <w:r w:rsidRPr="00FD3B43">
        <w:rPr>
          <w:rFonts w:ascii="Times" w:hAnsi="Times"/>
          <w:sz w:val="28"/>
          <w:szCs w:val="28"/>
          <w:lang w:val="en-US"/>
        </w:rPr>
        <w:t xml:space="preserve">In a random sample of patients investigated by coronary angiography (n=395) stratified by renal function, a </w:t>
      </w:r>
      <w:r w:rsidRPr="00082A2F">
        <w:rPr>
          <w:rFonts w:ascii="Times" w:hAnsi="Times"/>
          <w:sz w:val="28"/>
          <w:szCs w:val="28"/>
          <w:u w:val="single"/>
          <w:lang w:val="en-US"/>
        </w:rPr>
        <w:t>significant inverse relationship was found between serum EPO and Hb levels in participants with CCr &gt;40 ml/min</w:t>
      </w:r>
      <w:r w:rsidRPr="00FD3B43">
        <w:rPr>
          <w:rFonts w:ascii="Times" w:hAnsi="Times"/>
          <w:sz w:val="28"/>
          <w:szCs w:val="28"/>
          <w:lang w:val="en-US"/>
        </w:rPr>
        <w:t xml:space="preserve"> (r=−0.35, p&lt;0.0001). </w:t>
      </w:r>
      <w:r w:rsidRPr="00082A2F">
        <w:rPr>
          <w:rFonts w:ascii="Times" w:hAnsi="Times"/>
          <w:sz w:val="28"/>
          <w:szCs w:val="28"/>
          <w:u w:val="single"/>
          <w:lang w:val="en-US"/>
        </w:rPr>
        <w:t>No significant correlation was found, however, in participants with CCr &lt;40 ml/min</w:t>
      </w:r>
      <w:r w:rsidRPr="00082A2F">
        <w:rPr>
          <w:rFonts w:ascii="Times" w:hAnsi="Times"/>
          <w:position w:val="13"/>
          <w:sz w:val="28"/>
          <w:szCs w:val="28"/>
          <w:u w:val="single"/>
          <w:lang w:val="en-US"/>
        </w:rPr>
        <w:t>104</w:t>
      </w:r>
      <w:r w:rsidRPr="00FD3B43">
        <w:rPr>
          <w:rFonts w:ascii="Times" w:hAnsi="Times"/>
          <w:sz w:val="28"/>
          <w:szCs w:val="28"/>
          <w:lang w:val="en-US"/>
        </w:rPr>
        <w:t xml:space="preserve">. </w:t>
      </w:r>
      <w:r w:rsidRPr="00082A2F">
        <w:rPr>
          <w:rFonts w:ascii="Times" w:hAnsi="Times"/>
          <w:b/>
          <w:sz w:val="28"/>
          <w:szCs w:val="28"/>
          <w:lang w:val="en-US"/>
        </w:rPr>
        <w:t>(Level 3)</w:t>
      </w:r>
    </w:p>
    <w:p w14:paraId="75760909" w14:textId="77777777" w:rsidR="000B3C60" w:rsidRPr="00082A2F" w:rsidRDefault="000B3C60" w:rsidP="00FD3B43">
      <w:pPr>
        <w:pStyle w:val="ListParagraph"/>
        <w:widowControl w:val="0"/>
        <w:numPr>
          <w:ilvl w:val="0"/>
          <w:numId w:val="18"/>
        </w:numPr>
        <w:autoSpaceDE w:val="0"/>
        <w:autoSpaceDN w:val="0"/>
        <w:adjustRightInd w:val="0"/>
        <w:spacing w:after="240"/>
        <w:ind w:left="0" w:firstLine="0"/>
        <w:jc w:val="both"/>
        <w:rPr>
          <w:rFonts w:ascii="Times" w:hAnsi="Times" w:cs="Times"/>
          <w:sz w:val="28"/>
          <w:szCs w:val="28"/>
          <w:u w:val="single"/>
          <w:lang w:val="en-US"/>
        </w:rPr>
      </w:pPr>
      <w:r w:rsidRPr="00082A2F">
        <w:rPr>
          <w:rFonts w:ascii="Times" w:hAnsi="Times" w:cs="Times"/>
          <w:sz w:val="28"/>
          <w:szCs w:val="28"/>
          <w:u w:val="single"/>
          <w:lang w:val="en-US"/>
        </w:rPr>
        <w:t>From evidence to recommendations</w:t>
      </w:r>
    </w:p>
    <w:p w14:paraId="4C459302" w14:textId="77777777" w:rsidR="000B3C60" w:rsidRPr="00082A2F" w:rsidRDefault="000B3C60" w:rsidP="00FD3B43">
      <w:pPr>
        <w:pStyle w:val="ListParagraph"/>
        <w:widowControl w:val="0"/>
        <w:numPr>
          <w:ilvl w:val="0"/>
          <w:numId w:val="18"/>
        </w:numPr>
        <w:autoSpaceDE w:val="0"/>
        <w:autoSpaceDN w:val="0"/>
        <w:adjustRightInd w:val="0"/>
        <w:spacing w:after="240"/>
        <w:ind w:left="0" w:firstLine="0"/>
        <w:jc w:val="both"/>
        <w:rPr>
          <w:rFonts w:ascii="Times" w:hAnsi="Times" w:cs="Times"/>
          <w:sz w:val="28"/>
          <w:szCs w:val="28"/>
          <w:u w:val="single"/>
          <w:lang w:val="en-US"/>
        </w:rPr>
      </w:pPr>
      <w:r w:rsidRPr="00FD3B43">
        <w:rPr>
          <w:rFonts w:ascii="Times" w:hAnsi="Times"/>
          <w:sz w:val="28"/>
          <w:szCs w:val="28"/>
          <w:lang w:val="en-US"/>
        </w:rPr>
        <w:t xml:space="preserve">Anaemia is associated with increased EPO levels in individuals without evidence of CKD but the anaemia associated with CKD is characterised by a relative lack of EPO response. </w:t>
      </w:r>
      <w:r w:rsidRPr="00082A2F">
        <w:rPr>
          <w:rFonts w:ascii="Times" w:hAnsi="Times"/>
          <w:sz w:val="28"/>
          <w:szCs w:val="28"/>
          <w:u w:val="single"/>
          <w:lang w:val="en-US"/>
        </w:rPr>
        <w:t>However, in the clinical situation routine measurement of EPO levels is of limited value in assessing anaemia.</w:t>
      </w:r>
    </w:p>
    <w:p w14:paraId="24258D91" w14:textId="77777777" w:rsidR="000B3C60" w:rsidRPr="0082542E" w:rsidRDefault="000B3C60" w:rsidP="00FD3B43">
      <w:pPr>
        <w:pStyle w:val="ListParagraph"/>
        <w:widowControl w:val="0"/>
        <w:numPr>
          <w:ilvl w:val="0"/>
          <w:numId w:val="18"/>
        </w:numPr>
        <w:autoSpaceDE w:val="0"/>
        <w:autoSpaceDN w:val="0"/>
        <w:adjustRightInd w:val="0"/>
        <w:spacing w:after="240"/>
        <w:ind w:left="0" w:firstLine="0"/>
        <w:jc w:val="both"/>
        <w:rPr>
          <w:rFonts w:ascii="Times" w:hAnsi="Times" w:cs="Times"/>
          <w:sz w:val="28"/>
          <w:szCs w:val="28"/>
          <w:lang w:val="en-US"/>
        </w:rPr>
      </w:pPr>
      <w:r w:rsidRPr="00FD3B43">
        <w:rPr>
          <w:rFonts w:ascii="Times" w:hAnsi="Times"/>
          <w:sz w:val="28"/>
          <w:szCs w:val="28"/>
          <w:lang w:val="en-US"/>
        </w:rPr>
        <w:t>The GDG reached consensus on a threshold GFR of 40 ml/min, below which anaemia is most likely to be of renal aetiology and measurement of erythropoietin levels will not be required except in exceptional circumstances. At GFR levels between 40 and 60 ml/min, the utility of testing is uncertain from the existing evidence, and a research recommendation is given.</w:t>
      </w:r>
    </w:p>
    <w:p w14:paraId="55A583CC" w14:textId="77777777" w:rsidR="0082542E" w:rsidRPr="0082542E" w:rsidRDefault="0082542E" w:rsidP="0082542E">
      <w:pPr>
        <w:pStyle w:val="ListParagraph"/>
        <w:widowControl w:val="0"/>
        <w:numPr>
          <w:ilvl w:val="0"/>
          <w:numId w:val="18"/>
        </w:numPr>
        <w:tabs>
          <w:tab w:val="left" w:pos="0"/>
          <w:tab w:val="left" w:pos="220"/>
        </w:tabs>
        <w:autoSpaceDE w:val="0"/>
        <w:autoSpaceDN w:val="0"/>
        <w:adjustRightInd w:val="0"/>
        <w:spacing w:after="293"/>
        <w:ind w:left="0" w:firstLine="0"/>
        <w:jc w:val="both"/>
        <w:rPr>
          <w:rFonts w:ascii="Times" w:hAnsi="Times"/>
          <w:b/>
          <w:sz w:val="28"/>
          <w:szCs w:val="28"/>
          <w:lang w:val="en-US"/>
        </w:rPr>
      </w:pPr>
      <w:r w:rsidRPr="0082542E">
        <w:rPr>
          <w:rFonts w:ascii="Times" w:hAnsi="Times"/>
          <w:b/>
          <w:sz w:val="28"/>
          <w:szCs w:val="28"/>
          <w:lang w:val="en-US"/>
        </w:rPr>
        <w:t xml:space="preserve">7. In people treated with iron, serum ferritin levels should not rise above 800 micrograms/litre. In order to prevent this, review the dose of iron when serum ferritin levels reach  500 micrograms/litre. [2006] </w:t>
      </w:r>
    </w:p>
    <w:p w14:paraId="7A279F2A" w14:textId="66269C73" w:rsidR="0082542E" w:rsidRDefault="0082542E" w:rsidP="0082542E">
      <w:pPr>
        <w:pStyle w:val="ListParagraph"/>
        <w:widowControl w:val="0"/>
        <w:numPr>
          <w:ilvl w:val="0"/>
          <w:numId w:val="18"/>
        </w:numPr>
        <w:tabs>
          <w:tab w:val="left" w:pos="0"/>
          <w:tab w:val="left" w:pos="220"/>
        </w:tabs>
        <w:autoSpaceDE w:val="0"/>
        <w:autoSpaceDN w:val="0"/>
        <w:adjustRightInd w:val="0"/>
        <w:spacing w:after="293"/>
        <w:ind w:left="0" w:firstLine="0"/>
        <w:jc w:val="both"/>
        <w:rPr>
          <w:rFonts w:ascii="Times" w:hAnsi="Times"/>
          <w:b/>
          <w:sz w:val="28"/>
          <w:szCs w:val="28"/>
          <w:lang w:val="en-US"/>
        </w:rPr>
      </w:pPr>
      <w:r w:rsidRPr="0082542E">
        <w:rPr>
          <w:rFonts w:ascii="Times" w:hAnsi="Times"/>
          <w:b/>
          <w:sz w:val="28"/>
          <w:szCs w:val="28"/>
          <w:lang w:val="en-US"/>
        </w:rPr>
        <w:t>7. Rauaravil patsientidel seerumi ferritiini tase ei peaks tõusma üle 800mkg/l. Selle vältimiseks vaata üle raua doosi kui seerumi ferritiini tase jõuab 500 mkg/l.</w:t>
      </w:r>
    </w:p>
    <w:p w14:paraId="6447DEE0" w14:textId="60DA2763" w:rsidR="00223C09" w:rsidRPr="00223C09" w:rsidRDefault="00223C09" w:rsidP="00223C09">
      <w:pPr>
        <w:widowControl w:val="0"/>
        <w:numPr>
          <w:ilvl w:val="0"/>
          <w:numId w:val="18"/>
        </w:numPr>
        <w:tabs>
          <w:tab w:val="left" w:pos="0"/>
          <w:tab w:val="left" w:pos="220"/>
        </w:tabs>
        <w:autoSpaceDE w:val="0"/>
        <w:autoSpaceDN w:val="0"/>
        <w:adjustRightInd w:val="0"/>
        <w:spacing w:after="240"/>
        <w:ind w:left="0" w:firstLine="0"/>
        <w:jc w:val="both"/>
        <w:rPr>
          <w:rFonts w:ascii="Times" w:hAnsi="Times" w:cs="Times"/>
          <w:sz w:val="28"/>
          <w:szCs w:val="28"/>
          <w:lang w:val="en-US"/>
        </w:rPr>
      </w:pPr>
      <w:r w:rsidRPr="007163D6">
        <w:rPr>
          <w:rFonts w:ascii="Times" w:hAnsi="Times" w:cs="Times"/>
          <w:sz w:val="28"/>
          <w:szCs w:val="28"/>
          <w:u w:val="single"/>
          <w:lang w:val="en-US"/>
        </w:rPr>
        <w:t>5.2.1  Clinical introduction</w:t>
      </w:r>
      <w:r w:rsidR="007163D6">
        <w:rPr>
          <w:rFonts w:ascii="Times" w:hAnsi="Times" w:cs="Times"/>
          <w:sz w:val="28"/>
          <w:szCs w:val="28"/>
          <w:u w:val="single"/>
          <w:lang w:val="en-US"/>
        </w:rPr>
        <w:t>:</w:t>
      </w:r>
      <w:r w:rsidRPr="00223C09">
        <w:rPr>
          <w:rFonts w:ascii="Times" w:hAnsi="Times" w:cs="Times"/>
          <w:sz w:val="28"/>
          <w:szCs w:val="28"/>
          <w:lang w:val="en-US"/>
        </w:rPr>
        <w:t xml:space="preserve">  </w:t>
      </w:r>
      <w:r w:rsidRPr="00223C09">
        <w:rPr>
          <w:rFonts w:ascii="Times" w:hAnsi="Times" w:cs="Calibri"/>
          <w:sz w:val="28"/>
          <w:szCs w:val="28"/>
          <w:lang w:val="en-US"/>
        </w:rPr>
        <w:t xml:space="preserve">Iron is crucial for survival and is necessary for erythropoiesis and the production of usable energy through oxidative phosphorylation. However, iron-overload states are harmful and the potent oxidising ability of non-transferrin bound iron makes it potentially toxic. The majority of iron not actively circulating as haemoglobin is safely sequestered in the form of ferritin and hemosiderin in macrophages of the reticuloendothelial system. Molecules that hold iron tend to be very large, containing a central core of iron with a proteinaceous envelope that insulates the body from the iron atom. We know that in iron-overload states, such as haemochromatosis, in which serum ferritin levels can increase to more than 10,000 μg/l, the body is presented with unmanageable levels of free iron leading to iron-related toxicity. The focus of debate about potential iron toxicity in patients with anaemia associated with CKD revolves around the possible increased susceptibility to infectious complications and increased cardiovascular morbidity and mortality engendered by iron administration. In vitro, iron preparations enhance bacterial growth, induce leukocyte dysfunction, inhibit phagocytosis, produce reactive oxygen species, increase oxidative stress, consume antioxidants and, at very high doses, promote lipid peroxidation and cell death. These observations have led to concern that too much iron might translate these in vitro phenomena into adverse infectious and cardiovascular in vivo effects. </w:t>
      </w:r>
    </w:p>
    <w:p w14:paraId="343E1197" w14:textId="2C25F089" w:rsidR="00223C09" w:rsidRPr="00223C09" w:rsidRDefault="00223C09" w:rsidP="00223C09">
      <w:pPr>
        <w:widowControl w:val="0"/>
        <w:numPr>
          <w:ilvl w:val="0"/>
          <w:numId w:val="18"/>
        </w:numPr>
        <w:tabs>
          <w:tab w:val="left" w:pos="0"/>
          <w:tab w:val="left" w:pos="220"/>
        </w:tabs>
        <w:autoSpaceDE w:val="0"/>
        <w:autoSpaceDN w:val="0"/>
        <w:adjustRightInd w:val="0"/>
        <w:spacing w:after="240"/>
        <w:ind w:left="0" w:firstLine="0"/>
        <w:jc w:val="both"/>
        <w:rPr>
          <w:rFonts w:ascii="Times" w:hAnsi="Times" w:cs="Times"/>
          <w:sz w:val="28"/>
          <w:szCs w:val="28"/>
          <w:lang w:val="en-US"/>
        </w:rPr>
      </w:pPr>
      <w:r w:rsidRPr="007163D6">
        <w:rPr>
          <w:rFonts w:ascii="Times" w:hAnsi="Times" w:cs="Times"/>
          <w:sz w:val="28"/>
          <w:szCs w:val="28"/>
          <w:u w:val="single"/>
          <w:lang w:val="en-US"/>
        </w:rPr>
        <w:t>5.2.2  Methodological introduction</w:t>
      </w:r>
      <w:r w:rsidR="007163D6">
        <w:rPr>
          <w:rFonts w:ascii="Times" w:hAnsi="Times" w:cs="Times"/>
          <w:sz w:val="28"/>
          <w:szCs w:val="28"/>
          <w:u w:val="single"/>
          <w:lang w:val="en-US"/>
        </w:rPr>
        <w:t>:</w:t>
      </w:r>
      <w:r w:rsidRPr="00223C09">
        <w:rPr>
          <w:rFonts w:ascii="Times" w:hAnsi="Times" w:cs="Times"/>
          <w:sz w:val="28"/>
          <w:szCs w:val="28"/>
          <w:lang w:val="en-US"/>
        </w:rPr>
        <w:t xml:space="preserve">  </w:t>
      </w:r>
      <w:r w:rsidRPr="00223C09">
        <w:rPr>
          <w:rFonts w:ascii="Times" w:hAnsi="Times" w:cs="Calibri"/>
          <w:sz w:val="28"/>
          <w:szCs w:val="28"/>
          <w:lang w:val="en-US"/>
        </w:rPr>
        <w:t xml:space="preserve">A comprehensive literature </w:t>
      </w:r>
      <w:r w:rsidRPr="00781E02">
        <w:rPr>
          <w:rFonts w:ascii="Times" w:hAnsi="Times" w:cs="Calibri"/>
          <w:sz w:val="28"/>
          <w:szCs w:val="28"/>
          <w:u w:val="single"/>
          <w:lang w:val="en-US"/>
        </w:rPr>
        <w:t>search did not identify any studies that were suitable to address the clinical or economic aspects of this section, therefore no evidence statements are given.</w:t>
      </w:r>
      <w:r w:rsidRPr="00223C09">
        <w:rPr>
          <w:rFonts w:ascii="Times" w:hAnsi="Times" w:cs="Calibri"/>
          <w:sz w:val="28"/>
          <w:szCs w:val="28"/>
          <w:lang w:val="en-US"/>
        </w:rPr>
        <w:t xml:space="preserve"> </w:t>
      </w:r>
    </w:p>
    <w:p w14:paraId="772410BD" w14:textId="6C08E7D2" w:rsidR="00223C09" w:rsidRPr="007163D6" w:rsidRDefault="00223C09" w:rsidP="007163D6">
      <w:pPr>
        <w:widowControl w:val="0"/>
        <w:numPr>
          <w:ilvl w:val="0"/>
          <w:numId w:val="18"/>
        </w:numPr>
        <w:tabs>
          <w:tab w:val="left" w:pos="0"/>
          <w:tab w:val="left" w:pos="220"/>
        </w:tabs>
        <w:autoSpaceDE w:val="0"/>
        <w:autoSpaceDN w:val="0"/>
        <w:adjustRightInd w:val="0"/>
        <w:spacing w:after="240"/>
        <w:ind w:left="0" w:firstLine="0"/>
        <w:jc w:val="both"/>
        <w:rPr>
          <w:rFonts w:ascii="Times" w:hAnsi="Times" w:cs="Times"/>
          <w:lang w:val="en-US"/>
        </w:rPr>
      </w:pPr>
      <w:r w:rsidRPr="007163D6">
        <w:rPr>
          <w:rFonts w:ascii="Times" w:hAnsi="Times" w:cs="Times"/>
          <w:sz w:val="28"/>
          <w:szCs w:val="28"/>
          <w:u w:val="single"/>
          <w:lang w:val="en-US"/>
        </w:rPr>
        <w:t>5.2.3  From evidence to recommendations</w:t>
      </w:r>
      <w:r w:rsidR="007163D6">
        <w:rPr>
          <w:rFonts w:ascii="Times" w:hAnsi="Times" w:cs="Times"/>
          <w:sz w:val="28"/>
          <w:szCs w:val="28"/>
          <w:u w:val="single"/>
          <w:lang w:val="en-US"/>
        </w:rPr>
        <w:t>:</w:t>
      </w:r>
      <w:r w:rsidRPr="00223C09">
        <w:rPr>
          <w:rFonts w:ascii="Times" w:hAnsi="Times" w:cs="Times"/>
          <w:sz w:val="28"/>
          <w:szCs w:val="28"/>
          <w:lang w:val="en-US"/>
        </w:rPr>
        <w:t xml:space="preserve">  </w:t>
      </w:r>
      <w:r w:rsidRPr="00223C09">
        <w:rPr>
          <w:rFonts w:ascii="Times" w:hAnsi="Times" w:cs="Calibri"/>
          <w:sz w:val="28"/>
          <w:szCs w:val="28"/>
          <w:lang w:val="en-US"/>
        </w:rPr>
        <w:t xml:space="preserve">Because of the lack of evidence, it was agreed that an upper limit of 800 μg/l of ferritin should be used in line with the current European Best Practice Guidelines. This level is drawn from data on iron toxicity studies performed in the pre-ESA era that demonstrated that high ferritin levels &gt;1,000 μg/l led to the deposition of iron in tissues. However, in practice, in order to prevent serum ferritin from rising above 800 μg/l a patient's iron dose should be reviewed if their serum ferritin levels exceed 500 μg/l. It was noted that it was not known whether there are any long-term consequences related to the administration of intravenous iron as this route bypassed normal absorption routes and homeostatic mechanisms. </w:t>
      </w:r>
    </w:p>
    <w:p w14:paraId="4F33B7E9" w14:textId="7C6665C3" w:rsidR="00E437F3" w:rsidRDefault="00E437F3" w:rsidP="00E437F3">
      <w:pPr>
        <w:widowControl w:val="0"/>
        <w:tabs>
          <w:tab w:val="left" w:pos="220"/>
          <w:tab w:val="left" w:pos="720"/>
        </w:tabs>
        <w:autoSpaceDE w:val="0"/>
        <w:autoSpaceDN w:val="0"/>
        <w:adjustRightInd w:val="0"/>
        <w:spacing w:after="240"/>
        <w:jc w:val="both"/>
        <w:rPr>
          <w:rFonts w:ascii="Times" w:hAnsi="Times" w:cs="Times"/>
          <w:b/>
          <w:sz w:val="28"/>
          <w:szCs w:val="28"/>
          <w:lang w:val="en-US"/>
        </w:rPr>
      </w:pPr>
      <w:r w:rsidRPr="00E437F3">
        <w:rPr>
          <w:rFonts w:ascii="Times" w:hAnsi="Times" w:cs="Times"/>
          <w:b/>
          <w:sz w:val="28"/>
          <w:szCs w:val="28"/>
          <w:lang w:val="en-US"/>
        </w:rPr>
        <w:t>13.</w:t>
      </w:r>
      <w:r>
        <w:rPr>
          <w:rFonts w:ascii="Times" w:hAnsi="Times" w:cs="Times"/>
          <w:b/>
          <w:sz w:val="28"/>
          <w:szCs w:val="28"/>
          <w:lang w:val="en-US"/>
        </w:rPr>
        <w:t xml:space="preserve"> </w:t>
      </w:r>
      <w:r w:rsidRPr="00E437F3">
        <w:rPr>
          <w:rFonts w:ascii="Times" w:hAnsi="Times" w:cs="Times"/>
          <w:b/>
          <w:sz w:val="28"/>
          <w:szCs w:val="28"/>
          <w:lang w:val="en-US"/>
        </w:rPr>
        <w:t xml:space="preserve">Supplements of vitamin C, folic acid or carnitine should not be prescribed as adjuvants specifically for the treatment of anaemia of CKD. [2006] </w:t>
      </w:r>
    </w:p>
    <w:p w14:paraId="7F5AEED6" w14:textId="2A850373" w:rsidR="00E437F3" w:rsidRDefault="00E437F3" w:rsidP="00E437F3">
      <w:pPr>
        <w:widowControl w:val="0"/>
        <w:tabs>
          <w:tab w:val="left" w:pos="220"/>
          <w:tab w:val="left" w:pos="720"/>
        </w:tabs>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 xml:space="preserve">13. Vit. C, foolhape või karnitiin </w:t>
      </w:r>
      <w:r w:rsidR="00D2063A">
        <w:rPr>
          <w:rFonts w:ascii="Times" w:hAnsi="Times" w:cs="Times"/>
          <w:b/>
          <w:sz w:val="28"/>
          <w:szCs w:val="28"/>
          <w:lang w:val="en-US"/>
        </w:rPr>
        <w:t xml:space="preserve">ei tohiks olla määratud kui adjuvantravi aneemia raviks KNH puhul. </w:t>
      </w:r>
    </w:p>
    <w:p w14:paraId="2AED5865" w14:textId="4124AC7C" w:rsidR="00D2063A" w:rsidRPr="00D2063A" w:rsidRDefault="00D2063A" w:rsidP="00D2063A">
      <w:pPr>
        <w:widowControl w:val="0"/>
        <w:tabs>
          <w:tab w:val="left" w:pos="220"/>
          <w:tab w:val="left" w:pos="720"/>
        </w:tabs>
        <w:autoSpaceDE w:val="0"/>
        <w:autoSpaceDN w:val="0"/>
        <w:adjustRightInd w:val="0"/>
        <w:spacing w:after="240"/>
        <w:jc w:val="both"/>
        <w:rPr>
          <w:rFonts w:ascii="Times" w:hAnsi="Times" w:cs="Times"/>
          <w:b/>
          <w:sz w:val="28"/>
          <w:szCs w:val="28"/>
          <w:lang w:val="en-US"/>
        </w:rPr>
      </w:pPr>
      <w:r w:rsidRPr="00D2063A">
        <w:rPr>
          <w:rFonts w:ascii="Times" w:hAnsi="Times" w:cs="Times"/>
          <w:b/>
          <w:sz w:val="28"/>
          <w:szCs w:val="28"/>
          <w:lang w:val="en-US"/>
        </w:rPr>
        <w:t>Vitamin C:</w:t>
      </w:r>
      <w:r w:rsidRPr="00D2063A">
        <w:rPr>
          <w:rFonts w:ascii="Times" w:hAnsi="Times" w:cs="Times"/>
          <w:sz w:val="28"/>
          <w:szCs w:val="28"/>
          <w:lang w:val="en-US"/>
        </w:rPr>
        <w:t xml:space="preserve">  Haemodialysis patients  </w:t>
      </w:r>
      <w:r w:rsidRPr="00D2063A">
        <w:rPr>
          <w:rFonts w:ascii="Times" w:hAnsi="Times" w:cs="Calibri"/>
          <w:sz w:val="28"/>
          <w:szCs w:val="28"/>
          <w:lang w:val="en-US"/>
        </w:rPr>
        <w:t>A non-randomised trial (n=52)</w:t>
      </w:r>
      <w:r w:rsidRPr="00D2063A">
        <w:rPr>
          <w:rFonts w:ascii="Times" w:hAnsi="Times" w:cs="Calibri"/>
          <w:position w:val="13"/>
          <w:sz w:val="28"/>
          <w:szCs w:val="28"/>
          <w:lang w:val="en-US"/>
        </w:rPr>
        <w:t xml:space="preserve">343 </w:t>
      </w:r>
      <w:r w:rsidRPr="00D2063A">
        <w:rPr>
          <w:rFonts w:ascii="Times" w:hAnsi="Times" w:cs="Calibri"/>
          <w:sz w:val="28"/>
          <w:szCs w:val="28"/>
          <w:lang w:val="en-US"/>
        </w:rPr>
        <w:t xml:space="preserve">where 100 mg ascorbic acid was administered i.v. three times weekly in one group (n=23) and as an adjunct to ESA and i.v. iron in another, found no significant change in Hb levels from baseline in either group after 6 months. In addition, no changes were identified in either group in any of the eight domains of quality of life assessed using the Short-Form 36 (SF 36) scale. </w:t>
      </w:r>
      <w:r w:rsidRPr="00D2063A">
        <w:rPr>
          <w:rFonts w:ascii="Times" w:hAnsi="Times" w:cs="Calibri"/>
          <w:b/>
          <w:sz w:val="28"/>
          <w:szCs w:val="28"/>
          <w:lang w:val="en-US"/>
        </w:rPr>
        <w:t>(Level 2+)</w:t>
      </w:r>
    </w:p>
    <w:p w14:paraId="6E64EC96" w14:textId="77777777" w:rsidR="00D2063A" w:rsidRPr="00D2063A" w:rsidRDefault="00D2063A" w:rsidP="00D2063A">
      <w:pPr>
        <w:widowControl w:val="0"/>
        <w:autoSpaceDE w:val="0"/>
        <w:autoSpaceDN w:val="0"/>
        <w:adjustRightInd w:val="0"/>
        <w:spacing w:after="240"/>
        <w:jc w:val="both"/>
        <w:rPr>
          <w:rFonts w:ascii="Times" w:hAnsi="Times" w:cs="Times"/>
          <w:sz w:val="28"/>
          <w:szCs w:val="28"/>
          <w:lang w:val="en-US"/>
        </w:rPr>
      </w:pPr>
      <w:r w:rsidRPr="00D2063A">
        <w:rPr>
          <w:rFonts w:ascii="Times" w:hAnsi="Times" w:cs="Calibri"/>
          <w:sz w:val="28"/>
          <w:szCs w:val="28"/>
          <w:lang w:val="en-US"/>
        </w:rPr>
        <w:t>In a randomised controlled trial (RCT) of cross-over design (n=27)</w:t>
      </w:r>
      <w:r w:rsidRPr="00D2063A">
        <w:rPr>
          <w:rFonts w:ascii="Times" w:hAnsi="Times" w:cs="Calibri"/>
          <w:position w:val="13"/>
          <w:sz w:val="28"/>
          <w:szCs w:val="28"/>
          <w:lang w:val="en-US"/>
        </w:rPr>
        <w:t>134</w:t>
      </w:r>
      <w:r w:rsidRPr="00D2063A">
        <w:rPr>
          <w:rFonts w:ascii="Times" w:hAnsi="Times" w:cs="Calibri"/>
          <w:sz w:val="28"/>
          <w:szCs w:val="28"/>
          <w:lang w:val="en-US"/>
        </w:rPr>
        <w:t xml:space="preserve">, where ascorbic acid 1,500 mg/week was administered i.v. for 3 months, Hb increased (p&lt;0.01 in group I and p&lt;0.005 in group II) and TSAT increased (both group I and group II p&lt;0.001), whereas ferritin decreased (p&lt;0.004 in group I and p&lt;0.001 in group II) when compared with baseline levels. Epoetin doses, however, remained unchanged in both groups. </w:t>
      </w:r>
      <w:r w:rsidRPr="00D2063A">
        <w:rPr>
          <w:rFonts w:ascii="Times" w:hAnsi="Times" w:cs="Calibri"/>
          <w:b/>
          <w:sz w:val="28"/>
          <w:szCs w:val="28"/>
          <w:lang w:val="en-US"/>
        </w:rPr>
        <w:t>(Level 1+)</w:t>
      </w:r>
    </w:p>
    <w:p w14:paraId="6BAF0CC3" w14:textId="2AB52F29" w:rsidR="00D2063A" w:rsidRPr="00D2063A" w:rsidRDefault="00D2063A" w:rsidP="00D2063A">
      <w:pPr>
        <w:widowControl w:val="0"/>
        <w:autoSpaceDE w:val="0"/>
        <w:autoSpaceDN w:val="0"/>
        <w:adjustRightInd w:val="0"/>
        <w:spacing w:after="240"/>
        <w:jc w:val="both"/>
        <w:rPr>
          <w:rFonts w:ascii="Times" w:hAnsi="Times" w:cs="Times"/>
          <w:b/>
          <w:sz w:val="28"/>
          <w:szCs w:val="28"/>
          <w:lang w:val="en-US"/>
        </w:rPr>
      </w:pPr>
      <w:r w:rsidRPr="00D2063A">
        <w:rPr>
          <w:rFonts w:ascii="Times" w:hAnsi="Times" w:cs="Times"/>
          <w:b/>
          <w:sz w:val="28"/>
          <w:szCs w:val="28"/>
          <w:lang w:val="en-US"/>
        </w:rPr>
        <w:t>Folic acid</w:t>
      </w:r>
      <w:r>
        <w:rPr>
          <w:rFonts w:ascii="Times" w:hAnsi="Times" w:cs="Times"/>
          <w:b/>
          <w:sz w:val="28"/>
          <w:szCs w:val="28"/>
          <w:lang w:val="en-US"/>
        </w:rPr>
        <w:t xml:space="preserve">: </w:t>
      </w:r>
      <w:r w:rsidRPr="00D2063A">
        <w:rPr>
          <w:rFonts w:ascii="Times" w:hAnsi="Times" w:cs="Calibri"/>
          <w:sz w:val="28"/>
          <w:szCs w:val="28"/>
          <w:lang w:val="en-US"/>
        </w:rPr>
        <w:t>Reticulocyte counts (both p&lt;0.05) and Hct levels (both p&lt;0.01) increased from baseline levels in both sets of patients receiving folic acid 5 mg three times a week over 12 months (n=10) and patients whose folic acid supplementation had been stopped over this time period (n=10). Hct levels increased further (both p&lt;0.01) in the 6-month follow-up period after folic acid supplementation had been stopped in both groups of patients. There were no differences, however, in response to epoetin between the two groups</w:t>
      </w:r>
      <w:r w:rsidRPr="00D2063A">
        <w:rPr>
          <w:rFonts w:ascii="Times" w:hAnsi="Times" w:cs="Calibri"/>
          <w:position w:val="13"/>
          <w:sz w:val="28"/>
          <w:szCs w:val="28"/>
          <w:lang w:val="en-US"/>
        </w:rPr>
        <w:t>261</w:t>
      </w:r>
      <w:r w:rsidRPr="00D2063A">
        <w:rPr>
          <w:rFonts w:ascii="Times" w:hAnsi="Times" w:cs="Calibri"/>
          <w:sz w:val="28"/>
          <w:szCs w:val="28"/>
          <w:lang w:val="en-US"/>
        </w:rPr>
        <w:t xml:space="preserve">. </w:t>
      </w:r>
      <w:r w:rsidRPr="00D2063A">
        <w:rPr>
          <w:rFonts w:ascii="Times" w:hAnsi="Times" w:cs="Calibri"/>
          <w:b/>
          <w:sz w:val="28"/>
          <w:szCs w:val="28"/>
          <w:lang w:val="en-US"/>
        </w:rPr>
        <w:t>(Level 1+)</w:t>
      </w:r>
    </w:p>
    <w:p w14:paraId="4AFD8CCE" w14:textId="1A9965F2" w:rsidR="00D2063A" w:rsidRPr="00D2063A" w:rsidRDefault="00D2063A" w:rsidP="00D2063A">
      <w:pPr>
        <w:widowControl w:val="0"/>
        <w:autoSpaceDE w:val="0"/>
        <w:autoSpaceDN w:val="0"/>
        <w:adjustRightInd w:val="0"/>
        <w:spacing w:after="240"/>
        <w:jc w:val="both"/>
        <w:rPr>
          <w:rFonts w:ascii="Times" w:hAnsi="Times" w:cs="Times"/>
          <w:b/>
          <w:sz w:val="28"/>
          <w:szCs w:val="28"/>
          <w:lang w:val="en-US"/>
        </w:rPr>
      </w:pPr>
      <w:r w:rsidRPr="00D2063A">
        <w:rPr>
          <w:rFonts w:ascii="Times" w:hAnsi="Times" w:cs="Times"/>
          <w:b/>
          <w:sz w:val="28"/>
          <w:szCs w:val="28"/>
          <w:lang w:val="en-US"/>
        </w:rPr>
        <w:t>Carnitine:</w:t>
      </w:r>
      <w:r>
        <w:rPr>
          <w:rFonts w:ascii="Times" w:hAnsi="Times" w:cs="Times"/>
          <w:sz w:val="28"/>
          <w:szCs w:val="28"/>
          <w:lang w:val="en-US"/>
        </w:rPr>
        <w:t xml:space="preserve"> </w:t>
      </w:r>
      <w:r w:rsidRPr="00D2063A">
        <w:rPr>
          <w:rFonts w:ascii="Times" w:hAnsi="Times" w:cs="Calibri"/>
          <w:sz w:val="28"/>
          <w:szCs w:val="28"/>
          <w:lang w:val="en-US"/>
        </w:rPr>
        <w:t>No differences were observed in any of the five domains of quality of life as assessed by the Kidney Disease Questionnaire or in overall quality of life, in a RCT of cross-over design (n=16) in which placebo or 20 mg/kg L-carnitine were administered i.v. over a 12-week period. Similarly, no differences were observed in epoetin dose or Hb levels</w:t>
      </w:r>
      <w:r w:rsidRPr="00D2063A">
        <w:rPr>
          <w:rFonts w:ascii="Times" w:hAnsi="Times" w:cs="Calibri"/>
          <w:position w:val="13"/>
          <w:sz w:val="28"/>
          <w:szCs w:val="28"/>
          <w:lang w:val="en-US"/>
        </w:rPr>
        <w:t>311</w:t>
      </w:r>
      <w:r w:rsidRPr="00D2063A">
        <w:rPr>
          <w:rFonts w:ascii="Times" w:hAnsi="Times" w:cs="Calibri"/>
          <w:sz w:val="28"/>
          <w:szCs w:val="28"/>
          <w:lang w:val="en-US"/>
        </w:rPr>
        <w:t xml:space="preserve">. </w:t>
      </w:r>
      <w:r w:rsidRPr="00D2063A">
        <w:rPr>
          <w:rFonts w:ascii="Times" w:hAnsi="Times" w:cs="Calibri"/>
          <w:b/>
          <w:sz w:val="28"/>
          <w:szCs w:val="28"/>
          <w:lang w:val="en-US"/>
        </w:rPr>
        <w:t>(Level 1+)</w:t>
      </w:r>
    </w:p>
    <w:p w14:paraId="7C0FA528" w14:textId="566228E2" w:rsidR="00D2063A" w:rsidRPr="00D2063A" w:rsidRDefault="00D2063A" w:rsidP="00D2063A">
      <w:pPr>
        <w:widowControl w:val="0"/>
        <w:autoSpaceDE w:val="0"/>
        <w:autoSpaceDN w:val="0"/>
        <w:adjustRightInd w:val="0"/>
        <w:spacing w:after="240"/>
        <w:jc w:val="both"/>
        <w:rPr>
          <w:rFonts w:ascii="Times" w:hAnsi="Times" w:cs="Times"/>
          <w:sz w:val="28"/>
          <w:szCs w:val="28"/>
          <w:lang w:val="en-US"/>
        </w:rPr>
      </w:pPr>
      <w:r w:rsidRPr="00D2063A">
        <w:rPr>
          <w:rFonts w:ascii="Times" w:hAnsi="Times" w:cs="Calibri"/>
          <w:sz w:val="28"/>
          <w:szCs w:val="28"/>
          <w:lang w:val="en-US"/>
        </w:rPr>
        <w:t xml:space="preserve">No differences were observed in epoetin dose requirement or Hct </w:t>
      </w:r>
      <w:r w:rsidR="00931786">
        <w:rPr>
          <w:rFonts w:ascii="Times" w:hAnsi="Times" w:cs="Calibri"/>
          <w:sz w:val="28"/>
          <w:szCs w:val="28"/>
          <w:lang w:val="en-US"/>
        </w:rPr>
        <w:t>and reticulocyte counts in a 6-</w:t>
      </w:r>
      <w:r w:rsidRPr="00D2063A">
        <w:rPr>
          <w:rFonts w:ascii="Times" w:hAnsi="Times" w:cs="Calibri"/>
          <w:sz w:val="28"/>
          <w:szCs w:val="28"/>
          <w:lang w:val="en-US"/>
        </w:rPr>
        <w:t xml:space="preserve">month study investigating the effects of </w:t>
      </w:r>
      <w:r w:rsidR="00931786">
        <w:rPr>
          <w:rFonts w:ascii="Times" w:hAnsi="Times" w:cs="Calibri"/>
          <w:sz w:val="28"/>
          <w:szCs w:val="28"/>
          <w:lang w:val="en-US"/>
        </w:rPr>
        <w:t xml:space="preserve">supplementation </w:t>
      </w:r>
      <w:r w:rsidRPr="00D2063A">
        <w:rPr>
          <w:rFonts w:ascii="Times" w:hAnsi="Times" w:cs="Calibri"/>
          <w:sz w:val="28"/>
          <w:szCs w:val="28"/>
          <w:lang w:val="en-US"/>
        </w:rPr>
        <w:t>with 1 g L-carnitine three times a week in elderly patients (n=28), after which patients were followed up for 3 months</w:t>
      </w:r>
      <w:r w:rsidRPr="00D2063A">
        <w:rPr>
          <w:rFonts w:ascii="Times" w:hAnsi="Times" w:cs="Calibri"/>
          <w:position w:val="13"/>
          <w:sz w:val="28"/>
          <w:szCs w:val="28"/>
          <w:lang w:val="en-US"/>
        </w:rPr>
        <w:t>56</w:t>
      </w:r>
      <w:r w:rsidRPr="00D2063A">
        <w:rPr>
          <w:rFonts w:ascii="Times" w:hAnsi="Times" w:cs="Calibri"/>
          <w:sz w:val="28"/>
          <w:szCs w:val="28"/>
          <w:lang w:val="en-US"/>
        </w:rPr>
        <w:t xml:space="preserve">. </w:t>
      </w:r>
      <w:r w:rsidRPr="00D2063A">
        <w:rPr>
          <w:rFonts w:ascii="Times" w:hAnsi="Times" w:cs="Calibri"/>
          <w:b/>
          <w:sz w:val="28"/>
          <w:szCs w:val="28"/>
          <w:lang w:val="en-US"/>
        </w:rPr>
        <w:t>(Level 1+)</w:t>
      </w:r>
    </w:p>
    <w:p w14:paraId="7F3FE610" w14:textId="77777777" w:rsidR="00D2063A" w:rsidRPr="00D2063A" w:rsidRDefault="00D2063A" w:rsidP="00D2063A">
      <w:pPr>
        <w:widowControl w:val="0"/>
        <w:autoSpaceDE w:val="0"/>
        <w:autoSpaceDN w:val="0"/>
        <w:adjustRightInd w:val="0"/>
        <w:spacing w:after="240"/>
        <w:jc w:val="both"/>
        <w:rPr>
          <w:rFonts w:ascii="Times" w:hAnsi="Times" w:cs="Times"/>
          <w:b/>
          <w:sz w:val="28"/>
          <w:szCs w:val="28"/>
          <w:lang w:val="en-US"/>
        </w:rPr>
      </w:pPr>
      <w:r w:rsidRPr="00D2063A">
        <w:rPr>
          <w:rFonts w:ascii="Times" w:hAnsi="Times" w:cs="Calibri"/>
          <w:sz w:val="28"/>
          <w:szCs w:val="28"/>
          <w:lang w:val="en-US"/>
        </w:rPr>
        <w:t>No differences were found when patients treated with epoetin were supplemented with 1 g carnitine three times a week or placebo (n=24) for 6 months and compared in terms of epoetin dose, endogenous epoetin levels or Hct and iron levels</w:t>
      </w:r>
      <w:r w:rsidRPr="00D2063A">
        <w:rPr>
          <w:rFonts w:ascii="Times" w:hAnsi="Times" w:cs="Calibri"/>
          <w:position w:val="13"/>
          <w:sz w:val="28"/>
          <w:szCs w:val="28"/>
          <w:lang w:val="en-US"/>
        </w:rPr>
        <w:t>180</w:t>
      </w:r>
      <w:r w:rsidRPr="00D2063A">
        <w:rPr>
          <w:rFonts w:ascii="Times" w:hAnsi="Times" w:cs="Calibri"/>
          <w:sz w:val="28"/>
          <w:szCs w:val="28"/>
          <w:lang w:val="en-US"/>
        </w:rPr>
        <w:t xml:space="preserve">. </w:t>
      </w:r>
      <w:r w:rsidRPr="00D2063A">
        <w:rPr>
          <w:rFonts w:ascii="Times" w:hAnsi="Times" w:cs="Calibri"/>
          <w:b/>
          <w:sz w:val="28"/>
          <w:szCs w:val="28"/>
          <w:lang w:val="en-US"/>
        </w:rPr>
        <w:t>(Level 1+)</w:t>
      </w:r>
    </w:p>
    <w:p w14:paraId="516A01CD" w14:textId="77777777" w:rsidR="00D2063A" w:rsidRPr="00D2063A" w:rsidRDefault="00D2063A" w:rsidP="00D2063A">
      <w:pPr>
        <w:widowControl w:val="0"/>
        <w:autoSpaceDE w:val="0"/>
        <w:autoSpaceDN w:val="0"/>
        <w:adjustRightInd w:val="0"/>
        <w:spacing w:after="240"/>
        <w:jc w:val="both"/>
        <w:rPr>
          <w:rFonts w:ascii="Times" w:hAnsi="Times" w:cs="Times"/>
          <w:b/>
          <w:sz w:val="28"/>
          <w:szCs w:val="28"/>
          <w:lang w:val="en-US"/>
        </w:rPr>
      </w:pPr>
      <w:r w:rsidRPr="00D2063A">
        <w:rPr>
          <w:rFonts w:ascii="Times" w:hAnsi="Times" w:cs="Calibri"/>
          <w:sz w:val="28"/>
          <w:szCs w:val="28"/>
          <w:lang w:val="en-US"/>
        </w:rPr>
        <w:t>No significant changes in epoetin dose requirement were observed between patients supplemented with either 5 mg/kg (n=15) or 25 mg/kg (n=5) L-carnitine vs placebo (n=20) over 8 months. However, a greater reduction in change in epoetin dose was observed in the carnitine treated group (p&lt;0.05) and a higher epoetin resistance index (epoetin dose:Hb ratio) (p&lt;0.02). Additionally, after 4 months, there were significant negative correlations between plasma free carnitine, plasma total carnitine and plasma free carnitine:plasma total carnitine to EPO dose and ERI in both treatment groups</w:t>
      </w:r>
      <w:r w:rsidRPr="00D2063A">
        <w:rPr>
          <w:rFonts w:ascii="Times" w:hAnsi="Times" w:cs="Calibri"/>
          <w:position w:val="13"/>
          <w:sz w:val="28"/>
          <w:szCs w:val="28"/>
          <w:lang w:val="en-US"/>
        </w:rPr>
        <w:t>174</w:t>
      </w:r>
      <w:r w:rsidRPr="00D2063A">
        <w:rPr>
          <w:rFonts w:ascii="Times" w:hAnsi="Times" w:cs="Calibri"/>
          <w:sz w:val="28"/>
          <w:szCs w:val="28"/>
          <w:lang w:val="en-US"/>
        </w:rPr>
        <w:t xml:space="preserve">. </w:t>
      </w:r>
      <w:r w:rsidRPr="00D2063A">
        <w:rPr>
          <w:rFonts w:ascii="Times" w:hAnsi="Times" w:cs="Calibri"/>
          <w:b/>
          <w:sz w:val="28"/>
          <w:szCs w:val="28"/>
          <w:lang w:val="en-US"/>
        </w:rPr>
        <w:t>(Level 1+)</w:t>
      </w:r>
    </w:p>
    <w:p w14:paraId="6E793405" w14:textId="14BA3D53" w:rsidR="000B3C60" w:rsidRPr="00931786" w:rsidRDefault="00D2063A" w:rsidP="00931786">
      <w:pPr>
        <w:widowControl w:val="0"/>
        <w:tabs>
          <w:tab w:val="left" w:pos="220"/>
          <w:tab w:val="left" w:pos="720"/>
        </w:tabs>
        <w:autoSpaceDE w:val="0"/>
        <w:autoSpaceDN w:val="0"/>
        <w:adjustRightInd w:val="0"/>
        <w:spacing w:after="240"/>
        <w:jc w:val="both"/>
        <w:rPr>
          <w:rFonts w:ascii="Times" w:hAnsi="Times" w:cs="Times"/>
          <w:sz w:val="28"/>
          <w:szCs w:val="28"/>
          <w:lang w:val="en-US"/>
        </w:rPr>
      </w:pPr>
      <w:r w:rsidRPr="00D2063A">
        <w:rPr>
          <w:rFonts w:ascii="Times" w:hAnsi="Times" w:cs="Calibri"/>
          <w:sz w:val="28"/>
          <w:szCs w:val="28"/>
          <w:lang w:val="en-US"/>
        </w:rPr>
        <w:t xml:space="preserve">It was concluded that there was no evidence to support the adjunctive use of vitamin C, folic acid or carnitine supplements in the treatment of anaemia of CKD. </w:t>
      </w:r>
      <w:r w:rsidRPr="00D2063A">
        <w:rPr>
          <w:rFonts w:ascii="Times" w:hAnsi="Times" w:cs="Calibri"/>
          <w:b/>
          <w:sz w:val="28"/>
          <w:szCs w:val="28"/>
          <w:u w:val="single"/>
          <w:lang w:val="en-US"/>
        </w:rPr>
        <w:t>There was very little evidence available for the CKD population and no evidence in the predialysis population.</w:t>
      </w:r>
      <w:r w:rsidRPr="00D2063A">
        <w:rPr>
          <w:rFonts w:ascii="Times" w:hAnsi="Times" w:cs="Calibri"/>
          <w:sz w:val="28"/>
          <w:szCs w:val="28"/>
          <w:lang w:val="en-US"/>
        </w:rPr>
        <w:t xml:space="preserve"> It was considered acceptable to extrapolate the conclusions to the predialysis population. </w:t>
      </w:r>
    </w:p>
    <w:p w14:paraId="64E8EA42" w14:textId="670D8E72" w:rsidR="002835EC" w:rsidRDefault="002835EC" w:rsidP="00931786">
      <w:pPr>
        <w:widowControl w:val="0"/>
        <w:autoSpaceDE w:val="0"/>
        <w:autoSpaceDN w:val="0"/>
        <w:adjustRightInd w:val="0"/>
        <w:spacing w:after="240"/>
        <w:jc w:val="both"/>
        <w:rPr>
          <w:rFonts w:ascii="Times" w:hAnsi="Times"/>
          <w:b/>
          <w:sz w:val="28"/>
          <w:szCs w:val="28"/>
          <w:lang w:val="en-US"/>
        </w:rPr>
      </w:pPr>
      <w:r w:rsidRPr="00E447B7">
        <w:rPr>
          <w:rFonts w:ascii="Times" w:hAnsi="Times"/>
          <w:b/>
          <w:sz w:val="28"/>
          <w:szCs w:val="28"/>
          <w:lang w:val="en-US"/>
        </w:rPr>
        <w:t>23.</w:t>
      </w:r>
      <w:r w:rsidR="00E447B7">
        <w:rPr>
          <w:rFonts w:ascii="Times" w:hAnsi="Times"/>
          <w:b/>
          <w:sz w:val="28"/>
          <w:szCs w:val="28"/>
          <w:lang w:val="en-US"/>
        </w:rPr>
        <w:t xml:space="preserve"> </w:t>
      </w:r>
      <w:r w:rsidRPr="00E447B7">
        <w:rPr>
          <w:rFonts w:ascii="Times" w:hAnsi="Times"/>
          <w:b/>
          <w:sz w:val="28"/>
          <w:szCs w:val="28"/>
          <w:lang w:val="en-US"/>
        </w:rPr>
        <w:t>Avoid blood transfusions where possible in people with anaemia of CKD in whom kidney transplant is a treatment option. [2006]</w:t>
      </w:r>
    </w:p>
    <w:p w14:paraId="2878F20A" w14:textId="0DA1EA14" w:rsidR="00E447B7" w:rsidRPr="00E447B7" w:rsidRDefault="00931786" w:rsidP="00931786">
      <w:pPr>
        <w:widowControl w:val="0"/>
        <w:autoSpaceDE w:val="0"/>
        <w:autoSpaceDN w:val="0"/>
        <w:adjustRightInd w:val="0"/>
        <w:spacing w:after="240"/>
        <w:jc w:val="both"/>
        <w:rPr>
          <w:rFonts w:ascii="Times" w:hAnsi="Times" w:cs="Times"/>
          <w:b/>
          <w:sz w:val="28"/>
          <w:szCs w:val="28"/>
          <w:lang w:val="en-US"/>
        </w:rPr>
      </w:pPr>
      <w:r>
        <w:rPr>
          <w:rFonts w:ascii="Times" w:hAnsi="Times"/>
          <w:b/>
          <w:sz w:val="28"/>
          <w:szCs w:val="28"/>
          <w:lang w:val="en-US"/>
        </w:rPr>
        <w:t>23. Väldi vereülekanideid KNH</w:t>
      </w:r>
      <w:r w:rsidR="00E447B7">
        <w:rPr>
          <w:rFonts w:ascii="Times" w:hAnsi="Times"/>
          <w:b/>
          <w:sz w:val="28"/>
          <w:szCs w:val="28"/>
          <w:lang w:val="en-US"/>
        </w:rPr>
        <w:t xml:space="preserve"> ja aneemiaga patsientidel, kellel neerusiirdamine on üks ravi võimalustest.</w:t>
      </w:r>
    </w:p>
    <w:p w14:paraId="76DC6131" w14:textId="0E1E8AA7" w:rsidR="002835EC" w:rsidRPr="00E447B7" w:rsidRDefault="002835EC" w:rsidP="00931786">
      <w:pPr>
        <w:pStyle w:val="ListParagraph"/>
        <w:widowControl w:val="0"/>
        <w:numPr>
          <w:ilvl w:val="0"/>
          <w:numId w:val="18"/>
        </w:numPr>
        <w:autoSpaceDE w:val="0"/>
        <w:autoSpaceDN w:val="0"/>
        <w:adjustRightInd w:val="0"/>
        <w:spacing w:after="240"/>
        <w:ind w:left="0" w:firstLine="0"/>
        <w:jc w:val="both"/>
        <w:rPr>
          <w:rFonts w:ascii="Times" w:hAnsi="Times" w:cs="Times"/>
          <w:b/>
          <w:sz w:val="28"/>
          <w:szCs w:val="28"/>
          <w:lang w:val="en-US"/>
        </w:rPr>
      </w:pPr>
      <w:r w:rsidRPr="00E447B7">
        <w:rPr>
          <w:rFonts w:ascii="Times" w:hAnsi="Times"/>
          <w:b/>
          <w:sz w:val="28"/>
          <w:szCs w:val="28"/>
          <w:lang w:val="en-US"/>
        </w:rPr>
        <w:t>24.</w:t>
      </w:r>
      <w:r w:rsidR="00E447B7">
        <w:rPr>
          <w:rFonts w:ascii="Times" w:hAnsi="Times"/>
          <w:b/>
          <w:sz w:val="28"/>
          <w:szCs w:val="28"/>
          <w:lang w:val="en-US"/>
        </w:rPr>
        <w:t xml:space="preserve"> </w:t>
      </w:r>
      <w:r w:rsidRPr="00E447B7">
        <w:rPr>
          <w:rFonts w:ascii="Times" w:hAnsi="Times"/>
          <w:b/>
          <w:sz w:val="28"/>
          <w:szCs w:val="28"/>
          <w:lang w:val="en-US"/>
        </w:rPr>
        <w:t>In people with anaemia of CKD, there may be situations where a transfusion is indicated clinically. In these cases, follow the relevant national guidance. [2006, amended 2015]</w:t>
      </w:r>
    </w:p>
    <w:p w14:paraId="2CB8D255" w14:textId="4969DF72" w:rsidR="00E447B7" w:rsidRPr="00E447B7" w:rsidRDefault="00E447B7" w:rsidP="00931786">
      <w:pPr>
        <w:pStyle w:val="ListParagraph"/>
        <w:widowControl w:val="0"/>
        <w:numPr>
          <w:ilvl w:val="0"/>
          <w:numId w:val="18"/>
        </w:numPr>
        <w:autoSpaceDE w:val="0"/>
        <w:autoSpaceDN w:val="0"/>
        <w:adjustRightInd w:val="0"/>
        <w:spacing w:after="240"/>
        <w:ind w:left="0" w:firstLine="0"/>
        <w:jc w:val="both"/>
        <w:rPr>
          <w:rFonts w:ascii="Times" w:hAnsi="Times" w:cs="Times"/>
          <w:b/>
          <w:sz w:val="28"/>
          <w:szCs w:val="28"/>
          <w:lang w:val="en-US"/>
        </w:rPr>
      </w:pPr>
      <w:r>
        <w:rPr>
          <w:rFonts w:ascii="Times" w:hAnsi="Times"/>
          <w:b/>
          <w:sz w:val="28"/>
          <w:szCs w:val="28"/>
          <w:lang w:val="en-US"/>
        </w:rPr>
        <w:t>24. KNH ja aneemiaga patsientidel võivad olla olukorrad kui vereülekanded on näidustatud.</w:t>
      </w:r>
    </w:p>
    <w:p w14:paraId="39CF8857" w14:textId="6C251E70" w:rsidR="00F465AC" w:rsidRPr="00E447B7" w:rsidRDefault="00F465AC" w:rsidP="00931786">
      <w:pPr>
        <w:pStyle w:val="ListParagraph"/>
        <w:widowControl w:val="0"/>
        <w:numPr>
          <w:ilvl w:val="0"/>
          <w:numId w:val="18"/>
        </w:numPr>
        <w:autoSpaceDE w:val="0"/>
        <w:autoSpaceDN w:val="0"/>
        <w:adjustRightInd w:val="0"/>
        <w:spacing w:after="240"/>
        <w:ind w:left="0" w:firstLine="0"/>
        <w:jc w:val="both"/>
        <w:rPr>
          <w:rFonts w:ascii="Times" w:hAnsi="Times" w:cs="Times"/>
          <w:b/>
          <w:sz w:val="28"/>
          <w:szCs w:val="28"/>
          <w:lang w:val="en-US"/>
        </w:rPr>
      </w:pPr>
      <w:r w:rsidRPr="00E447B7">
        <w:rPr>
          <w:rFonts w:ascii="Times" w:hAnsi="Times" w:cs="Times"/>
          <w:b/>
          <w:sz w:val="28"/>
          <w:szCs w:val="28"/>
          <w:lang w:val="en-US"/>
        </w:rPr>
        <w:t xml:space="preserve">Hemodialüüsi patsientide rühmas Level 3, peritoneaaldialüüsi rühma Level 2+. </w:t>
      </w:r>
      <w:r w:rsidR="00E447B7" w:rsidRPr="00E447B7">
        <w:rPr>
          <w:rFonts w:ascii="Times" w:hAnsi="Times" w:cs="Times"/>
          <w:b/>
          <w:sz w:val="28"/>
          <w:szCs w:val="28"/>
          <w:lang w:val="en-US"/>
        </w:rPr>
        <w:t xml:space="preserve"> </w:t>
      </w:r>
    </w:p>
    <w:p w14:paraId="67AEA832" w14:textId="5AD70C92" w:rsidR="005B6292" w:rsidRPr="007E1B30" w:rsidRDefault="005B6292" w:rsidP="007E1B30">
      <w:pPr>
        <w:widowControl w:val="0"/>
        <w:tabs>
          <w:tab w:val="left" w:pos="220"/>
          <w:tab w:val="left" w:pos="720"/>
        </w:tabs>
        <w:autoSpaceDE w:val="0"/>
        <w:autoSpaceDN w:val="0"/>
        <w:adjustRightInd w:val="0"/>
        <w:spacing w:after="240"/>
        <w:jc w:val="both"/>
        <w:rPr>
          <w:rFonts w:ascii="Times" w:hAnsi="Times" w:cs="Times"/>
          <w:b/>
          <w:sz w:val="28"/>
          <w:szCs w:val="28"/>
          <w:lang w:val="en-US"/>
        </w:rPr>
      </w:pPr>
      <w:r w:rsidRPr="007E1B30">
        <w:rPr>
          <w:rFonts w:ascii="Times" w:hAnsi="Times" w:cs="Times"/>
          <w:b/>
          <w:sz w:val="28"/>
          <w:szCs w:val="28"/>
          <w:lang w:val="en-US"/>
        </w:rPr>
        <w:t>33.</w:t>
      </w:r>
      <w:r w:rsidR="004F2FD9" w:rsidRPr="007E1B30">
        <w:rPr>
          <w:rFonts w:ascii="Times" w:hAnsi="Times" w:cs="Times"/>
          <w:b/>
          <w:sz w:val="28"/>
          <w:szCs w:val="28"/>
          <w:lang w:val="en-US"/>
        </w:rPr>
        <w:t xml:space="preserve"> </w:t>
      </w:r>
      <w:r w:rsidRPr="007E1B30">
        <w:rPr>
          <w:rFonts w:ascii="Times" w:hAnsi="Times" w:cs="Times"/>
          <w:b/>
          <w:sz w:val="28"/>
          <w:szCs w:val="28"/>
          <w:lang w:val="en-US"/>
        </w:rPr>
        <w:t xml:space="preserve">The correction to normal levels of Hb with ESAs is not usually recommended in people with anaemia of CKD. </w:t>
      </w:r>
    </w:p>
    <w:p w14:paraId="32776600" w14:textId="024B47D5" w:rsidR="005B6292" w:rsidRPr="007E1B30" w:rsidRDefault="005B6292" w:rsidP="007E1B30">
      <w:pPr>
        <w:widowControl w:val="0"/>
        <w:tabs>
          <w:tab w:val="left" w:pos="0"/>
          <w:tab w:val="left" w:pos="940"/>
        </w:tabs>
        <w:autoSpaceDE w:val="0"/>
        <w:autoSpaceDN w:val="0"/>
        <w:adjustRightInd w:val="0"/>
        <w:spacing w:after="240"/>
        <w:jc w:val="both"/>
        <w:rPr>
          <w:rFonts w:ascii="Times" w:hAnsi="Times" w:cs="Times"/>
          <w:b/>
          <w:sz w:val="28"/>
          <w:szCs w:val="28"/>
          <w:lang w:val="en-US"/>
        </w:rPr>
      </w:pPr>
      <w:r w:rsidRPr="007E1B30">
        <w:rPr>
          <w:rFonts w:ascii="Times" w:hAnsi="Times" w:cs="Symbol"/>
          <w:b/>
          <w:sz w:val="28"/>
          <w:szCs w:val="28"/>
          <w:lang w:val="en-US"/>
        </w:rPr>
        <w:tab/>
      </w:r>
      <w:r w:rsidRPr="007E1B30">
        <w:rPr>
          <w:rFonts w:ascii="Times" w:hAnsi="Times" w:cs="Symbol"/>
          <w:b/>
          <w:sz w:val="28"/>
          <w:szCs w:val="28"/>
          <w:lang w:val="en-US"/>
        </w:rPr>
        <w:tab/>
      </w:r>
      <w:r w:rsidRPr="007E1B30">
        <w:rPr>
          <w:rFonts w:ascii="Times" w:hAnsi="Times" w:cs="Symbol"/>
          <w:b/>
          <w:sz w:val="28"/>
          <w:szCs w:val="28"/>
          <w:lang w:val="en-US"/>
        </w:rPr>
        <w:t></w:t>
      </w:r>
      <w:r w:rsidRPr="007E1B30">
        <w:rPr>
          <w:rFonts w:ascii="Times" w:hAnsi="Times" w:cs="Symbol"/>
          <w:b/>
          <w:sz w:val="28"/>
          <w:szCs w:val="28"/>
          <w:lang w:val="en-US"/>
        </w:rPr>
        <w:t></w:t>
      </w:r>
      <w:r w:rsidRPr="007E1B30">
        <w:rPr>
          <w:rFonts w:ascii="Times" w:hAnsi="Times" w:cs="Times"/>
          <w:b/>
          <w:sz w:val="28"/>
          <w:szCs w:val="28"/>
          <w:lang w:val="en-US"/>
        </w:rPr>
        <w:t>Typically</w:t>
      </w:r>
      <w:r w:rsidRPr="007E1B30">
        <w:rPr>
          <w:rFonts w:ascii="Times" w:hAnsi="Times" w:cs="Times"/>
          <w:b/>
          <w:position w:val="13"/>
          <w:sz w:val="28"/>
          <w:szCs w:val="28"/>
          <w:lang w:val="en-US"/>
        </w:rPr>
        <w:t xml:space="preserve"> </w:t>
      </w:r>
      <w:r w:rsidRPr="007E1B30">
        <w:rPr>
          <w:rFonts w:ascii="Times" w:hAnsi="Times" w:cs="Times"/>
          <w:b/>
          <w:sz w:val="28"/>
          <w:szCs w:val="28"/>
          <w:lang w:val="en-US"/>
        </w:rPr>
        <w:t>maintain the aspirational Hb range</w:t>
      </w:r>
      <w:r w:rsidRPr="000A2872">
        <w:rPr>
          <w:rFonts w:ascii="Times" w:hAnsi="Times" w:cs="Times"/>
          <w:i/>
          <w:sz w:val="30"/>
          <w:szCs w:val="30"/>
          <w:lang w:val="en-US"/>
        </w:rPr>
        <w:t xml:space="preserve"> </w:t>
      </w:r>
      <w:r w:rsidRPr="007E1B30">
        <w:rPr>
          <w:rFonts w:ascii="Times" w:hAnsi="Times" w:cs="Times"/>
          <w:b/>
          <w:sz w:val="28"/>
          <w:szCs w:val="28"/>
          <w:lang w:val="en-US"/>
        </w:rPr>
        <w:t xml:space="preserve">between 100 and 120 g/litre for adults, young people and children aged 2 years and older, and between 95 and 115 g/litre for children younger than 2 years of age, reflecting the lower normal range in that age group. </w:t>
      </w:r>
    </w:p>
    <w:p w14:paraId="2990CDB1" w14:textId="4A2EF3D7" w:rsidR="005B6292" w:rsidRPr="007E1B30" w:rsidRDefault="005B6292" w:rsidP="007E1B30">
      <w:pPr>
        <w:widowControl w:val="0"/>
        <w:tabs>
          <w:tab w:val="left" w:pos="0"/>
          <w:tab w:val="left" w:pos="940"/>
        </w:tabs>
        <w:autoSpaceDE w:val="0"/>
        <w:autoSpaceDN w:val="0"/>
        <w:adjustRightInd w:val="0"/>
        <w:spacing w:after="240"/>
        <w:jc w:val="both"/>
        <w:rPr>
          <w:rFonts w:ascii="Times" w:hAnsi="Times" w:cs="Times"/>
          <w:b/>
          <w:sz w:val="28"/>
          <w:szCs w:val="28"/>
          <w:lang w:val="en-US"/>
        </w:rPr>
      </w:pPr>
      <w:r w:rsidRPr="007E1B30">
        <w:rPr>
          <w:rFonts w:ascii="Times" w:hAnsi="Times" w:cs="Symbol"/>
          <w:b/>
          <w:sz w:val="28"/>
          <w:szCs w:val="28"/>
          <w:lang w:val="en-US"/>
        </w:rPr>
        <w:tab/>
      </w:r>
      <w:r w:rsidRPr="007E1B30">
        <w:rPr>
          <w:rFonts w:ascii="Times" w:hAnsi="Times" w:cs="Symbol"/>
          <w:b/>
          <w:sz w:val="28"/>
          <w:szCs w:val="28"/>
          <w:lang w:val="en-US"/>
        </w:rPr>
        <w:tab/>
      </w:r>
      <w:r w:rsidRPr="007E1B30">
        <w:rPr>
          <w:rFonts w:ascii="Times" w:hAnsi="Times" w:cs="Symbol"/>
          <w:b/>
          <w:sz w:val="28"/>
          <w:szCs w:val="28"/>
          <w:lang w:val="en-US"/>
        </w:rPr>
        <w:t></w:t>
      </w:r>
      <w:r w:rsidRPr="007E1B30">
        <w:rPr>
          <w:rFonts w:ascii="Times" w:hAnsi="Times" w:cs="Symbol"/>
          <w:b/>
          <w:sz w:val="28"/>
          <w:szCs w:val="28"/>
          <w:lang w:val="en-US"/>
        </w:rPr>
        <w:t></w:t>
      </w:r>
      <w:r w:rsidRPr="007E1B30">
        <w:rPr>
          <w:rFonts w:ascii="Times" w:hAnsi="Times" w:cs="Times"/>
          <w:b/>
          <w:sz w:val="28"/>
          <w:szCs w:val="28"/>
          <w:lang w:val="en-US"/>
        </w:rPr>
        <w:t xml:space="preserve">To keep the Hb level within the aspirational range, do not wait until Hb levels are outside the aspirational range before adjusting treatment (for example, take action when Hb levels are within 5 g/litre of the range’s limits). [2011, amended 2015] </w:t>
      </w:r>
    </w:p>
    <w:p w14:paraId="3FF2E041" w14:textId="69175633" w:rsidR="008C175F" w:rsidRPr="001F2F5C" w:rsidRDefault="008C175F" w:rsidP="001F2F5C">
      <w:pPr>
        <w:widowControl w:val="0"/>
        <w:tabs>
          <w:tab w:val="left" w:pos="0"/>
          <w:tab w:val="left" w:pos="1440"/>
        </w:tabs>
        <w:autoSpaceDE w:val="0"/>
        <w:autoSpaceDN w:val="0"/>
        <w:adjustRightInd w:val="0"/>
        <w:spacing w:after="240"/>
        <w:jc w:val="both"/>
        <w:rPr>
          <w:rFonts w:ascii="Times" w:hAnsi="Times" w:cs="Symbol"/>
          <w:b/>
          <w:sz w:val="28"/>
          <w:szCs w:val="28"/>
          <w:lang w:val="en-US"/>
        </w:rPr>
      </w:pPr>
      <w:r w:rsidRPr="001F2F5C">
        <w:rPr>
          <w:rFonts w:ascii="Times" w:hAnsi="Times" w:cs="Symbol"/>
          <w:b/>
          <w:sz w:val="28"/>
          <w:szCs w:val="28"/>
          <w:lang w:val="en-US"/>
        </w:rPr>
        <w:t xml:space="preserve">33. KNH ja aneemiaga patsientidel pole soovitav </w:t>
      </w:r>
      <w:r w:rsidR="001F2F5C" w:rsidRPr="001F2F5C">
        <w:rPr>
          <w:rFonts w:ascii="Times" w:hAnsi="Times" w:cs="Symbol"/>
          <w:b/>
          <w:sz w:val="28"/>
          <w:szCs w:val="28"/>
          <w:lang w:val="en-US"/>
        </w:rPr>
        <w:t xml:space="preserve">ESA raviga </w:t>
      </w:r>
      <w:r w:rsidRPr="001F2F5C">
        <w:rPr>
          <w:rFonts w:ascii="Times" w:hAnsi="Times" w:cs="Symbol"/>
          <w:b/>
          <w:sz w:val="28"/>
          <w:szCs w:val="28"/>
          <w:lang w:val="en-US"/>
        </w:rPr>
        <w:t xml:space="preserve">korrigeerida Hgb taset </w:t>
      </w:r>
      <w:r w:rsidR="001F2F5C" w:rsidRPr="001F2F5C">
        <w:rPr>
          <w:rFonts w:ascii="Times" w:hAnsi="Times" w:cs="Symbol"/>
          <w:b/>
          <w:sz w:val="28"/>
          <w:szCs w:val="28"/>
          <w:lang w:val="en-US"/>
        </w:rPr>
        <w:t>normi tasemeni:</w:t>
      </w:r>
    </w:p>
    <w:p w14:paraId="0D6EA75D" w14:textId="67D1C79B" w:rsidR="001F2F5C" w:rsidRPr="001F2F5C" w:rsidRDefault="001F2F5C" w:rsidP="001F2F5C">
      <w:pPr>
        <w:pStyle w:val="ListParagraph"/>
        <w:widowControl w:val="0"/>
        <w:numPr>
          <w:ilvl w:val="0"/>
          <w:numId w:val="34"/>
        </w:numPr>
        <w:tabs>
          <w:tab w:val="left" w:pos="940"/>
          <w:tab w:val="left" w:pos="1440"/>
        </w:tabs>
        <w:autoSpaceDE w:val="0"/>
        <w:autoSpaceDN w:val="0"/>
        <w:adjustRightInd w:val="0"/>
        <w:spacing w:after="240"/>
        <w:ind w:left="0" w:firstLine="0"/>
        <w:jc w:val="both"/>
        <w:rPr>
          <w:rFonts w:ascii="Times" w:hAnsi="Times" w:cs="Times"/>
          <w:b/>
          <w:sz w:val="28"/>
          <w:szCs w:val="28"/>
          <w:lang w:val="en-US"/>
        </w:rPr>
      </w:pPr>
      <w:r w:rsidRPr="001F2F5C">
        <w:rPr>
          <w:rFonts w:ascii="Times" w:hAnsi="Times" w:cs="Times"/>
          <w:b/>
          <w:sz w:val="28"/>
          <w:szCs w:val="28"/>
          <w:lang w:val="en-US"/>
        </w:rPr>
        <w:t>Tavaliselt säilitatakse Hgb tase vahemikus 100-120 g/l täiskasvanutel</w:t>
      </w:r>
    </w:p>
    <w:p w14:paraId="22F68ED2" w14:textId="3443A73D" w:rsidR="001F2F5C" w:rsidRPr="001F2F5C" w:rsidRDefault="001F2F5C" w:rsidP="001F2F5C">
      <w:pPr>
        <w:pStyle w:val="ListParagraph"/>
        <w:widowControl w:val="0"/>
        <w:numPr>
          <w:ilvl w:val="0"/>
          <w:numId w:val="34"/>
        </w:numPr>
        <w:tabs>
          <w:tab w:val="left" w:pos="940"/>
          <w:tab w:val="left" w:pos="1440"/>
        </w:tabs>
        <w:autoSpaceDE w:val="0"/>
        <w:autoSpaceDN w:val="0"/>
        <w:adjustRightInd w:val="0"/>
        <w:spacing w:after="240"/>
        <w:ind w:left="0" w:firstLine="0"/>
        <w:jc w:val="both"/>
        <w:rPr>
          <w:rFonts w:ascii="Times" w:hAnsi="Times" w:cs="Times"/>
          <w:b/>
          <w:sz w:val="28"/>
          <w:szCs w:val="28"/>
          <w:lang w:val="en-US"/>
        </w:rPr>
      </w:pPr>
      <w:r w:rsidRPr="001F2F5C">
        <w:rPr>
          <w:rFonts w:ascii="Times" w:hAnsi="Times" w:cs="Times"/>
          <w:b/>
          <w:sz w:val="28"/>
          <w:szCs w:val="28"/>
          <w:lang w:val="en-US"/>
        </w:rPr>
        <w:t>Selleks, et hoida Hgb tase antud vahemikus ära oota kui Hgb tase on allpool vahemiku alumist piiri enne kui alustada ravi</w:t>
      </w:r>
    </w:p>
    <w:p w14:paraId="1B1F87D5" w14:textId="77777777" w:rsidR="005B6292" w:rsidRPr="00B97403" w:rsidRDefault="005B6292" w:rsidP="00F465AC">
      <w:pPr>
        <w:widowControl w:val="0"/>
        <w:autoSpaceDE w:val="0"/>
        <w:autoSpaceDN w:val="0"/>
        <w:adjustRightInd w:val="0"/>
        <w:spacing w:after="240"/>
        <w:rPr>
          <w:rFonts w:ascii="Times" w:hAnsi="Times" w:cs="Times"/>
          <w:b/>
          <w:lang w:val="en-US"/>
        </w:rPr>
      </w:pPr>
    </w:p>
    <w:p w14:paraId="2A8FA7E8" w14:textId="5C4938FC" w:rsidR="002835EC" w:rsidRPr="000C7249" w:rsidRDefault="002835EC" w:rsidP="000C7249">
      <w:pPr>
        <w:widowControl w:val="0"/>
        <w:autoSpaceDE w:val="0"/>
        <w:autoSpaceDN w:val="0"/>
        <w:adjustRightInd w:val="0"/>
        <w:spacing w:after="240"/>
        <w:jc w:val="both"/>
        <w:rPr>
          <w:rFonts w:ascii="Times" w:hAnsi="Times" w:cs="Times"/>
          <w:b/>
          <w:sz w:val="28"/>
          <w:szCs w:val="28"/>
          <w:lang w:val="en-US"/>
        </w:rPr>
      </w:pPr>
      <w:r w:rsidRPr="000C7249">
        <w:rPr>
          <w:rFonts w:ascii="Times" w:hAnsi="Times" w:cs="Calibri"/>
          <w:b/>
          <w:sz w:val="28"/>
          <w:szCs w:val="28"/>
          <w:lang w:val="en-US"/>
        </w:rPr>
        <w:t>40.</w:t>
      </w:r>
      <w:r w:rsidR="000A2872" w:rsidRPr="000C7249">
        <w:rPr>
          <w:rFonts w:ascii="Times" w:hAnsi="Times" w:cs="Calibri"/>
          <w:b/>
          <w:sz w:val="28"/>
          <w:szCs w:val="28"/>
          <w:lang w:val="en-US"/>
        </w:rPr>
        <w:t xml:space="preserve"> </w:t>
      </w:r>
      <w:r w:rsidRPr="000C7249">
        <w:rPr>
          <w:rFonts w:ascii="Times" w:hAnsi="Times" w:cs="Calibri"/>
          <w:b/>
          <w:sz w:val="28"/>
          <w:szCs w:val="28"/>
          <w:lang w:val="en-US"/>
        </w:rPr>
        <w:t>Offer iron therapy to people</w:t>
      </w:r>
      <w:r w:rsidR="00F465AC" w:rsidRPr="000C7249">
        <w:rPr>
          <w:rFonts w:ascii="Times" w:hAnsi="Times" w:cs="Calibri"/>
          <w:b/>
          <w:position w:val="13"/>
          <w:sz w:val="28"/>
          <w:szCs w:val="28"/>
          <w:lang w:val="en-US"/>
        </w:rPr>
        <w:t xml:space="preserve"> </w:t>
      </w:r>
      <w:r w:rsidRPr="000C7249">
        <w:rPr>
          <w:rFonts w:ascii="Times" w:hAnsi="Times" w:cs="Calibri"/>
          <w:b/>
          <w:sz w:val="28"/>
          <w:szCs w:val="28"/>
          <w:lang w:val="en-US"/>
        </w:rPr>
        <w:t>with anaemia of CKD who are iron deficient and who are not receiving ESA therapy, before discussing ESA therapy.</w:t>
      </w:r>
    </w:p>
    <w:p w14:paraId="64292B5F" w14:textId="10B35A6B" w:rsidR="002835EC" w:rsidRPr="000C7249" w:rsidRDefault="002835EC" w:rsidP="000C7249">
      <w:pPr>
        <w:widowControl w:val="0"/>
        <w:numPr>
          <w:ilvl w:val="0"/>
          <w:numId w:val="18"/>
        </w:numPr>
        <w:tabs>
          <w:tab w:val="left" w:pos="220"/>
          <w:tab w:val="left" w:pos="720"/>
        </w:tabs>
        <w:autoSpaceDE w:val="0"/>
        <w:autoSpaceDN w:val="0"/>
        <w:adjustRightInd w:val="0"/>
        <w:spacing w:after="240"/>
        <w:jc w:val="both"/>
        <w:rPr>
          <w:rFonts w:ascii="Times" w:hAnsi="Times" w:cs="Times"/>
          <w:b/>
          <w:sz w:val="28"/>
          <w:szCs w:val="28"/>
          <w:lang w:val="en-US"/>
        </w:rPr>
      </w:pPr>
      <w:r w:rsidRPr="000C7249">
        <w:rPr>
          <w:rFonts w:ascii="Times" w:hAnsi="Times" w:cs="Symbol"/>
          <w:b/>
          <w:sz w:val="28"/>
          <w:szCs w:val="28"/>
          <w:lang w:val="en-US"/>
        </w:rPr>
        <w:tab/>
      </w:r>
      <w:r w:rsidRPr="000C7249">
        <w:rPr>
          <w:rFonts w:ascii="Times" w:hAnsi="Times" w:cs="Symbol"/>
          <w:b/>
          <w:sz w:val="28"/>
          <w:szCs w:val="28"/>
          <w:lang w:val="en-US"/>
        </w:rPr>
        <w:tab/>
      </w:r>
      <w:r w:rsidRPr="000C7249">
        <w:rPr>
          <w:rFonts w:ascii="Times" w:hAnsi="Times" w:cs="Symbol"/>
          <w:b/>
          <w:sz w:val="28"/>
          <w:szCs w:val="28"/>
          <w:lang w:val="en-US"/>
        </w:rPr>
        <w:t></w:t>
      </w:r>
      <w:r w:rsidRPr="000C7249">
        <w:rPr>
          <w:rFonts w:ascii="Times" w:hAnsi="Times" w:cs="Symbol"/>
          <w:b/>
          <w:sz w:val="28"/>
          <w:szCs w:val="28"/>
          <w:lang w:val="en-US"/>
        </w:rPr>
        <w:t></w:t>
      </w:r>
      <w:r w:rsidRPr="000C7249">
        <w:rPr>
          <w:rFonts w:ascii="Times" w:hAnsi="Times" w:cs="Calibri"/>
          <w:b/>
          <w:sz w:val="28"/>
          <w:szCs w:val="28"/>
          <w:lang w:val="en-US"/>
        </w:rPr>
        <w:t xml:space="preserve">Discuss the risks and benefits of treatment options. Take into account the person’s choice. </w:t>
      </w:r>
    </w:p>
    <w:p w14:paraId="1A71CF47" w14:textId="4BA08008" w:rsidR="002835EC" w:rsidRPr="000C7249" w:rsidRDefault="002835EC" w:rsidP="000C7249">
      <w:pPr>
        <w:widowControl w:val="0"/>
        <w:numPr>
          <w:ilvl w:val="0"/>
          <w:numId w:val="18"/>
        </w:numPr>
        <w:tabs>
          <w:tab w:val="left" w:pos="220"/>
          <w:tab w:val="left" w:pos="720"/>
        </w:tabs>
        <w:autoSpaceDE w:val="0"/>
        <w:autoSpaceDN w:val="0"/>
        <w:adjustRightInd w:val="0"/>
        <w:spacing w:after="240"/>
        <w:jc w:val="both"/>
        <w:rPr>
          <w:rFonts w:ascii="Times" w:hAnsi="Times" w:cs="Times"/>
          <w:b/>
          <w:sz w:val="28"/>
          <w:szCs w:val="28"/>
          <w:lang w:val="en-US"/>
        </w:rPr>
      </w:pPr>
      <w:r w:rsidRPr="000C7249">
        <w:rPr>
          <w:rFonts w:ascii="Times" w:hAnsi="Times" w:cs="Symbol"/>
          <w:b/>
          <w:sz w:val="28"/>
          <w:szCs w:val="28"/>
          <w:lang w:val="en-US"/>
        </w:rPr>
        <w:tab/>
      </w:r>
      <w:r w:rsidRPr="000C7249">
        <w:rPr>
          <w:rFonts w:ascii="Times" w:hAnsi="Times" w:cs="Symbol"/>
          <w:b/>
          <w:sz w:val="28"/>
          <w:szCs w:val="28"/>
          <w:lang w:val="en-US"/>
        </w:rPr>
        <w:tab/>
      </w:r>
      <w:r w:rsidRPr="000C7249">
        <w:rPr>
          <w:rFonts w:ascii="Times" w:hAnsi="Times" w:cs="Symbol"/>
          <w:b/>
          <w:sz w:val="28"/>
          <w:szCs w:val="28"/>
          <w:lang w:val="en-US"/>
        </w:rPr>
        <w:t></w:t>
      </w:r>
      <w:r w:rsidRPr="000C7249">
        <w:rPr>
          <w:rFonts w:ascii="Times" w:hAnsi="Times" w:cs="Symbol"/>
          <w:b/>
          <w:sz w:val="28"/>
          <w:szCs w:val="28"/>
          <w:lang w:val="en-US"/>
        </w:rPr>
        <w:t></w:t>
      </w:r>
      <w:r w:rsidRPr="000C7249">
        <w:rPr>
          <w:rFonts w:ascii="Times" w:hAnsi="Times" w:cs="Calibri"/>
          <w:b/>
          <w:sz w:val="28"/>
          <w:szCs w:val="28"/>
          <w:lang w:val="en-US"/>
        </w:rPr>
        <w:t xml:space="preserve">For people who are not receiving haemodialysis, consider a trial of oral iron before offering intravenous iron therapy. If they are intolerant of oral iron or target Hb levels are not reached within 3 months (see recommendation 33), offer intravenous iron therapy. </w:t>
      </w:r>
    </w:p>
    <w:p w14:paraId="2B90FE97" w14:textId="12DB43EF" w:rsidR="000A2872" w:rsidRPr="000C7249" w:rsidRDefault="000A2872" w:rsidP="000C7249">
      <w:pPr>
        <w:widowControl w:val="0"/>
        <w:tabs>
          <w:tab w:val="left" w:pos="220"/>
          <w:tab w:val="left" w:pos="720"/>
        </w:tabs>
        <w:autoSpaceDE w:val="0"/>
        <w:autoSpaceDN w:val="0"/>
        <w:adjustRightInd w:val="0"/>
        <w:spacing w:after="240"/>
        <w:jc w:val="both"/>
        <w:rPr>
          <w:rFonts w:ascii="Times" w:hAnsi="Times" w:cs="Times"/>
          <w:b/>
          <w:sz w:val="28"/>
          <w:szCs w:val="28"/>
          <w:lang w:val="en-US"/>
        </w:rPr>
      </w:pPr>
      <w:r w:rsidRPr="000C7249">
        <w:rPr>
          <w:rFonts w:ascii="Times" w:hAnsi="Times" w:cs="Times"/>
          <w:b/>
          <w:sz w:val="28"/>
          <w:szCs w:val="28"/>
          <w:lang w:val="en-US"/>
        </w:rPr>
        <w:t>40. Pakku rauaravi KNH, aneemia ja rauadefitsiidiga patsientidele kes ei saa ESA ravi, enne kui arutada ESA ravi.</w:t>
      </w:r>
    </w:p>
    <w:p w14:paraId="7AB87E89" w14:textId="6DFF51C6" w:rsidR="000A2872" w:rsidRPr="000C7249" w:rsidRDefault="000A2872" w:rsidP="000C7249">
      <w:pPr>
        <w:pStyle w:val="ListParagraph"/>
        <w:widowControl w:val="0"/>
        <w:numPr>
          <w:ilvl w:val="0"/>
          <w:numId w:val="30"/>
        </w:numPr>
        <w:tabs>
          <w:tab w:val="left" w:pos="220"/>
          <w:tab w:val="left" w:pos="720"/>
        </w:tabs>
        <w:autoSpaceDE w:val="0"/>
        <w:autoSpaceDN w:val="0"/>
        <w:adjustRightInd w:val="0"/>
        <w:spacing w:after="240"/>
        <w:jc w:val="both"/>
        <w:rPr>
          <w:rFonts w:ascii="Times" w:hAnsi="Times" w:cs="Times"/>
          <w:b/>
          <w:sz w:val="28"/>
          <w:szCs w:val="28"/>
          <w:lang w:val="en-US"/>
        </w:rPr>
      </w:pPr>
      <w:r w:rsidRPr="000C7249">
        <w:rPr>
          <w:rFonts w:ascii="Times" w:hAnsi="Times" w:cs="Times"/>
          <w:b/>
          <w:sz w:val="28"/>
          <w:szCs w:val="28"/>
          <w:lang w:val="en-US"/>
        </w:rPr>
        <w:t>Aruta erinevate ravi võimaluste riski ja kasu. Võtta arvesse patsiendi valikut.</w:t>
      </w:r>
    </w:p>
    <w:p w14:paraId="4605F7C6" w14:textId="4A580E27" w:rsidR="000A2872" w:rsidRPr="000C7249" w:rsidRDefault="000A2872" w:rsidP="000C7249">
      <w:pPr>
        <w:pStyle w:val="ListParagraph"/>
        <w:widowControl w:val="0"/>
        <w:numPr>
          <w:ilvl w:val="0"/>
          <w:numId w:val="30"/>
        </w:numPr>
        <w:tabs>
          <w:tab w:val="left" w:pos="220"/>
          <w:tab w:val="left" w:pos="720"/>
        </w:tabs>
        <w:autoSpaceDE w:val="0"/>
        <w:autoSpaceDN w:val="0"/>
        <w:adjustRightInd w:val="0"/>
        <w:spacing w:after="240"/>
        <w:jc w:val="both"/>
        <w:rPr>
          <w:rFonts w:ascii="Times" w:hAnsi="Times" w:cs="Times"/>
          <w:b/>
          <w:sz w:val="28"/>
          <w:szCs w:val="28"/>
          <w:lang w:val="en-US"/>
        </w:rPr>
      </w:pPr>
      <w:r w:rsidRPr="000C7249">
        <w:rPr>
          <w:rFonts w:ascii="Times" w:hAnsi="Times" w:cs="Times"/>
          <w:b/>
          <w:sz w:val="28"/>
          <w:szCs w:val="28"/>
          <w:lang w:val="en-US"/>
        </w:rPr>
        <w:t>Mitte hemodialüüsravil patsientidel alusta suukaudse rauaasendusraviga enne IV ravi. Kui patsient ei talu suukaudest rauaprepatraati või Hgb sihtväärtu</w:t>
      </w:r>
      <w:r w:rsidR="001F2F5C">
        <w:rPr>
          <w:rFonts w:ascii="Times" w:hAnsi="Times" w:cs="Times"/>
          <w:b/>
          <w:sz w:val="28"/>
          <w:szCs w:val="28"/>
          <w:lang w:val="en-US"/>
        </w:rPr>
        <w:t>s pole saavutatud 3 kuu jooksul</w:t>
      </w:r>
      <w:r w:rsidRPr="000C7249">
        <w:rPr>
          <w:rFonts w:ascii="Times" w:hAnsi="Times" w:cs="Times"/>
          <w:b/>
          <w:sz w:val="28"/>
          <w:szCs w:val="28"/>
          <w:lang w:val="en-US"/>
        </w:rPr>
        <w:t>, määra IV rauaravi.</w:t>
      </w:r>
    </w:p>
    <w:p w14:paraId="2C76358D" w14:textId="5F4E5A4B" w:rsidR="003F2C11" w:rsidRPr="000C7249" w:rsidRDefault="003F2C11" w:rsidP="000C7249">
      <w:pPr>
        <w:widowControl w:val="0"/>
        <w:tabs>
          <w:tab w:val="left" w:pos="220"/>
          <w:tab w:val="left" w:pos="720"/>
        </w:tabs>
        <w:autoSpaceDE w:val="0"/>
        <w:autoSpaceDN w:val="0"/>
        <w:adjustRightInd w:val="0"/>
        <w:spacing w:after="240"/>
        <w:jc w:val="both"/>
        <w:rPr>
          <w:rFonts w:ascii="Times" w:hAnsi="Times" w:cs="Times"/>
          <w:b/>
          <w:sz w:val="28"/>
          <w:szCs w:val="28"/>
          <w:lang w:val="en-US"/>
        </w:rPr>
      </w:pPr>
      <w:r w:rsidRPr="000C7249">
        <w:rPr>
          <w:rFonts w:ascii="Times" w:hAnsi="Times" w:cs="Calibri"/>
          <w:b/>
          <w:sz w:val="28"/>
          <w:szCs w:val="28"/>
          <w:lang w:val="en-US"/>
        </w:rPr>
        <w:t>44.</w:t>
      </w:r>
      <w:r w:rsidR="000A2872" w:rsidRPr="000C7249">
        <w:rPr>
          <w:rFonts w:ascii="Times" w:hAnsi="Times" w:cs="Calibri"/>
          <w:b/>
          <w:sz w:val="28"/>
          <w:szCs w:val="28"/>
          <w:lang w:val="en-US"/>
        </w:rPr>
        <w:t xml:space="preserve"> </w:t>
      </w:r>
      <w:r w:rsidRPr="000C7249">
        <w:rPr>
          <w:rFonts w:ascii="Times" w:hAnsi="Times" w:cs="Calibri"/>
          <w:b/>
          <w:sz w:val="28"/>
          <w:szCs w:val="28"/>
          <w:lang w:val="en-US"/>
        </w:rPr>
        <w:t>When offering intravenous iron therapy to people not receivin</w:t>
      </w:r>
      <w:r w:rsidR="00903D77">
        <w:rPr>
          <w:rFonts w:ascii="Times" w:hAnsi="Times" w:cs="Calibri"/>
          <w:b/>
          <w:sz w:val="28"/>
          <w:szCs w:val="28"/>
          <w:lang w:val="en-US"/>
        </w:rPr>
        <w:t>g haemodialysis, consider high-</w:t>
      </w:r>
      <w:r w:rsidRPr="000C7249">
        <w:rPr>
          <w:rFonts w:ascii="Times" w:hAnsi="Times" w:cs="Calibri"/>
          <w:b/>
          <w:sz w:val="28"/>
          <w:szCs w:val="28"/>
          <w:lang w:val="en-US"/>
        </w:rPr>
        <w:t>dose low-frequency</w:t>
      </w:r>
      <w:r w:rsidRPr="000C7249">
        <w:rPr>
          <w:rFonts w:ascii="Times" w:hAnsi="Times" w:cs="Calibri"/>
          <w:b/>
          <w:position w:val="13"/>
          <w:sz w:val="28"/>
          <w:szCs w:val="28"/>
          <w:lang w:val="en-US"/>
        </w:rPr>
        <w:t xml:space="preserve"> </w:t>
      </w:r>
      <w:r w:rsidRPr="000C7249">
        <w:rPr>
          <w:rFonts w:ascii="Times" w:hAnsi="Times" w:cs="Calibri"/>
          <w:b/>
          <w:sz w:val="28"/>
          <w:szCs w:val="28"/>
          <w:lang w:val="en-US"/>
        </w:rPr>
        <w:t>intravenous iron as the treatment of choice for adults and young people when trying to achieve iron repletion. Take into account all of the following:</w:t>
      </w:r>
    </w:p>
    <w:p w14:paraId="4DF132B2" w14:textId="77777777" w:rsidR="003F2C11" w:rsidRPr="000C7249" w:rsidRDefault="003F2C11" w:rsidP="000C7249">
      <w:pPr>
        <w:widowControl w:val="0"/>
        <w:numPr>
          <w:ilvl w:val="0"/>
          <w:numId w:val="18"/>
        </w:numPr>
        <w:tabs>
          <w:tab w:val="left" w:pos="220"/>
          <w:tab w:val="left" w:pos="720"/>
        </w:tabs>
        <w:autoSpaceDE w:val="0"/>
        <w:autoSpaceDN w:val="0"/>
        <w:adjustRightInd w:val="0"/>
        <w:spacing w:after="240"/>
        <w:jc w:val="both"/>
        <w:rPr>
          <w:rFonts w:ascii="Times" w:hAnsi="Times" w:cs="Times"/>
          <w:b/>
          <w:sz w:val="28"/>
          <w:szCs w:val="28"/>
          <w:lang w:val="en-US"/>
        </w:rPr>
      </w:pPr>
      <w:r w:rsidRPr="000C7249">
        <w:rPr>
          <w:rFonts w:ascii="Times" w:hAnsi="Times" w:cs="Symbol"/>
          <w:sz w:val="28"/>
          <w:szCs w:val="28"/>
          <w:lang w:val="en-US"/>
        </w:rPr>
        <w:tab/>
      </w:r>
      <w:r w:rsidRPr="000C7249">
        <w:rPr>
          <w:rFonts w:ascii="Times" w:hAnsi="Times" w:cs="Symbol"/>
          <w:sz w:val="28"/>
          <w:szCs w:val="28"/>
          <w:lang w:val="en-US"/>
        </w:rPr>
        <w:tab/>
      </w:r>
      <w:r w:rsidRPr="000C7249">
        <w:rPr>
          <w:rFonts w:ascii="Times" w:hAnsi="Times" w:cs="Symbol"/>
          <w:b/>
          <w:sz w:val="28"/>
          <w:szCs w:val="28"/>
          <w:lang w:val="en-US"/>
        </w:rPr>
        <w:t></w:t>
      </w:r>
      <w:r w:rsidRPr="000C7249">
        <w:rPr>
          <w:rFonts w:ascii="Times" w:hAnsi="Times" w:cs="Symbol"/>
          <w:b/>
          <w:sz w:val="28"/>
          <w:szCs w:val="28"/>
          <w:lang w:val="en-US"/>
        </w:rPr>
        <w:t></w:t>
      </w:r>
      <w:r w:rsidRPr="000C7249">
        <w:rPr>
          <w:rFonts w:ascii="Times" w:hAnsi="Times" w:cs="Calibri"/>
          <w:b/>
          <w:sz w:val="28"/>
          <w:szCs w:val="28"/>
          <w:lang w:val="en-US"/>
        </w:rPr>
        <w:t xml:space="preserve">preferences of the person with anaemia of CKD or, where appropriate, their family or carers </w:t>
      </w:r>
    </w:p>
    <w:p w14:paraId="3932B3A7" w14:textId="77777777" w:rsidR="003F2C11" w:rsidRPr="000C7249" w:rsidRDefault="003F2C11" w:rsidP="000C7249">
      <w:pPr>
        <w:widowControl w:val="0"/>
        <w:numPr>
          <w:ilvl w:val="0"/>
          <w:numId w:val="18"/>
        </w:numPr>
        <w:tabs>
          <w:tab w:val="left" w:pos="220"/>
          <w:tab w:val="left" w:pos="720"/>
        </w:tabs>
        <w:autoSpaceDE w:val="0"/>
        <w:autoSpaceDN w:val="0"/>
        <w:adjustRightInd w:val="0"/>
        <w:spacing w:after="240"/>
        <w:jc w:val="both"/>
        <w:rPr>
          <w:rFonts w:ascii="Times" w:hAnsi="Times" w:cs="Times"/>
          <w:b/>
          <w:sz w:val="28"/>
          <w:szCs w:val="28"/>
          <w:lang w:val="en-US"/>
        </w:rPr>
      </w:pPr>
      <w:r w:rsidRPr="000C7249">
        <w:rPr>
          <w:rFonts w:ascii="Times" w:hAnsi="Times" w:cs="Symbol"/>
          <w:b/>
          <w:sz w:val="28"/>
          <w:szCs w:val="28"/>
          <w:lang w:val="en-US"/>
        </w:rPr>
        <w:tab/>
      </w:r>
      <w:r w:rsidRPr="000C7249">
        <w:rPr>
          <w:rFonts w:ascii="Times" w:hAnsi="Times" w:cs="Symbol"/>
          <w:b/>
          <w:sz w:val="28"/>
          <w:szCs w:val="28"/>
          <w:lang w:val="en-US"/>
        </w:rPr>
        <w:tab/>
      </w:r>
      <w:r w:rsidRPr="000C7249">
        <w:rPr>
          <w:rFonts w:ascii="Times" w:hAnsi="Times" w:cs="Symbol"/>
          <w:b/>
          <w:sz w:val="28"/>
          <w:szCs w:val="28"/>
          <w:lang w:val="en-US"/>
        </w:rPr>
        <w:t></w:t>
      </w:r>
      <w:r w:rsidRPr="000C7249">
        <w:rPr>
          <w:rFonts w:ascii="Times" w:hAnsi="Times" w:cs="Symbol"/>
          <w:b/>
          <w:sz w:val="28"/>
          <w:szCs w:val="28"/>
          <w:lang w:val="en-US"/>
        </w:rPr>
        <w:t></w:t>
      </w:r>
      <w:r w:rsidRPr="000C7249">
        <w:rPr>
          <w:rFonts w:ascii="Times" w:hAnsi="Times" w:cs="Calibri"/>
          <w:b/>
          <w:sz w:val="28"/>
          <w:szCs w:val="28"/>
          <w:lang w:val="en-US"/>
        </w:rPr>
        <w:t xml:space="preserve">nursing and administration costs </w:t>
      </w:r>
    </w:p>
    <w:p w14:paraId="6922D11A" w14:textId="77777777" w:rsidR="003F2C11" w:rsidRPr="000C7249" w:rsidRDefault="003F2C11" w:rsidP="000C7249">
      <w:pPr>
        <w:widowControl w:val="0"/>
        <w:numPr>
          <w:ilvl w:val="0"/>
          <w:numId w:val="18"/>
        </w:numPr>
        <w:tabs>
          <w:tab w:val="left" w:pos="220"/>
          <w:tab w:val="left" w:pos="720"/>
        </w:tabs>
        <w:autoSpaceDE w:val="0"/>
        <w:autoSpaceDN w:val="0"/>
        <w:adjustRightInd w:val="0"/>
        <w:spacing w:after="240"/>
        <w:jc w:val="both"/>
        <w:rPr>
          <w:rFonts w:ascii="Times" w:hAnsi="Times" w:cs="Times"/>
          <w:b/>
          <w:sz w:val="28"/>
          <w:szCs w:val="28"/>
          <w:lang w:val="en-US"/>
        </w:rPr>
      </w:pPr>
      <w:r w:rsidRPr="000C7249">
        <w:rPr>
          <w:rFonts w:ascii="Times" w:hAnsi="Times" w:cs="Symbol"/>
          <w:b/>
          <w:sz w:val="28"/>
          <w:szCs w:val="28"/>
          <w:lang w:val="en-US"/>
        </w:rPr>
        <w:tab/>
      </w:r>
      <w:r w:rsidRPr="000C7249">
        <w:rPr>
          <w:rFonts w:ascii="Times" w:hAnsi="Times" w:cs="Symbol"/>
          <w:b/>
          <w:sz w:val="28"/>
          <w:szCs w:val="28"/>
          <w:lang w:val="en-US"/>
        </w:rPr>
        <w:tab/>
      </w:r>
      <w:r w:rsidRPr="000C7249">
        <w:rPr>
          <w:rFonts w:ascii="Times" w:hAnsi="Times" w:cs="Symbol"/>
          <w:b/>
          <w:sz w:val="28"/>
          <w:szCs w:val="28"/>
          <w:lang w:val="en-US"/>
        </w:rPr>
        <w:t></w:t>
      </w:r>
      <w:r w:rsidRPr="000C7249">
        <w:rPr>
          <w:rFonts w:ascii="Times" w:hAnsi="Times" w:cs="Symbol"/>
          <w:b/>
          <w:sz w:val="28"/>
          <w:szCs w:val="28"/>
          <w:lang w:val="en-US"/>
        </w:rPr>
        <w:t></w:t>
      </w:r>
      <w:r w:rsidRPr="000C7249">
        <w:rPr>
          <w:rFonts w:ascii="Times" w:hAnsi="Times" w:cs="Calibri"/>
          <w:b/>
          <w:sz w:val="28"/>
          <w:szCs w:val="28"/>
          <w:lang w:val="en-US"/>
        </w:rPr>
        <w:t xml:space="preserve">cost of local drug supply </w:t>
      </w:r>
    </w:p>
    <w:p w14:paraId="77BCBE90" w14:textId="74F9ADEB" w:rsidR="003F2C11" w:rsidRPr="00903D77" w:rsidRDefault="003F2C11" w:rsidP="000C7249">
      <w:pPr>
        <w:widowControl w:val="0"/>
        <w:numPr>
          <w:ilvl w:val="0"/>
          <w:numId w:val="18"/>
        </w:numPr>
        <w:tabs>
          <w:tab w:val="left" w:pos="220"/>
          <w:tab w:val="left" w:pos="720"/>
        </w:tabs>
        <w:autoSpaceDE w:val="0"/>
        <w:autoSpaceDN w:val="0"/>
        <w:adjustRightInd w:val="0"/>
        <w:spacing w:after="240"/>
        <w:jc w:val="both"/>
        <w:rPr>
          <w:rFonts w:ascii="Times" w:hAnsi="Times" w:cs="Times"/>
          <w:b/>
          <w:sz w:val="28"/>
          <w:szCs w:val="28"/>
          <w:lang w:val="en-US"/>
        </w:rPr>
      </w:pPr>
      <w:r w:rsidRPr="000C7249">
        <w:rPr>
          <w:rFonts w:ascii="Times" w:hAnsi="Times" w:cs="Symbol"/>
          <w:b/>
          <w:sz w:val="28"/>
          <w:szCs w:val="28"/>
          <w:lang w:val="en-US"/>
        </w:rPr>
        <w:tab/>
      </w:r>
      <w:r w:rsidRPr="000C7249">
        <w:rPr>
          <w:rFonts w:ascii="Times" w:hAnsi="Times" w:cs="Symbol"/>
          <w:b/>
          <w:sz w:val="28"/>
          <w:szCs w:val="28"/>
          <w:lang w:val="en-US"/>
        </w:rPr>
        <w:tab/>
      </w:r>
      <w:r w:rsidRPr="000C7249">
        <w:rPr>
          <w:rFonts w:ascii="Times" w:hAnsi="Times" w:cs="Symbol"/>
          <w:b/>
          <w:sz w:val="28"/>
          <w:szCs w:val="28"/>
          <w:lang w:val="en-US"/>
        </w:rPr>
        <w:t></w:t>
      </w:r>
      <w:r w:rsidRPr="000C7249">
        <w:rPr>
          <w:rFonts w:ascii="Times" w:hAnsi="Times" w:cs="Symbol"/>
          <w:b/>
          <w:sz w:val="28"/>
          <w:szCs w:val="28"/>
          <w:lang w:val="en-US"/>
        </w:rPr>
        <w:t></w:t>
      </w:r>
      <w:r w:rsidRPr="000C7249">
        <w:rPr>
          <w:rFonts w:ascii="Times" w:hAnsi="Times" w:cs="Calibri"/>
          <w:b/>
          <w:sz w:val="28"/>
          <w:szCs w:val="28"/>
          <w:lang w:val="en-US"/>
        </w:rPr>
        <w:t xml:space="preserve">provision of resuscitation facilities. </w:t>
      </w:r>
      <w:r w:rsidRPr="000C7249">
        <w:rPr>
          <w:rFonts w:ascii="Times" w:hAnsi="Times" w:cs="Times"/>
          <w:b/>
          <w:sz w:val="28"/>
          <w:szCs w:val="28"/>
          <w:lang w:val="en-US"/>
        </w:rPr>
        <w:t> </w:t>
      </w:r>
      <w:r w:rsidRPr="000C7249">
        <w:rPr>
          <w:rFonts w:ascii="Times" w:hAnsi="Times" w:cs="Calibri"/>
          <w:b/>
          <w:sz w:val="28"/>
          <w:szCs w:val="28"/>
          <w:lang w:val="en-US"/>
        </w:rPr>
        <w:t>Intravenous iron administered at a low dose and high frequency</w:t>
      </w:r>
      <w:r w:rsidRPr="000C7249">
        <w:rPr>
          <w:rFonts w:ascii="Times" w:hAnsi="Times" w:cs="Calibri"/>
          <w:b/>
          <w:position w:val="13"/>
          <w:sz w:val="28"/>
          <w:szCs w:val="28"/>
          <w:lang w:val="en-US"/>
        </w:rPr>
        <w:t xml:space="preserve"> </w:t>
      </w:r>
      <w:r w:rsidRPr="000C7249">
        <w:rPr>
          <w:rFonts w:ascii="Times" w:hAnsi="Times" w:cs="Calibri"/>
          <w:b/>
          <w:sz w:val="28"/>
          <w:szCs w:val="28"/>
          <w:lang w:val="en-US"/>
        </w:rPr>
        <w:t>may be more appropriate for all children</w:t>
      </w:r>
      <w:r w:rsidRPr="000C7249">
        <w:rPr>
          <w:rFonts w:ascii="Times" w:hAnsi="Times" w:cs="Calibri"/>
          <w:b/>
          <w:color w:val="0000FF"/>
          <w:position w:val="13"/>
          <w:sz w:val="28"/>
          <w:szCs w:val="28"/>
          <w:lang w:val="en-US"/>
        </w:rPr>
        <w:t xml:space="preserve"> </w:t>
      </w:r>
      <w:r w:rsidRPr="000C7249">
        <w:rPr>
          <w:rFonts w:ascii="Times" w:hAnsi="Times" w:cs="Calibri"/>
          <w:b/>
          <w:sz w:val="28"/>
          <w:szCs w:val="28"/>
          <w:lang w:val="en-US"/>
        </w:rPr>
        <w:t xml:space="preserve">and for adults who are receiving in-centre haemodialysis. [new 2015] </w:t>
      </w:r>
    </w:p>
    <w:p w14:paraId="5BEAC8B6" w14:textId="22C06DDC" w:rsidR="00903D77" w:rsidRPr="00853A58" w:rsidRDefault="00903D77" w:rsidP="00824F71">
      <w:pPr>
        <w:widowControl w:val="0"/>
        <w:numPr>
          <w:ilvl w:val="0"/>
          <w:numId w:val="18"/>
        </w:numPr>
        <w:tabs>
          <w:tab w:val="left" w:pos="0"/>
          <w:tab w:val="left" w:pos="220"/>
        </w:tabs>
        <w:autoSpaceDE w:val="0"/>
        <w:autoSpaceDN w:val="0"/>
        <w:adjustRightInd w:val="0"/>
        <w:spacing w:after="240"/>
        <w:ind w:left="0" w:firstLine="0"/>
        <w:jc w:val="both"/>
        <w:rPr>
          <w:rFonts w:ascii="Times" w:hAnsi="Times" w:cs="Times"/>
          <w:b/>
          <w:sz w:val="28"/>
          <w:szCs w:val="28"/>
          <w:lang w:val="en-US"/>
        </w:rPr>
      </w:pPr>
      <w:r>
        <w:rPr>
          <w:rFonts w:ascii="Times" w:hAnsi="Times" w:cs="Symbol"/>
          <w:b/>
          <w:sz w:val="28"/>
          <w:szCs w:val="28"/>
          <w:lang w:val="en-US"/>
        </w:rPr>
        <w:t xml:space="preserve">44. </w:t>
      </w:r>
      <w:r w:rsidR="004679F6">
        <w:rPr>
          <w:rFonts w:ascii="Times" w:hAnsi="Times" w:cs="Symbol"/>
          <w:b/>
          <w:sz w:val="28"/>
          <w:szCs w:val="28"/>
          <w:lang w:val="en-US"/>
        </w:rPr>
        <w:t>Kui määrata</w:t>
      </w:r>
      <w:r w:rsidR="00853A58">
        <w:rPr>
          <w:rFonts w:ascii="Times" w:hAnsi="Times" w:cs="Symbol"/>
          <w:b/>
          <w:sz w:val="28"/>
          <w:szCs w:val="28"/>
          <w:lang w:val="en-US"/>
        </w:rPr>
        <w:t xml:space="preserve"> IV rauaravi mitte HD ravil patsiendile vali valikmeetodiks suures doosis madala sagedusega IV rauaravi, et täita rauavarusid. Arvesse tuleb võtta: </w:t>
      </w:r>
    </w:p>
    <w:p w14:paraId="359E65A7" w14:textId="2F52A686" w:rsidR="00853A58" w:rsidRDefault="00853A58" w:rsidP="00853A58">
      <w:pPr>
        <w:pStyle w:val="ListParagraph"/>
        <w:widowControl w:val="0"/>
        <w:numPr>
          <w:ilvl w:val="0"/>
          <w:numId w:val="31"/>
        </w:numPr>
        <w:tabs>
          <w:tab w:val="left" w:pos="220"/>
          <w:tab w:val="left" w:pos="720"/>
        </w:tabs>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patsiendi eelistusi, kui on vajalik, siis patsiendi pereliikmete ja hooldajate eelistusi</w:t>
      </w:r>
    </w:p>
    <w:p w14:paraId="70029D1F" w14:textId="580C77B5" w:rsidR="00853A58" w:rsidRDefault="00853A58" w:rsidP="00853A58">
      <w:pPr>
        <w:pStyle w:val="ListParagraph"/>
        <w:widowControl w:val="0"/>
        <w:numPr>
          <w:ilvl w:val="0"/>
          <w:numId w:val="31"/>
        </w:numPr>
        <w:tabs>
          <w:tab w:val="left" w:pos="220"/>
          <w:tab w:val="left" w:pos="720"/>
        </w:tabs>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protseduuri läbiviimise maksumust (med. õe töö…)</w:t>
      </w:r>
    </w:p>
    <w:p w14:paraId="715949DF" w14:textId="727D1DBE" w:rsidR="00853A58" w:rsidRDefault="00853A58" w:rsidP="00853A58">
      <w:pPr>
        <w:pStyle w:val="ListParagraph"/>
        <w:widowControl w:val="0"/>
        <w:numPr>
          <w:ilvl w:val="0"/>
          <w:numId w:val="31"/>
        </w:numPr>
        <w:tabs>
          <w:tab w:val="left" w:pos="220"/>
          <w:tab w:val="left" w:pos="720"/>
        </w:tabs>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preparaadi hind</w:t>
      </w:r>
    </w:p>
    <w:p w14:paraId="44EAFFFA" w14:textId="4F80F636" w:rsidR="00853A58" w:rsidRPr="00853A58" w:rsidRDefault="00A302C9" w:rsidP="00853A58">
      <w:pPr>
        <w:pStyle w:val="ListParagraph"/>
        <w:widowControl w:val="0"/>
        <w:numPr>
          <w:ilvl w:val="0"/>
          <w:numId w:val="31"/>
        </w:numPr>
        <w:tabs>
          <w:tab w:val="left" w:pos="220"/>
          <w:tab w:val="left" w:pos="720"/>
        </w:tabs>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elustamisvahendite olemasolu</w:t>
      </w:r>
    </w:p>
    <w:p w14:paraId="05BC2684" w14:textId="78DBA7A0" w:rsidR="000A4574" w:rsidRPr="00824F71" w:rsidRDefault="000A4574" w:rsidP="00824F71">
      <w:pPr>
        <w:widowControl w:val="0"/>
        <w:numPr>
          <w:ilvl w:val="0"/>
          <w:numId w:val="18"/>
        </w:numPr>
        <w:tabs>
          <w:tab w:val="left" w:pos="0"/>
          <w:tab w:val="left" w:pos="220"/>
        </w:tabs>
        <w:autoSpaceDE w:val="0"/>
        <w:autoSpaceDN w:val="0"/>
        <w:adjustRightInd w:val="0"/>
        <w:spacing w:after="240"/>
        <w:ind w:left="0" w:firstLine="0"/>
        <w:rPr>
          <w:rFonts w:ascii="Times" w:hAnsi="Times" w:cs="Times"/>
          <w:b/>
          <w:lang w:val="en-US"/>
        </w:rPr>
      </w:pPr>
      <w:r w:rsidRPr="00824F71">
        <w:rPr>
          <w:rFonts w:ascii="Times" w:hAnsi="Times" w:cs="Times"/>
          <w:sz w:val="30"/>
          <w:szCs w:val="30"/>
          <w:lang w:val="en-US"/>
        </w:rPr>
        <w:t>Evidence statements</w:t>
      </w:r>
    </w:p>
    <w:p w14:paraId="25E95D99" w14:textId="77777777" w:rsidR="0099095D" w:rsidRDefault="000A4574" w:rsidP="0099095D">
      <w:pPr>
        <w:widowControl w:val="0"/>
        <w:autoSpaceDE w:val="0"/>
        <w:autoSpaceDN w:val="0"/>
        <w:adjustRightInd w:val="0"/>
        <w:spacing w:after="240"/>
        <w:rPr>
          <w:rFonts w:ascii="Times" w:hAnsi="Times" w:cs="Times"/>
          <w:lang w:val="en-US"/>
        </w:rPr>
      </w:pPr>
      <w:r w:rsidRPr="00824F71">
        <w:rPr>
          <w:rFonts w:ascii="Times" w:hAnsi="Times" w:cs="Times"/>
          <w:sz w:val="30"/>
          <w:szCs w:val="30"/>
          <w:lang w:val="en-US"/>
        </w:rPr>
        <w:t>Clinical</w:t>
      </w:r>
    </w:p>
    <w:p w14:paraId="763C10A4" w14:textId="04B86CD6" w:rsidR="000A4574" w:rsidRPr="0099095D" w:rsidRDefault="000A4574" w:rsidP="0099095D">
      <w:pPr>
        <w:widowControl w:val="0"/>
        <w:autoSpaceDE w:val="0"/>
        <w:autoSpaceDN w:val="0"/>
        <w:adjustRightInd w:val="0"/>
        <w:spacing w:after="240"/>
        <w:rPr>
          <w:rFonts w:ascii="Times" w:hAnsi="Times" w:cs="Times"/>
          <w:lang w:val="en-US"/>
        </w:rPr>
      </w:pPr>
      <w:r w:rsidRPr="004679F6">
        <w:rPr>
          <w:rFonts w:ascii="Times" w:hAnsi="Times" w:cs="Times"/>
          <w:sz w:val="30"/>
          <w:szCs w:val="30"/>
          <w:u w:val="single"/>
          <w:lang w:val="en-US"/>
        </w:rPr>
        <w:t>High-dose/low-frequency IV iron compared to low-dose/high-frequency IV iron</w:t>
      </w:r>
    </w:p>
    <w:p w14:paraId="21ADAD3B" w14:textId="77777777" w:rsidR="00622FAD" w:rsidRPr="00075186" w:rsidRDefault="000A4574" w:rsidP="00075186">
      <w:pPr>
        <w:pStyle w:val="ListParagraph"/>
        <w:widowControl w:val="0"/>
        <w:numPr>
          <w:ilvl w:val="0"/>
          <w:numId w:val="18"/>
        </w:numPr>
        <w:autoSpaceDE w:val="0"/>
        <w:autoSpaceDN w:val="0"/>
        <w:adjustRightInd w:val="0"/>
        <w:spacing w:after="240"/>
        <w:ind w:left="0" w:firstLine="0"/>
        <w:jc w:val="both"/>
        <w:rPr>
          <w:rFonts w:ascii="Times" w:hAnsi="Times" w:cs="Times"/>
          <w:sz w:val="28"/>
          <w:szCs w:val="28"/>
          <w:lang w:val="en-US"/>
        </w:rPr>
      </w:pPr>
      <w:r w:rsidRPr="00075186">
        <w:rPr>
          <w:rFonts w:ascii="Times" w:hAnsi="Times"/>
          <w:sz w:val="28"/>
          <w:szCs w:val="28"/>
          <w:lang w:val="en-US"/>
        </w:rPr>
        <w:t>When comparing high-dose/low-frequency IV iron with low-dose/high-frequency IV iron, there appeared to be a clinically important benefit for high-dose/low-frequency IV iron compared with oral iron</w:t>
      </w:r>
      <w:r w:rsidR="00D15828" w:rsidRPr="00075186">
        <w:rPr>
          <w:rFonts w:ascii="Times" w:hAnsi="Times"/>
          <w:sz w:val="28"/>
          <w:szCs w:val="28"/>
          <w:lang w:val="en-US"/>
        </w:rPr>
        <w:t xml:space="preserve"> in relation to achieving a pre</w:t>
      </w:r>
      <w:r w:rsidRPr="00075186">
        <w:rPr>
          <w:rFonts w:ascii="Times" w:hAnsi="Times"/>
          <w:sz w:val="28"/>
          <w:szCs w:val="28"/>
          <w:lang w:val="en-US"/>
        </w:rPr>
        <w:t>defined Hb increase of more than or equal to 1 g/dl (two studies</w:t>
      </w:r>
      <w:r w:rsidRPr="00075186">
        <w:rPr>
          <w:rFonts w:ascii="Times" w:hAnsi="Times"/>
          <w:position w:val="13"/>
          <w:sz w:val="28"/>
          <w:szCs w:val="28"/>
          <w:lang w:val="en-US"/>
        </w:rPr>
        <w:t>209,260</w:t>
      </w:r>
      <w:r w:rsidRPr="00075186">
        <w:rPr>
          <w:rFonts w:ascii="Times" w:hAnsi="Times"/>
          <w:sz w:val="28"/>
          <w:szCs w:val="28"/>
          <w:lang w:val="en-US"/>
        </w:rPr>
        <w:t xml:space="preserve">, n=2363). However, this was </w:t>
      </w:r>
      <w:r w:rsidRPr="00075186">
        <w:rPr>
          <w:rFonts w:ascii="Times" w:hAnsi="Times"/>
          <w:b/>
          <w:sz w:val="28"/>
          <w:szCs w:val="28"/>
          <w:lang w:val="en-US"/>
        </w:rPr>
        <w:t>very low quality evidence</w:t>
      </w:r>
      <w:r w:rsidRPr="00075186">
        <w:rPr>
          <w:rFonts w:ascii="Times" w:hAnsi="Times"/>
          <w:sz w:val="28"/>
          <w:szCs w:val="28"/>
          <w:lang w:val="en-US"/>
        </w:rPr>
        <w:t xml:space="preserve">. </w:t>
      </w:r>
    </w:p>
    <w:p w14:paraId="1C321A7C" w14:textId="1EDB80AF" w:rsidR="00622FAD" w:rsidRPr="00075186" w:rsidRDefault="000A4574" w:rsidP="00075186">
      <w:pPr>
        <w:pStyle w:val="ListParagraph"/>
        <w:widowControl w:val="0"/>
        <w:numPr>
          <w:ilvl w:val="0"/>
          <w:numId w:val="18"/>
        </w:numPr>
        <w:autoSpaceDE w:val="0"/>
        <w:autoSpaceDN w:val="0"/>
        <w:adjustRightInd w:val="0"/>
        <w:spacing w:after="240"/>
        <w:ind w:left="0" w:firstLine="0"/>
        <w:jc w:val="both"/>
        <w:rPr>
          <w:rFonts w:ascii="Times" w:hAnsi="Times" w:cs="Times"/>
          <w:sz w:val="28"/>
          <w:szCs w:val="28"/>
          <w:lang w:val="en-US"/>
        </w:rPr>
      </w:pPr>
      <w:r w:rsidRPr="00075186">
        <w:rPr>
          <w:rFonts w:ascii="Times" w:hAnsi="Times"/>
          <w:b/>
          <w:sz w:val="28"/>
          <w:szCs w:val="28"/>
          <w:lang w:val="en-US"/>
        </w:rPr>
        <w:t xml:space="preserve">High quality evidence from one study </w:t>
      </w:r>
      <w:r w:rsidRPr="00075186">
        <w:rPr>
          <w:rFonts w:ascii="Times" w:hAnsi="Times"/>
          <w:b/>
          <w:position w:val="13"/>
          <w:sz w:val="28"/>
          <w:szCs w:val="28"/>
          <w:lang w:val="en-US"/>
        </w:rPr>
        <w:t xml:space="preserve">209 </w:t>
      </w:r>
      <w:r w:rsidRPr="00075186">
        <w:rPr>
          <w:rFonts w:ascii="Times" w:hAnsi="Times"/>
          <w:b/>
          <w:sz w:val="28"/>
          <w:szCs w:val="28"/>
          <w:lang w:val="en-US"/>
        </w:rPr>
        <w:t>(n=305) showed a clinically important benefit for high-dose/low-frequency IV iron over oral iron in respect to time to target Hb.</w:t>
      </w:r>
      <w:r w:rsidRPr="00075186">
        <w:rPr>
          <w:rFonts w:ascii="Times" w:hAnsi="Times"/>
          <w:sz w:val="28"/>
          <w:szCs w:val="28"/>
          <w:lang w:val="en-US"/>
        </w:rPr>
        <w:t xml:space="preserve"> </w:t>
      </w:r>
    </w:p>
    <w:p w14:paraId="795764AD" w14:textId="492EC0F7" w:rsidR="000A4574" w:rsidRPr="00075186" w:rsidRDefault="000A4574" w:rsidP="00075186">
      <w:pPr>
        <w:pStyle w:val="ListParagraph"/>
        <w:widowControl w:val="0"/>
        <w:numPr>
          <w:ilvl w:val="0"/>
          <w:numId w:val="18"/>
        </w:numPr>
        <w:autoSpaceDE w:val="0"/>
        <w:autoSpaceDN w:val="0"/>
        <w:adjustRightInd w:val="0"/>
        <w:spacing w:after="240"/>
        <w:ind w:left="0" w:firstLine="0"/>
        <w:jc w:val="both"/>
        <w:rPr>
          <w:rFonts w:ascii="Times" w:hAnsi="Times" w:cs="Times"/>
          <w:sz w:val="28"/>
          <w:szCs w:val="28"/>
          <w:lang w:val="en-US"/>
        </w:rPr>
      </w:pPr>
      <w:r w:rsidRPr="00075186">
        <w:rPr>
          <w:rFonts w:ascii="Times" w:hAnsi="Times"/>
          <w:sz w:val="28"/>
          <w:szCs w:val="28"/>
          <w:lang w:val="en-US"/>
        </w:rPr>
        <w:t>Two studies</w:t>
      </w:r>
      <w:r w:rsidRPr="00075186">
        <w:rPr>
          <w:rFonts w:ascii="Times" w:hAnsi="Times"/>
          <w:position w:val="13"/>
          <w:sz w:val="28"/>
          <w:szCs w:val="28"/>
          <w:lang w:val="en-US"/>
        </w:rPr>
        <w:t xml:space="preserve">209,260 </w:t>
      </w:r>
      <w:r w:rsidRPr="00075186">
        <w:rPr>
          <w:rFonts w:ascii="Times" w:hAnsi="Times"/>
          <w:sz w:val="28"/>
          <w:szCs w:val="28"/>
          <w:lang w:val="en-US"/>
        </w:rPr>
        <w:t xml:space="preserve">(n=2363) showed a clinically unimportant benefit of high-dose/low-frequency IV iron over low-dose/high-frequency IV iron for people’s change in Hb. This was </w:t>
      </w:r>
      <w:r w:rsidRPr="00075186">
        <w:rPr>
          <w:rFonts w:ascii="Times" w:hAnsi="Times"/>
          <w:b/>
          <w:sz w:val="28"/>
          <w:szCs w:val="28"/>
          <w:lang w:val="en-US"/>
        </w:rPr>
        <w:t>low quality</w:t>
      </w:r>
      <w:r w:rsidRPr="00075186">
        <w:rPr>
          <w:rFonts w:ascii="Times" w:hAnsi="Times"/>
          <w:sz w:val="28"/>
          <w:szCs w:val="28"/>
          <w:lang w:val="en-US"/>
        </w:rPr>
        <w:t xml:space="preserve"> </w:t>
      </w:r>
      <w:r w:rsidRPr="00075186">
        <w:rPr>
          <w:rFonts w:ascii="Times" w:hAnsi="Times"/>
          <w:b/>
          <w:sz w:val="28"/>
          <w:szCs w:val="28"/>
          <w:lang w:val="en-US"/>
        </w:rPr>
        <w:t>evidence</w:t>
      </w:r>
      <w:r w:rsidRPr="00075186">
        <w:rPr>
          <w:rFonts w:ascii="Times" w:hAnsi="Times"/>
          <w:sz w:val="28"/>
          <w:szCs w:val="28"/>
          <w:lang w:val="en-US"/>
        </w:rPr>
        <w:t>.</w:t>
      </w:r>
    </w:p>
    <w:p w14:paraId="28BE3FDA" w14:textId="239A5550" w:rsidR="000A4574" w:rsidRPr="00075186" w:rsidRDefault="000A4574" w:rsidP="00075186">
      <w:pPr>
        <w:pStyle w:val="ListParagraph"/>
        <w:widowControl w:val="0"/>
        <w:numPr>
          <w:ilvl w:val="0"/>
          <w:numId w:val="18"/>
        </w:numPr>
        <w:autoSpaceDE w:val="0"/>
        <w:autoSpaceDN w:val="0"/>
        <w:adjustRightInd w:val="0"/>
        <w:spacing w:after="240"/>
        <w:ind w:left="0" w:firstLine="0"/>
        <w:jc w:val="both"/>
        <w:rPr>
          <w:rFonts w:ascii="Times" w:hAnsi="Times" w:cs="Times"/>
          <w:b/>
          <w:sz w:val="28"/>
          <w:szCs w:val="28"/>
          <w:lang w:val="en-US"/>
        </w:rPr>
      </w:pPr>
      <w:r w:rsidRPr="00075186">
        <w:rPr>
          <w:rFonts w:ascii="Times" w:hAnsi="Times"/>
          <w:sz w:val="28"/>
          <w:szCs w:val="28"/>
          <w:lang w:val="en-US"/>
        </w:rPr>
        <w:t xml:space="preserve">With regard to other important iron parameters, such as measures of SF </w:t>
      </w:r>
      <w:r w:rsidR="00075186">
        <w:rPr>
          <w:rFonts w:ascii="Times" w:hAnsi="Times"/>
          <w:sz w:val="28"/>
          <w:szCs w:val="28"/>
          <w:lang w:val="en-US"/>
        </w:rPr>
        <w:t xml:space="preserve">and TSAT. </w:t>
      </w:r>
      <w:r w:rsidRPr="00075186">
        <w:rPr>
          <w:rFonts w:ascii="Times" w:hAnsi="Times"/>
          <w:b/>
          <w:sz w:val="28"/>
          <w:szCs w:val="28"/>
          <w:lang w:val="en-US"/>
        </w:rPr>
        <w:t>Moderate to Low quality evidence</w:t>
      </w:r>
      <w:r w:rsidRPr="00075186">
        <w:rPr>
          <w:rFonts w:ascii="Times" w:hAnsi="Times"/>
          <w:sz w:val="28"/>
          <w:szCs w:val="28"/>
          <w:lang w:val="en-US"/>
        </w:rPr>
        <w:t xml:space="preserve"> from one study</w:t>
      </w:r>
      <w:r w:rsidRPr="00075186">
        <w:rPr>
          <w:rFonts w:ascii="Times" w:hAnsi="Times"/>
          <w:position w:val="13"/>
          <w:sz w:val="28"/>
          <w:szCs w:val="28"/>
          <w:lang w:val="en-US"/>
        </w:rPr>
        <w:t xml:space="preserve">209 </w:t>
      </w:r>
      <w:r w:rsidRPr="00075186">
        <w:rPr>
          <w:rFonts w:ascii="Times" w:hAnsi="Times"/>
          <w:sz w:val="28"/>
          <w:szCs w:val="28"/>
          <w:lang w:val="en-US"/>
        </w:rPr>
        <w:t xml:space="preserve">(n=305) suggested that while there was not a clinically important difference with regards to TSAT, a </w:t>
      </w:r>
      <w:r w:rsidRPr="00075186">
        <w:rPr>
          <w:rFonts w:ascii="Times" w:hAnsi="Times"/>
          <w:b/>
          <w:sz w:val="28"/>
          <w:szCs w:val="28"/>
          <w:lang w:val="en-US"/>
        </w:rPr>
        <w:t>clinically important benefit was observed with high-dose/low- frequency IV iron over low-dose/high-frequency IV iron for SF change from baseline.</w:t>
      </w:r>
    </w:p>
    <w:p w14:paraId="25A4638A" w14:textId="77777777" w:rsidR="000A4574" w:rsidRPr="00075186" w:rsidRDefault="000A4574" w:rsidP="00075186">
      <w:pPr>
        <w:pStyle w:val="ListParagraph"/>
        <w:widowControl w:val="0"/>
        <w:numPr>
          <w:ilvl w:val="0"/>
          <w:numId w:val="18"/>
        </w:numPr>
        <w:autoSpaceDE w:val="0"/>
        <w:autoSpaceDN w:val="0"/>
        <w:adjustRightInd w:val="0"/>
        <w:spacing w:after="240"/>
        <w:ind w:left="0" w:firstLine="0"/>
        <w:jc w:val="both"/>
        <w:rPr>
          <w:rFonts w:ascii="Times" w:hAnsi="Times" w:cs="Times"/>
          <w:sz w:val="28"/>
          <w:szCs w:val="28"/>
          <w:u w:val="single"/>
          <w:lang w:val="en-US"/>
        </w:rPr>
      </w:pPr>
      <w:r w:rsidRPr="00075186">
        <w:rPr>
          <w:rFonts w:ascii="Times" w:hAnsi="Times"/>
          <w:b/>
          <w:sz w:val="28"/>
          <w:szCs w:val="28"/>
          <w:lang w:val="en-US"/>
        </w:rPr>
        <w:t>Low quality evidence</w:t>
      </w:r>
      <w:r w:rsidRPr="00075186">
        <w:rPr>
          <w:rFonts w:ascii="Times" w:hAnsi="Times"/>
          <w:sz w:val="28"/>
          <w:szCs w:val="28"/>
          <w:lang w:val="en-US"/>
        </w:rPr>
        <w:t xml:space="preserve"> from one study</w:t>
      </w:r>
      <w:r w:rsidRPr="00075186">
        <w:rPr>
          <w:rFonts w:ascii="Times" w:hAnsi="Times"/>
          <w:position w:val="13"/>
          <w:sz w:val="28"/>
          <w:szCs w:val="28"/>
          <w:lang w:val="en-US"/>
        </w:rPr>
        <w:t xml:space="preserve">209 </w:t>
      </w:r>
      <w:r w:rsidRPr="00075186">
        <w:rPr>
          <w:rFonts w:ascii="Times" w:hAnsi="Times"/>
          <w:sz w:val="28"/>
          <w:szCs w:val="28"/>
          <w:lang w:val="en-US"/>
        </w:rPr>
        <w:t xml:space="preserve">(n=305) suggested that </w:t>
      </w:r>
      <w:r w:rsidRPr="00075186">
        <w:rPr>
          <w:rFonts w:ascii="Times" w:hAnsi="Times"/>
          <w:sz w:val="28"/>
          <w:szCs w:val="28"/>
          <w:u w:val="single"/>
          <w:lang w:val="en-US"/>
        </w:rPr>
        <w:t>low-dose/high-frequency IV iron was preferable when considering numbers of people requiring blood transfusion(s) and numbers of people needing to initiate ESA therapy.</w:t>
      </w:r>
    </w:p>
    <w:p w14:paraId="255B5603" w14:textId="77777777" w:rsidR="005B2D1E" w:rsidRPr="005B2D1E" w:rsidRDefault="005B2D1E" w:rsidP="002835EC">
      <w:pPr>
        <w:widowControl w:val="0"/>
        <w:numPr>
          <w:ilvl w:val="0"/>
          <w:numId w:val="18"/>
        </w:numPr>
        <w:tabs>
          <w:tab w:val="left" w:pos="220"/>
          <w:tab w:val="left" w:pos="720"/>
        </w:tabs>
        <w:autoSpaceDE w:val="0"/>
        <w:autoSpaceDN w:val="0"/>
        <w:adjustRightInd w:val="0"/>
        <w:spacing w:after="240"/>
        <w:rPr>
          <w:rFonts w:ascii="Times" w:hAnsi="Times" w:cs="Times"/>
          <w:b/>
          <w:lang w:val="en-US"/>
        </w:rPr>
      </w:pPr>
    </w:p>
    <w:p w14:paraId="7DA2A91E" w14:textId="18A29830" w:rsidR="002835EC" w:rsidRPr="00075186" w:rsidRDefault="002835EC" w:rsidP="00075186">
      <w:pPr>
        <w:pStyle w:val="ListParagraph"/>
        <w:widowControl w:val="0"/>
        <w:numPr>
          <w:ilvl w:val="0"/>
          <w:numId w:val="18"/>
        </w:numPr>
        <w:autoSpaceDE w:val="0"/>
        <w:autoSpaceDN w:val="0"/>
        <w:adjustRightInd w:val="0"/>
        <w:spacing w:after="240"/>
        <w:ind w:left="0" w:firstLine="0"/>
        <w:jc w:val="both"/>
        <w:rPr>
          <w:rFonts w:ascii="Times" w:hAnsi="Times" w:cs="Times"/>
          <w:b/>
          <w:sz w:val="28"/>
          <w:szCs w:val="28"/>
          <w:lang w:val="en-US"/>
        </w:rPr>
      </w:pPr>
      <w:r w:rsidRPr="00075186">
        <w:rPr>
          <w:rFonts w:ascii="Times" w:hAnsi="Times"/>
          <w:b/>
          <w:sz w:val="28"/>
          <w:szCs w:val="28"/>
          <w:lang w:val="en-US"/>
        </w:rPr>
        <w:t>46.</w:t>
      </w:r>
      <w:r w:rsidR="004679F6" w:rsidRPr="00075186">
        <w:rPr>
          <w:rFonts w:ascii="Times" w:hAnsi="Times"/>
          <w:b/>
          <w:sz w:val="28"/>
          <w:szCs w:val="28"/>
          <w:lang w:val="en-US"/>
        </w:rPr>
        <w:t xml:space="preserve"> </w:t>
      </w:r>
      <w:r w:rsidRPr="00075186">
        <w:rPr>
          <w:rFonts w:ascii="Times" w:hAnsi="Times"/>
          <w:b/>
          <w:sz w:val="28"/>
          <w:szCs w:val="28"/>
          <w:lang w:val="en-US"/>
        </w:rPr>
        <w:t>People with anaemia of CKD should not have iron levels checked earlier than 1 week after receiving intravenous iron. The length of time to monitoring of iron status is dependant on the product used and the amount of iron given. [2006]</w:t>
      </w:r>
      <w:r w:rsidR="0043384C" w:rsidRPr="00075186">
        <w:rPr>
          <w:rFonts w:ascii="Times" w:hAnsi="Times"/>
          <w:b/>
          <w:sz w:val="28"/>
          <w:szCs w:val="28"/>
          <w:lang w:val="en-US"/>
        </w:rPr>
        <w:t xml:space="preserve"> (Level 2, 2+)</w:t>
      </w:r>
    </w:p>
    <w:p w14:paraId="72C7A8FD" w14:textId="7A4AB134" w:rsidR="00075186" w:rsidRDefault="00075186" w:rsidP="007A278F">
      <w:pPr>
        <w:pStyle w:val="ListParagraph"/>
        <w:widowControl w:val="0"/>
        <w:autoSpaceDE w:val="0"/>
        <w:autoSpaceDN w:val="0"/>
        <w:adjustRightInd w:val="0"/>
        <w:spacing w:after="240"/>
        <w:ind w:left="0"/>
        <w:jc w:val="both"/>
        <w:rPr>
          <w:rFonts w:ascii="Times" w:hAnsi="Times" w:cs="Times"/>
          <w:b/>
          <w:sz w:val="28"/>
          <w:szCs w:val="28"/>
          <w:lang w:val="en-US"/>
        </w:rPr>
      </w:pPr>
      <w:r w:rsidRPr="00075186">
        <w:rPr>
          <w:rFonts w:ascii="Times" w:hAnsi="Times" w:cs="Times"/>
          <w:b/>
          <w:sz w:val="28"/>
          <w:szCs w:val="28"/>
          <w:lang w:val="en-US"/>
        </w:rPr>
        <w:t>46. KNH ja aneemiaga patsiendil ei tohiks kontrollida raua taset (näitajaid?) varem kui 1 nädal peale IV raua manustamist. Aeg raua näitajate kontrollika sõltub raua preparaadist ja manustatud raua kogusest (Level 2, 2+)</w:t>
      </w:r>
    </w:p>
    <w:p w14:paraId="5AF3B021" w14:textId="77777777" w:rsidR="007A278F" w:rsidRPr="00075186" w:rsidRDefault="007A278F" w:rsidP="007A278F">
      <w:pPr>
        <w:pStyle w:val="ListParagraph"/>
        <w:widowControl w:val="0"/>
        <w:autoSpaceDE w:val="0"/>
        <w:autoSpaceDN w:val="0"/>
        <w:adjustRightInd w:val="0"/>
        <w:spacing w:after="240"/>
        <w:ind w:left="0"/>
        <w:jc w:val="both"/>
        <w:rPr>
          <w:rFonts w:ascii="Times" w:hAnsi="Times" w:cs="Times"/>
          <w:b/>
          <w:sz w:val="28"/>
          <w:szCs w:val="28"/>
          <w:lang w:val="en-US"/>
        </w:rPr>
      </w:pPr>
    </w:p>
    <w:p w14:paraId="2F230766" w14:textId="30B526A8" w:rsidR="002835EC" w:rsidRPr="00075186" w:rsidRDefault="002835EC" w:rsidP="00075186">
      <w:pPr>
        <w:pStyle w:val="ListParagraph"/>
        <w:widowControl w:val="0"/>
        <w:numPr>
          <w:ilvl w:val="0"/>
          <w:numId w:val="18"/>
        </w:numPr>
        <w:autoSpaceDE w:val="0"/>
        <w:autoSpaceDN w:val="0"/>
        <w:adjustRightInd w:val="0"/>
        <w:spacing w:after="240"/>
        <w:ind w:left="0" w:firstLine="0"/>
        <w:jc w:val="both"/>
        <w:rPr>
          <w:rFonts w:ascii="Times" w:hAnsi="Times" w:cs="Times"/>
          <w:b/>
          <w:sz w:val="28"/>
          <w:szCs w:val="28"/>
          <w:lang w:val="en-US"/>
        </w:rPr>
      </w:pPr>
      <w:r w:rsidRPr="00075186">
        <w:rPr>
          <w:rFonts w:ascii="Times" w:hAnsi="Times"/>
          <w:b/>
          <w:sz w:val="28"/>
          <w:szCs w:val="28"/>
          <w:lang w:val="en-US"/>
        </w:rPr>
        <w:t>47.</w:t>
      </w:r>
      <w:r w:rsidR="004679F6" w:rsidRPr="00075186">
        <w:rPr>
          <w:rFonts w:ascii="Times" w:hAnsi="Times"/>
          <w:b/>
          <w:sz w:val="28"/>
          <w:szCs w:val="28"/>
          <w:lang w:val="en-US"/>
        </w:rPr>
        <w:t xml:space="preserve"> </w:t>
      </w:r>
      <w:r w:rsidRPr="00075186">
        <w:rPr>
          <w:rFonts w:ascii="Times" w:hAnsi="Times"/>
          <w:b/>
          <w:sz w:val="28"/>
          <w:szCs w:val="28"/>
          <w:lang w:val="en-US"/>
        </w:rPr>
        <w:t>Routine monitoring of iron stores to prevent iron overload using serum ferritin should be at intervals of 1–3 months [2006, amended 2015]</w:t>
      </w:r>
      <w:r w:rsidR="0043384C" w:rsidRPr="00075186">
        <w:rPr>
          <w:rFonts w:ascii="Times" w:hAnsi="Times"/>
          <w:b/>
          <w:sz w:val="28"/>
          <w:szCs w:val="28"/>
          <w:lang w:val="en-US"/>
        </w:rPr>
        <w:t xml:space="preserve"> (Level 2, 2+)</w:t>
      </w:r>
    </w:p>
    <w:p w14:paraId="1E7D19F8" w14:textId="0DF9AD16" w:rsidR="00075186" w:rsidRPr="00075186" w:rsidRDefault="00075186" w:rsidP="00075186">
      <w:pPr>
        <w:pStyle w:val="ListParagraph"/>
        <w:widowControl w:val="0"/>
        <w:numPr>
          <w:ilvl w:val="0"/>
          <w:numId w:val="18"/>
        </w:numPr>
        <w:autoSpaceDE w:val="0"/>
        <w:autoSpaceDN w:val="0"/>
        <w:adjustRightInd w:val="0"/>
        <w:spacing w:after="240"/>
        <w:ind w:left="0" w:firstLine="0"/>
        <w:jc w:val="both"/>
        <w:rPr>
          <w:rFonts w:ascii="Times" w:hAnsi="Times" w:cs="Times"/>
          <w:b/>
          <w:sz w:val="28"/>
          <w:szCs w:val="28"/>
          <w:lang w:val="en-US"/>
        </w:rPr>
      </w:pPr>
      <w:r w:rsidRPr="00075186">
        <w:rPr>
          <w:rFonts w:ascii="Times" w:hAnsi="Times"/>
          <w:b/>
          <w:sz w:val="28"/>
          <w:szCs w:val="28"/>
          <w:lang w:val="en-US"/>
        </w:rPr>
        <w:t>47</w:t>
      </w:r>
      <w:r w:rsidR="00077BAC">
        <w:rPr>
          <w:rFonts w:ascii="Times" w:hAnsi="Times"/>
          <w:b/>
          <w:sz w:val="28"/>
          <w:szCs w:val="28"/>
          <w:lang w:val="en-US"/>
        </w:rPr>
        <w:t xml:space="preserve">. </w:t>
      </w:r>
      <w:r w:rsidR="00A649FE">
        <w:rPr>
          <w:rFonts w:ascii="Times" w:hAnsi="Times"/>
          <w:b/>
          <w:sz w:val="28"/>
          <w:szCs w:val="28"/>
          <w:lang w:val="en-US"/>
        </w:rPr>
        <w:t>Raua üledoseerimise vältimiseks peaks rauavarusid rutiinselt kontrollima vahemikus 1-3 kuud</w:t>
      </w:r>
      <w:r w:rsidRPr="00075186">
        <w:rPr>
          <w:rFonts w:ascii="Times" w:hAnsi="Times"/>
          <w:b/>
          <w:sz w:val="28"/>
          <w:szCs w:val="28"/>
          <w:lang w:val="en-US"/>
        </w:rPr>
        <w:t xml:space="preserve"> (Level 2, 2+)</w:t>
      </w:r>
    </w:p>
    <w:p w14:paraId="71ABA21B" w14:textId="3A7EEF9D" w:rsidR="009A718D" w:rsidRPr="0037773B" w:rsidRDefault="00332DCA" w:rsidP="00332DCA">
      <w:pPr>
        <w:widowControl w:val="0"/>
        <w:numPr>
          <w:ilvl w:val="0"/>
          <w:numId w:val="17"/>
        </w:numPr>
        <w:tabs>
          <w:tab w:val="left" w:pos="220"/>
          <w:tab w:val="left" w:pos="720"/>
        </w:tabs>
        <w:autoSpaceDE w:val="0"/>
        <w:autoSpaceDN w:val="0"/>
        <w:adjustRightInd w:val="0"/>
        <w:spacing w:after="240"/>
        <w:ind w:hanging="720"/>
        <w:rPr>
          <w:rFonts w:ascii="Times" w:hAnsi="Times" w:cs="Times"/>
          <w:sz w:val="28"/>
          <w:szCs w:val="28"/>
          <w:lang w:val="en-US"/>
        </w:rPr>
      </w:pPr>
      <w:r w:rsidRPr="0037773B">
        <w:rPr>
          <w:rFonts w:ascii="Times" w:hAnsi="Times" w:cs="Times"/>
          <w:sz w:val="28"/>
          <w:szCs w:val="28"/>
          <w:lang w:val="en-US"/>
        </w:rPr>
        <w:t>1 kohort uuring</w:t>
      </w:r>
      <w:r w:rsidRPr="0037773B">
        <w:rPr>
          <w:rFonts w:ascii="Times" w:hAnsi="Times" w:cs="Times"/>
          <w:b/>
          <w:sz w:val="28"/>
          <w:szCs w:val="28"/>
          <w:lang w:val="en-US"/>
        </w:rPr>
        <w:t xml:space="preserve"> (</w:t>
      </w:r>
      <w:r w:rsidRPr="0037773B">
        <w:rPr>
          <w:rFonts w:ascii="Times" w:hAnsi="Times" w:cs="Calibri"/>
          <w:sz w:val="28"/>
          <w:szCs w:val="28"/>
          <w:lang w:val="en-US"/>
        </w:rPr>
        <w:t>Besarab A, Kaiser JW, Frinak S. A study of parenteral iron regimens in hemodialysis patients. American Journal of Kidney Diseases</w:t>
      </w:r>
      <w:r w:rsidRPr="0037773B">
        <w:rPr>
          <w:rFonts w:ascii="Times" w:hAnsi="Times" w:cs="Times"/>
          <w:sz w:val="28"/>
          <w:szCs w:val="28"/>
          <w:lang w:val="en-US"/>
        </w:rPr>
        <w:t xml:space="preserve">. </w:t>
      </w:r>
      <w:r w:rsidRPr="0037773B">
        <w:rPr>
          <w:rFonts w:ascii="Times" w:hAnsi="Times" w:cs="Calibri"/>
          <w:sz w:val="28"/>
          <w:szCs w:val="28"/>
          <w:lang w:val="en-US"/>
        </w:rPr>
        <w:t>1999; 34(1):21-28)</w:t>
      </w:r>
    </w:p>
    <w:p w14:paraId="32BB23C4" w14:textId="77777777" w:rsidR="00332DCA" w:rsidRPr="00332DCA" w:rsidRDefault="00332DCA" w:rsidP="00332DCA">
      <w:pPr>
        <w:widowControl w:val="0"/>
        <w:tabs>
          <w:tab w:val="left" w:pos="220"/>
          <w:tab w:val="left" w:pos="720"/>
        </w:tabs>
        <w:autoSpaceDE w:val="0"/>
        <w:autoSpaceDN w:val="0"/>
        <w:adjustRightInd w:val="0"/>
        <w:spacing w:after="240"/>
        <w:ind w:left="720"/>
        <w:rPr>
          <w:rFonts w:ascii="Times" w:hAnsi="Times" w:cs="Times"/>
          <w:lang w:val="en-US"/>
        </w:rPr>
      </w:pPr>
    </w:p>
    <w:p w14:paraId="2D4D1603" w14:textId="08658719" w:rsidR="0023600A" w:rsidRDefault="0023600A" w:rsidP="0023600A">
      <w:pPr>
        <w:rPr>
          <w:rFonts w:ascii="Times" w:hAnsi="Times"/>
          <w:b/>
          <w:sz w:val="32"/>
          <w:szCs w:val="32"/>
          <w:lang w:val="en-US" w:eastAsia="en-US"/>
        </w:rPr>
      </w:pPr>
      <w:r w:rsidRPr="00D53718">
        <w:rPr>
          <w:rFonts w:ascii="Times" w:hAnsi="Times"/>
          <w:b/>
          <w:sz w:val="32"/>
          <w:szCs w:val="32"/>
          <w:lang w:val="en-US" w:eastAsia="en-US"/>
        </w:rPr>
        <w:t>KHA-CARI Guideline:</w:t>
      </w:r>
      <w:r>
        <w:rPr>
          <w:rFonts w:ascii="Times" w:hAnsi="Times"/>
          <w:lang w:val="en-US" w:eastAsia="en-US"/>
        </w:rPr>
        <w:t xml:space="preserve"> </w:t>
      </w:r>
      <w:r w:rsidRPr="0023600A">
        <w:rPr>
          <w:rFonts w:ascii="Times" w:hAnsi="Times"/>
          <w:b/>
          <w:sz w:val="32"/>
          <w:szCs w:val="32"/>
          <w:lang w:val="en-US" w:eastAsia="en-US"/>
        </w:rPr>
        <w:t>Use of iron in chronic kidney disease patients</w:t>
      </w:r>
      <w:r w:rsidR="005A10CB">
        <w:rPr>
          <w:rFonts w:ascii="Times" w:hAnsi="Times"/>
          <w:b/>
          <w:sz w:val="32"/>
          <w:szCs w:val="32"/>
          <w:lang w:val="en-US" w:eastAsia="en-US"/>
        </w:rPr>
        <w:t xml:space="preserve"> (2013)</w:t>
      </w:r>
    </w:p>
    <w:p w14:paraId="1FAD96E6" w14:textId="77777777" w:rsidR="00B66AFE" w:rsidRDefault="00B66AFE" w:rsidP="0023600A">
      <w:pPr>
        <w:rPr>
          <w:rFonts w:ascii="Times" w:hAnsi="Times"/>
          <w:b/>
          <w:sz w:val="32"/>
          <w:szCs w:val="32"/>
          <w:lang w:val="en-US" w:eastAsia="en-US"/>
        </w:rPr>
      </w:pPr>
    </w:p>
    <w:p w14:paraId="39FC6E93" w14:textId="546E1F24" w:rsidR="005A10CB" w:rsidRPr="00B66AFE" w:rsidRDefault="00B66AFE" w:rsidP="00C54BAC">
      <w:pPr>
        <w:jc w:val="both"/>
        <w:rPr>
          <w:rFonts w:ascii="Times" w:hAnsi="Times"/>
          <w:b/>
          <w:sz w:val="28"/>
          <w:szCs w:val="28"/>
          <w:lang w:val="en-US" w:eastAsia="en-US"/>
        </w:rPr>
      </w:pPr>
      <w:r w:rsidRPr="00B66AFE">
        <w:rPr>
          <w:rFonts w:ascii="Times" w:hAnsi="Times"/>
          <w:b/>
          <w:sz w:val="28"/>
          <w:szCs w:val="28"/>
          <w:lang w:val="en-US" w:eastAsia="en-US"/>
        </w:rPr>
        <w:t xml:space="preserve">We recommend: </w:t>
      </w:r>
    </w:p>
    <w:p w14:paraId="25D14C27" w14:textId="77777777" w:rsidR="00F81F1C" w:rsidRDefault="002A1773"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sz w:val="28"/>
          <w:szCs w:val="28"/>
          <w:lang w:val="en-US"/>
        </w:rPr>
        <w:t>a. That therapeutic iron be used to correct diagnosed iron deficiency (1D). </w:t>
      </w:r>
    </w:p>
    <w:p w14:paraId="5EE9DBCB" w14:textId="6FAE641D" w:rsidR="002A1773" w:rsidRPr="00B66AFE" w:rsidRDefault="002A1773"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sz w:val="28"/>
          <w:szCs w:val="28"/>
          <w:lang w:val="en-US"/>
        </w:rPr>
        <w:t>b. Parenteral iron (intravenous) is</w:t>
      </w:r>
      <w:r w:rsidR="00F81F1C">
        <w:rPr>
          <w:rFonts w:ascii="Times" w:hAnsi="Times" w:cs="Times"/>
          <w:b/>
          <w:sz w:val="28"/>
          <w:szCs w:val="28"/>
          <w:lang w:val="en-US"/>
        </w:rPr>
        <w:t xml:space="preserve"> administered in prefer</w:t>
      </w:r>
      <w:r w:rsidRPr="00B66AFE">
        <w:rPr>
          <w:rFonts w:ascii="Times" w:hAnsi="Times" w:cs="Times"/>
          <w:b/>
          <w:sz w:val="28"/>
          <w:szCs w:val="28"/>
          <w:lang w:val="en-US"/>
        </w:rPr>
        <w:t>ence to oral iron to correct iron deficiency. As it is more likely to:</w:t>
      </w:r>
    </w:p>
    <w:p w14:paraId="4CA1E36C" w14:textId="77777777" w:rsidR="002A1773" w:rsidRPr="00B66AFE" w:rsidRDefault="002A1773"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position w:val="-3"/>
          <w:sz w:val="28"/>
          <w:szCs w:val="28"/>
          <w:lang w:val="en-US"/>
        </w:rPr>
        <w:t xml:space="preserve">• </w:t>
      </w:r>
      <w:r w:rsidRPr="00B66AFE">
        <w:rPr>
          <w:rFonts w:ascii="Times" w:hAnsi="Times" w:cs="Times"/>
          <w:b/>
          <w:sz w:val="28"/>
          <w:szCs w:val="28"/>
          <w:lang w:val="en-US"/>
        </w:rPr>
        <w:t>achieve target haemoglobin (Hb) levels (1B),</w:t>
      </w:r>
    </w:p>
    <w:p w14:paraId="799E768E" w14:textId="77777777" w:rsidR="002A1773" w:rsidRPr="00B66AFE" w:rsidRDefault="002A1773"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position w:val="-3"/>
          <w:sz w:val="28"/>
          <w:szCs w:val="28"/>
          <w:lang w:val="en-US"/>
        </w:rPr>
        <w:t xml:space="preserve">• </w:t>
      </w:r>
      <w:r w:rsidRPr="00B66AFE">
        <w:rPr>
          <w:rFonts w:ascii="Times" w:hAnsi="Times" w:cs="Times"/>
          <w:b/>
          <w:sz w:val="28"/>
          <w:szCs w:val="28"/>
          <w:lang w:val="en-US"/>
        </w:rPr>
        <w:t>maintain ferritin and transferrin saturation (%TSAT) at target ranges (1C),</w:t>
      </w:r>
    </w:p>
    <w:p w14:paraId="4F371AFF" w14:textId="77777777" w:rsidR="002A1773" w:rsidRPr="00B66AFE" w:rsidRDefault="002A1773"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position w:val="-3"/>
          <w:sz w:val="28"/>
          <w:szCs w:val="28"/>
          <w:lang w:val="en-US"/>
        </w:rPr>
        <w:t xml:space="preserve">• </w:t>
      </w:r>
      <w:r w:rsidRPr="00B66AFE">
        <w:rPr>
          <w:rFonts w:ascii="Times" w:hAnsi="Times" w:cs="Times"/>
          <w:b/>
          <w:sz w:val="28"/>
          <w:szCs w:val="28"/>
          <w:lang w:val="en-US"/>
        </w:rPr>
        <w:t>reduce erythropoiesis stimulating agent (ESA) dose requirements (1C) and</w:t>
      </w:r>
    </w:p>
    <w:p w14:paraId="10139AC1" w14:textId="77777777" w:rsidR="002A1773" w:rsidRDefault="002A1773"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position w:val="-3"/>
          <w:sz w:val="28"/>
          <w:szCs w:val="28"/>
          <w:lang w:val="en-US"/>
        </w:rPr>
        <w:t xml:space="preserve">• </w:t>
      </w:r>
      <w:r w:rsidRPr="00B66AFE">
        <w:rPr>
          <w:rFonts w:ascii="Times" w:hAnsi="Times" w:cs="Times"/>
          <w:b/>
          <w:sz w:val="28"/>
          <w:szCs w:val="28"/>
          <w:lang w:val="en-US"/>
        </w:rPr>
        <w:t>have fewer adverse reactions (1C).</w:t>
      </w:r>
    </w:p>
    <w:p w14:paraId="2FE87D27" w14:textId="3BBAF18A" w:rsidR="00F81F1C" w:rsidRDefault="00F81F1C" w:rsidP="00C54BAC">
      <w:pPr>
        <w:widowControl w:val="0"/>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Me soovitame:</w:t>
      </w:r>
    </w:p>
    <w:p w14:paraId="0516189D" w14:textId="2B0F2571" w:rsidR="00F81F1C" w:rsidRPr="00F81F1C" w:rsidRDefault="00F81F1C" w:rsidP="00C54BAC">
      <w:pPr>
        <w:pStyle w:val="ListParagraph"/>
        <w:widowControl w:val="0"/>
        <w:numPr>
          <w:ilvl w:val="0"/>
          <w:numId w:val="36"/>
        </w:numPr>
        <w:autoSpaceDE w:val="0"/>
        <w:autoSpaceDN w:val="0"/>
        <w:adjustRightInd w:val="0"/>
        <w:spacing w:after="240"/>
        <w:jc w:val="both"/>
        <w:rPr>
          <w:rFonts w:ascii="Times" w:hAnsi="Times" w:cs="Times"/>
          <w:b/>
          <w:sz w:val="28"/>
          <w:szCs w:val="28"/>
          <w:lang w:val="en-US"/>
        </w:rPr>
      </w:pPr>
      <w:r w:rsidRPr="00F81F1C">
        <w:rPr>
          <w:rFonts w:ascii="Times" w:hAnsi="Times" w:cs="Times"/>
          <w:b/>
          <w:sz w:val="28"/>
          <w:szCs w:val="28"/>
          <w:lang w:val="en-US"/>
        </w:rPr>
        <w:t>et rauaravi oleks kasutatud diagnoositud rauadefitsiiti korrigeerimiseks (1D)</w:t>
      </w:r>
    </w:p>
    <w:p w14:paraId="5DD0B726" w14:textId="76FFABB2" w:rsidR="00F81F1C" w:rsidRDefault="00F81F1C" w:rsidP="00C54BAC">
      <w:pPr>
        <w:pStyle w:val="ListParagraph"/>
        <w:widowControl w:val="0"/>
        <w:numPr>
          <w:ilvl w:val="0"/>
          <w:numId w:val="36"/>
        </w:numPr>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Parenteraalne rauaravi on eelistatum kui suukaudne, et korrigeerida rauapuudust. Kuna suurema tõenäosusega:</w:t>
      </w:r>
    </w:p>
    <w:p w14:paraId="1C4B33BE" w14:textId="66CCE012" w:rsidR="00F81F1C" w:rsidRDefault="00F81F1C" w:rsidP="00C54BAC">
      <w:pPr>
        <w:pStyle w:val="ListParagraph"/>
        <w:widowControl w:val="0"/>
        <w:numPr>
          <w:ilvl w:val="0"/>
          <w:numId w:val="37"/>
        </w:numPr>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Saab saavutada vajalikku Hgb taset (1B)</w:t>
      </w:r>
    </w:p>
    <w:p w14:paraId="159A982E" w14:textId="27B0B894" w:rsidR="00F81F1C" w:rsidRDefault="00F81F1C" w:rsidP="00C54BAC">
      <w:pPr>
        <w:pStyle w:val="ListParagraph"/>
        <w:widowControl w:val="0"/>
        <w:numPr>
          <w:ilvl w:val="0"/>
          <w:numId w:val="37"/>
        </w:numPr>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Tõstab ferritiini ja transf</w:t>
      </w:r>
      <w:r w:rsidR="0037773B">
        <w:rPr>
          <w:rFonts w:ascii="Times" w:hAnsi="Times" w:cs="Times"/>
          <w:b/>
          <w:sz w:val="28"/>
          <w:szCs w:val="28"/>
          <w:lang w:val="en-US"/>
        </w:rPr>
        <w:t>erriini saturatsiooni vajaliku tasemeni</w:t>
      </w:r>
      <w:r>
        <w:rPr>
          <w:rFonts w:ascii="Times" w:hAnsi="Times" w:cs="Times"/>
          <w:b/>
          <w:sz w:val="28"/>
          <w:szCs w:val="28"/>
          <w:lang w:val="en-US"/>
        </w:rPr>
        <w:t xml:space="preserve"> (1C)</w:t>
      </w:r>
    </w:p>
    <w:p w14:paraId="172B59AF" w14:textId="334753EE" w:rsidR="00F81F1C" w:rsidRDefault="007409F4" w:rsidP="00C54BAC">
      <w:pPr>
        <w:pStyle w:val="ListParagraph"/>
        <w:widowControl w:val="0"/>
        <w:numPr>
          <w:ilvl w:val="0"/>
          <w:numId w:val="37"/>
        </w:numPr>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Vähendab ESA manustmist (1C)</w:t>
      </w:r>
    </w:p>
    <w:p w14:paraId="1CF4664D" w14:textId="276D9CA1" w:rsidR="007409F4" w:rsidRPr="00F81F1C" w:rsidRDefault="007409F4" w:rsidP="00C54BAC">
      <w:pPr>
        <w:pStyle w:val="ListParagraph"/>
        <w:widowControl w:val="0"/>
        <w:numPr>
          <w:ilvl w:val="0"/>
          <w:numId w:val="37"/>
        </w:numPr>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Rauaravil on vähem kõrvaltoimeid (1C).</w:t>
      </w:r>
    </w:p>
    <w:p w14:paraId="6182C1D4" w14:textId="7052DEC5" w:rsidR="00B66AFE" w:rsidRPr="00B66AFE" w:rsidRDefault="00B66AFE"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sz w:val="28"/>
          <w:szCs w:val="28"/>
          <w:lang w:val="en-US"/>
        </w:rPr>
        <w:t>We suggest:</w:t>
      </w:r>
    </w:p>
    <w:p w14:paraId="289E153D" w14:textId="0455B53A" w:rsidR="002A1773" w:rsidRPr="00E01FF4" w:rsidRDefault="002A1773" w:rsidP="00C54BAC">
      <w:pPr>
        <w:pStyle w:val="ListParagraph"/>
        <w:widowControl w:val="0"/>
        <w:numPr>
          <w:ilvl w:val="0"/>
          <w:numId w:val="36"/>
        </w:numPr>
        <w:autoSpaceDE w:val="0"/>
        <w:autoSpaceDN w:val="0"/>
        <w:adjustRightInd w:val="0"/>
        <w:spacing w:after="240"/>
        <w:jc w:val="both"/>
        <w:rPr>
          <w:rFonts w:ascii="Times" w:hAnsi="Times" w:cs="Times"/>
          <w:b/>
          <w:sz w:val="28"/>
          <w:szCs w:val="28"/>
          <w:lang w:val="en-US"/>
        </w:rPr>
      </w:pPr>
      <w:r w:rsidRPr="00E01FF4">
        <w:rPr>
          <w:rFonts w:ascii="Times" w:hAnsi="Times" w:cs="Times"/>
          <w:b/>
          <w:sz w:val="28"/>
          <w:szCs w:val="28"/>
          <w:lang w:val="en-US"/>
        </w:rPr>
        <w:t>That to achieve target haemoglobin levels in patients with CKD (2C), HD (2B) and PD (2D) the following iron indices should be targeted by increasing or decreasing iron therapy</w:t>
      </w:r>
      <w:r w:rsidR="00E01FF4" w:rsidRPr="00E01FF4">
        <w:rPr>
          <w:rFonts w:ascii="Times" w:hAnsi="Times" w:cs="Times"/>
          <w:sz w:val="18"/>
          <w:szCs w:val="18"/>
          <w:lang w:val="en-US"/>
        </w:rPr>
        <w:t xml:space="preserve"> </w:t>
      </w:r>
      <w:r w:rsidR="00E01FF4" w:rsidRPr="00E01FF4">
        <w:rPr>
          <w:rFonts w:ascii="Times" w:hAnsi="Times" w:cs="Times"/>
          <w:b/>
          <w:sz w:val="28"/>
          <w:szCs w:val="28"/>
          <w:lang w:val="en-US"/>
        </w:rPr>
        <w:t>(Prior to ESA</w:t>
      </w:r>
      <w:r w:rsidR="00E01FF4">
        <w:rPr>
          <w:rFonts w:ascii="Times" w:hAnsi="Times" w:cs="Times"/>
          <w:b/>
          <w:sz w:val="28"/>
          <w:szCs w:val="28"/>
          <w:lang w:val="en-US"/>
        </w:rPr>
        <w:t>)</w:t>
      </w:r>
      <w:r w:rsidRPr="00E01FF4">
        <w:rPr>
          <w:rFonts w:ascii="Times" w:hAnsi="Times" w:cs="Times"/>
          <w:b/>
          <w:sz w:val="28"/>
          <w:szCs w:val="28"/>
          <w:lang w:val="en-US"/>
        </w:rPr>
        <w:t>:</w:t>
      </w:r>
    </w:p>
    <w:p w14:paraId="51EFFEA3" w14:textId="77777777" w:rsidR="00E01FF4" w:rsidRPr="00E01FF4" w:rsidRDefault="00E01FF4" w:rsidP="00C54BAC">
      <w:pPr>
        <w:pStyle w:val="ListParagraph"/>
        <w:widowControl w:val="0"/>
        <w:autoSpaceDE w:val="0"/>
        <w:autoSpaceDN w:val="0"/>
        <w:adjustRightInd w:val="0"/>
        <w:spacing w:after="240"/>
        <w:jc w:val="both"/>
        <w:rPr>
          <w:rFonts w:ascii="Times" w:hAnsi="Times" w:cs="Times"/>
          <w:b/>
          <w:sz w:val="28"/>
          <w:szCs w:val="28"/>
          <w:lang w:val="en-US"/>
        </w:rPr>
      </w:pPr>
      <w:r w:rsidRPr="00E01FF4">
        <w:rPr>
          <w:rFonts w:ascii="Times" w:hAnsi="Times" w:cs="Times"/>
          <w:b/>
          <w:sz w:val="28"/>
          <w:szCs w:val="28"/>
          <w:lang w:val="en-US"/>
        </w:rPr>
        <w:t>Serum ferritin  &gt;100 μg/L</w:t>
      </w:r>
    </w:p>
    <w:p w14:paraId="41BB6D36" w14:textId="7F0888B4" w:rsidR="00E01FF4" w:rsidRPr="00E01FF4" w:rsidRDefault="00E01FF4" w:rsidP="00C54BAC">
      <w:pPr>
        <w:pStyle w:val="ListParagraph"/>
        <w:widowControl w:val="0"/>
        <w:autoSpaceDE w:val="0"/>
        <w:autoSpaceDN w:val="0"/>
        <w:adjustRightInd w:val="0"/>
        <w:spacing w:after="240"/>
        <w:jc w:val="both"/>
        <w:rPr>
          <w:rFonts w:ascii="Times" w:hAnsi="Times" w:cs="Times"/>
          <w:b/>
          <w:sz w:val="28"/>
          <w:szCs w:val="28"/>
          <w:lang w:val="en-US"/>
        </w:rPr>
      </w:pPr>
      <w:r w:rsidRPr="00E01FF4">
        <w:rPr>
          <w:rFonts w:ascii="Times" w:hAnsi="Times" w:cs="Times"/>
          <w:b/>
          <w:sz w:val="28"/>
          <w:szCs w:val="28"/>
          <w:lang w:val="en-US"/>
        </w:rPr>
        <w:t>Transferrin saturation (TSAT %) &gt;20%</w:t>
      </w:r>
    </w:p>
    <w:p w14:paraId="5D9605A3" w14:textId="77777777" w:rsidR="002A1773" w:rsidRPr="00B66AFE" w:rsidRDefault="002A1773"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sz w:val="28"/>
          <w:szCs w:val="28"/>
          <w:lang w:val="en-US"/>
        </w:rPr>
        <w:t>d. That when ferritin levels are &gt;500 μg/L, that iron dosage be reduced (2C), although, ferritin levels ≤1200 μg/L have shown no sign of toxicity in short term studies (&lt;6</w:t>
      </w:r>
      <w:r w:rsidRPr="00B66AFE">
        <w:rPr>
          <w:rFonts w:ascii="Times" w:hAnsi="Times" w:cs="Times"/>
          <w:b/>
          <w:lang w:val="en-US"/>
        </w:rPr>
        <w:t xml:space="preserve"> </w:t>
      </w:r>
      <w:r w:rsidRPr="00B66AFE">
        <w:rPr>
          <w:rFonts w:ascii="Times" w:hAnsi="Times" w:cs="Times"/>
          <w:b/>
          <w:sz w:val="28"/>
          <w:szCs w:val="28"/>
          <w:lang w:val="en-US"/>
        </w:rPr>
        <w:t>months) (2C).</w:t>
      </w:r>
    </w:p>
    <w:p w14:paraId="5F63185A" w14:textId="77777777" w:rsidR="002A1773" w:rsidRDefault="002A1773"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sz w:val="28"/>
          <w:szCs w:val="28"/>
          <w:lang w:val="en-US"/>
        </w:rPr>
        <w:t>e. Delivery of iron can be given intravenously as a smaller weekly bolus (50 mg to 100 mg) or large bolus (1000 mg) as both achieve responses in iron indices and haemoglobin targets (2C).</w:t>
      </w:r>
    </w:p>
    <w:p w14:paraId="07F66024" w14:textId="3D20E204" w:rsidR="00E01FF4" w:rsidRDefault="00E01FF4" w:rsidP="00C54BAC">
      <w:pPr>
        <w:widowControl w:val="0"/>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Soovitame</w:t>
      </w:r>
      <w:r w:rsidR="00F10CE1">
        <w:rPr>
          <w:rFonts w:ascii="Times" w:hAnsi="Times" w:cs="Times"/>
          <w:b/>
          <w:sz w:val="28"/>
          <w:szCs w:val="28"/>
          <w:lang w:val="en-US"/>
        </w:rPr>
        <w:t xml:space="preserve"> (arvame)</w:t>
      </w:r>
      <w:r>
        <w:rPr>
          <w:rFonts w:ascii="Times" w:hAnsi="Times" w:cs="Times"/>
          <w:b/>
          <w:sz w:val="28"/>
          <w:szCs w:val="28"/>
          <w:lang w:val="en-US"/>
        </w:rPr>
        <w:t xml:space="preserve">: </w:t>
      </w:r>
    </w:p>
    <w:p w14:paraId="6BE0C587" w14:textId="5C721B56" w:rsidR="00E01FF4" w:rsidRPr="00E01FF4" w:rsidRDefault="00E01FF4" w:rsidP="00C54BAC">
      <w:pPr>
        <w:pStyle w:val="ListParagraph"/>
        <w:widowControl w:val="0"/>
        <w:numPr>
          <w:ilvl w:val="0"/>
          <w:numId w:val="38"/>
        </w:numPr>
        <w:autoSpaceDE w:val="0"/>
        <w:autoSpaceDN w:val="0"/>
        <w:adjustRightInd w:val="0"/>
        <w:spacing w:after="240"/>
        <w:jc w:val="both"/>
        <w:rPr>
          <w:rFonts w:ascii="Times" w:hAnsi="Times" w:cs="Times"/>
          <w:b/>
          <w:sz w:val="28"/>
          <w:szCs w:val="28"/>
          <w:lang w:val="en-US"/>
        </w:rPr>
      </w:pPr>
      <w:r w:rsidRPr="00E01FF4">
        <w:rPr>
          <w:rFonts w:ascii="Times" w:hAnsi="Times" w:cs="Times"/>
          <w:b/>
          <w:sz w:val="28"/>
          <w:szCs w:val="28"/>
          <w:lang w:val="en-US"/>
        </w:rPr>
        <w:t>Selleks, et saavutada Hgb taseme eesmärki KNHga (2C), HD (2B), PD (2D) järgmised raua indeksid peaksid olema saavutatud suurendades või vähendades rauaravi (enne ESA ravi):</w:t>
      </w:r>
    </w:p>
    <w:p w14:paraId="66BE43EF" w14:textId="75E5B724" w:rsidR="00E01FF4" w:rsidRDefault="00E01FF4" w:rsidP="00C54BAC">
      <w:pPr>
        <w:pStyle w:val="ListParagraph"/>
        <w:widowControl w:val="0"/>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w:t>
      </w:r>
      <w:r w:rsidRPr="00E01FF4">
        <w:rPr>
          <w:rFonts w:ascii="Times" w:hAnsi="Times" w:cs="Times"/>
          <w:b/>
          <w:sz w:val="28"/>
          <w:szCs w:val="28"/>
          <w:lang w:val="en-US"/>
        </w:rPr>
        <w:t>seerumi ferritin &gt;</w:t>
      </w:r>
      <w:r>
        <w:rPr>
          <w:rFonts w:ascii="Times" w:hAnsi="Times" w:cs="Times"/>
          <w:b/>
          <w:sz w:val="28"/>
          <w:szCs w:val="28"/>
          <w:lang w:val="en-US"/>
        </w:rPr>
        <w:t xml:space="preserve"> 100 mkg/l</w:t>
      </w:r>
    </w:p>
    <w:p w14:paraId="23C92038" w14:textId="08AFE621" w:rsidR="00E01FF4" w:rsidRDefault="00E01FF4" w:rsidP="00C54BAC">
      <w:pPr>
        <w:pStyle w:val="ListParagraph"/>
        <w:widowControl w:val="0"/>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 transferriini saturatsioon &gt;20%</w:t>
      </w:r>
    </w:p>
    <w:p w14:paraId="2AA05247" w14:textId="77777777" w:rsidR="00EB31A1" w:rsidRDefault="00E01FF4" w:rsidP="00C54BAC">
      <w:pPr>
        <w:pStyle w:val="ListParagraph"/>
        <w:widowControl w:val="0"/>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 xml:space="preserve">d. Vähendada raua annust kui ferritiini tase on &gt; 500mkg/l, kuigi ferritiini tase &lt;= 1200mkg/l </w:t>
      </w:r>
      <w:r w:rsidR="00EB31A1">
        <w:rPr>
          <w:rFonts w:ascii="Times" w:hAnsi="Times" w:cs="Times"/>
          <w:b/>
          <w:sz w:val="28"/>
          <w:szCs w:val="28"/>
          <w:lang w:val="en-US"/>
        </w:rPr>
        <w:t>ei näidanud toksilisust (uuringutes kestvusega &lt; 6 kuud) (2C).</w:t>
      </w:r>
    </w:p>
    <w:p w14:paraId="50D3CFB7" w14:textId="7A7F3133" w:rsidR="00E01FF4" w:rsidRPr="00E01FF4" w:rsidRDefault="00EB31A1" w:rsidP="00C54BAC">
      <w:pPr>
        <w:pStyle w:val="ListParagraph"/>
        <w:widowControl w:val="0"/>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e. Raud võib olla manustatud IV väiksema boolusena (50-100mg) või suurema boolusena (1000mg) kuna mõlemal viisil saavutatakse raua indeksite ja Hgb tõusu (2C).</w:t>
      </w:r>
    </w:p>
    <w:p w14:paraId="32CE4111" w14:textId="54F06D6D" w:rsidR="0023600A" w:rsidRPr="00B66AFE" w:rsidRDefault="002A1773" w:rsidP="00C54BAC">
      <w:pPr>
        <w:jc w:val="both"/>
        <w:rPr>
          <w:rFonts w:ascii="Times" w:hAnsi="Times"/>
          <w:b/>
          <w:sz w:val="28"/>
          <w:szCs w:val="28"/>
          <w:lang w:val="en-US" w:eastAsia="en-US"/>
        </w:rPr>
      </w:pPr>
      <w:r w:rsidRPr="00B66AFE">
        <w:rPr>
          <w:rFonts w:ascii="Times" w:hAnsi="Times"/>
          <w:b/>
          <w:sz w:val="28"/>
          <w:szCs w:val="28"/>
          <w:lang w:val="en-US" w:eastAsia="en-US"/>
        </w:rPr>
        <w:t>Ungraded:</w:t>
      </w:r>
    </w:p>
    <w:p w14:paraId="522ED179" w14:textId="418BF8AF" w:rsidR="002A1773" w:rsidRPr="00B66AFE" w:rsidRDefault="002A1773"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position w:val="-3"/>
          <w:sz w:val="28"/>
          <w:szCs w:val="28"/>
          <w:lang w:val="en-US"/>
        </w:rPr>
        <w:t xml:space="preserve">• </w:t>
      </w:r>
      <w:r w:rsidRPr="00B66AFE">
        <w:rPr>
          <w:rFonts w:ascii="Times" w:hAnsi="Times" w:cs="Times"/>
          <w:b/>
          <w:sz w:val="28"/>
          <w:szCs w:val="28"/>
          <w:lang w:val="en-US"/>
        </w:rPr>
        <w:t xml:space="preserve">Regular monitoring helps to predict iron overload </w:t>
      </w:r>
      <w:r w:rsidR="00BA7CE1">
        <w:rPr>
          <w:rFonts w:ascii="Times" w:hAnsi="Times" w:cs="Times"/>
          <w:b/>
          <w:sz w:val="28"/>
          <w:szCs w:val="28"/>
          <w:lang w:val="en-US"/>
        </w:rPr>
        <w:t>and the overshoot of target Hb: CKD stage 1-2 as clinically indicated, CKD stage 3-5 not on  dialysis 3 monthly</w:t>
      </w:r>
    </w:p>
    <w:p w14:paraId="16F11270" w14:textId="77777777" w:rsidR="002A1773" w:rsidRPr="00B66AFE" w:rsidRDefault="002A1773"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position w:val="-3"/>
          <w:sz w:val="28"/>
          <w:szCs w:val="28"/>
          <w:lang w:val="en-US"/>
        </w:rPr>
        <w:t xml:space="preserve">• </w:t>
      </w:r>
      <w:r w:rsidRPr="00B66AFE">
        <w:rPr>
          <w:rFonts w:ascii="Times" w:hAnsi="Times" w:cs="Times"/>
          <w:b/>
          <w:sz w:val="28"/>
          <w:szCs w:val="28"/>
          <w:lang w:val="en-US"/>
        </w:rPr>
        <w:t>For CKD (Stages 3–5; not on dialysis) patients with anaemia, there is benefit from IV iron in achieving target iron indices and less ESA use but no benefit in the maintenance of target Hb levels.</w:t>
      </w:r>
    </w:p>
    <w:p w14:paraId="05F89F13" w14:textId="5B9BCE20" w:rsidR="002A1773" w:rsidRPr="00B66AFE" w:rsidRDefault="002A1773"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position w:val="-3"/>
          <w:sz w:val="28"/>
          <w:szCs w:val="28"/>
          <w:lang w:val="en-US"/>
        </w:rPr>
        <w:t>•</w:t>
      </w:r>
      <w:r w:rsidRPr="00B66AFE">
        <w:rPr>
          <w:rFonts w:ascii="Times" w:hAnsi="Times" w:cs="Times"/>
          <w:b/>
          <w:sz w:val="28"/>
          <w:szCs w:val="28"/>
          <w:lang w:val="en-US"/>
        </w:rPr>
        <w:t xml:space="preserve">Mortality data would suggest that not exceeding 1000 mg every 6 months as total maximum dose per patient per period is desirable. </w:t>
      </w:r>
    </w:p>
    <w:p w14:paraId="2DFB3D19" w14:textId="10C5E8A3" w:rsidR="002A1773" w:rsidRPr="00B66AFE" w:rsidRDefault="002A1773"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position w:val="-3"/>
          <w:sz w:val="28"/>
          <w:szCs w:val="28"/>
          <w:lang w:val="en-US"/>
        </w:rPr>
        <w:t xml:space="preserve">• </w:t>
      </w:r>
      <w:r w:rsidRPr="00B66AFE">
        <w:rPr>
          <w:rFonts w:ascii="Times" w:hAnsi="Times" w:cs="Times"/>
          <w:b/>
          <w:sz w:val="28"/>
          <w:szCs w:val="28"/>
          <w:lang w:val="en-US"/>
        </w:rPr>
        <w:t xml:space="preserve">IV iron can usually be given as a bolus rapid infusion (&lt;1 h) with minimal toxicity. </w:t>
      </w:r>
    </w:p>
    <w:p w14:paraId="1A63AD78" w14:textId="66501F05" w:rsidR="002A1773" w:rsidRDefault="002A1773" w:rsidP="00C54BAC">
      <w:pPr>
        <w:widowControl w:val="0"/>
        <w:autoSpaceDE w:val="0"/>
        <w:autoSpaceDN w:val="0"/>
        <w:adjustRightInd w:val="0"/>
        <w:spacing w:after="240"/>
        <w:jc w:val="both"/>
        <w:rPr>
          <w:rFonts w:ascii="Times" w:hAnsi="Times" w:cs="Times"/>
          <w:b/>
          <w:sz w:val="28"/>
          <w:szCs w:val="28"/>
          <w:lang w:val="en-US"/>
        </w:rPr>
      </w:pPr>
      <w:r w:rsidRPr="00B66AFE">
        <w:rPr>
          <w:rFonts w:ascii="Times" w:hAnsi="Times" w:cs="Times"/>
          <w:b/>
          <w:position w:val="-3"/>
          <w:sz w:val="28"/>
          <w:szCs w:val="28"/>
          <w:lang w:val="en-US"/>
        </w:rPr>
        <w:t>•</w:t>
      </w:r>
      <w:r w:rsidRPr="00B66AFE">
        <w:rPr>
          <w:rFonts w:ascii="Times" w:hAnsi="Times" w:cs="Times"/>
          <w:b/>
          <w:sz w:val="28"/>
          <w:szCs w:val="28"/>
          <w:lang w:val="en-US"/>
        </w:rPr>
        <w:t xml:space="preserve">Vitamin C administration has been shown to be associated with mild improvement in iron indices in the short term when given in conjunction with standard care for supplementary iron but not in the achievement of target Hb levels in HD patients. </w:t>
      </w:r>
    </w:p>
    <w:p w14:paraId="7C8F61C4" w14:textId="4A608CCE" w:rsidR="00EB31A1" w:rsidRDefault="00EB31A1" w:rsidP="00C54BAC">
      <w:pPr>
        <w:widowControl w:val="0"/>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Ungraded:</w:t>
      </w:r>
    </w:p>
    <w:p w14:paraId="23A6A04E" w14:textId="77597A8E" w:rsidR="00EB31A1" w:rsidRDefault="00EB31A1" w:rsidP="00C54BAC">
      <w:pPr>
        <w:pStyle w:val="ListParagraph"/>
        <w:widowControl w:val="0"/>
        <w:numPr>
          <w:ilvl w:val="0"/>
          <w:numId w:val="39"/>
        </w:numPr>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Regulaarne monitoring aitab ennustada raua ülekoormus</w:t>
      </w:r>
      <w:r w:rsidR="00BA7CE1">
        <w:rPr>
          <w:rFonts w:ascii="Times" w:hAnsi="Times" w:cs="Times"/>
          <w:b/>
          <w:sz w:val="28"/>
          <w:szCs w:val="28"/>
          <w:lang w:val="en-US"/>
        </w:rPr>
        <w:t>t või liiga kõrget Hgb väärtust: KNH 1-2 staadium – kui on kliinniliselt vajalik, KNH 3-5 staadium (mitte dialüüsravil) - 3 kuu tagant</w:t>
      </w:r>
    </w:p>
    <w:p w14:paraId="1FFD61B1" w14:textId="535626D1" w:rsidR="00EB31A1" w:rsidRDefault="00EB31A1" w:rsidP="00C54BAC">
      <w:pPr>
        <w:pStyle w:val="ListParagraph"/>
        <w:widowControl w:val="0"/>
        <w:numPr>
          <w:ilvl w:val="0"/>
          <w:numId w:val="39"/>
        </w:numPr>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3-5 staadiumi KNH (mitte dialüüsravil) on kasu IV rauaravist, selleks, et saavutada raua indeksite eesmärki, vähendada ESA kasutamist, kuid ei ole kasu Hgb vajaliku taseme saavutamisel</w:t>
      </w:r>
    </w:p>
    <w:p w14:paraId="03D8FFD9" w14:textId="563E3B97" w:rsidR="008D4EB7" w:rsidRDefault="008D4EB7" w:rsidP="00C54BAC">
      <w:pPr>
        <w:pStyle w:val="ListParagraph"/>
        <w:widowControl w:val="0"/>
        <w:numPr>
          <w:ilvl w:val="0"/>
          <w:numId w:val="39"/>
        </w:numPr>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 xml:space="preserve">Andmed suremuse kohta soovitavad, et 6-kuu maksimaalne raua kogus (1000mg) ei oleks ületatud </w:t>
      </w:r>
    </w:p>
    <w:p w14:paraId="479E56DA" w14:textId="2D63EE27" w:rsidR="008D4EB7" w:rsidRDefault="008D4EB7" w:rsidP="00C54BAC">
      <w:pPr>
        <w:pStyle w:val="ListParagraph"/>
        <w:widowControl w:val="0"/>
        <w:numPr>
          <w:ilvl w:val="0"/>
          <w:numId w:val="39"/>
        </w:numPr>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IV raud tavaliselt võib manustada boolusena (&lt; 1 tund), sellega kaasneb minimaalne toksilisus</w:t>
      </w:r>
    </w:p>
    <w:p w14:paraId="2CDCCAFC" w14:textId="6E791842" w:rsidR="008D4EB7" w:rsidRPr="00EB31A1" w:rsidRDefault="008D4EB7" w:rsidP="00C54BAC">
      <w:pPr>
        <w:pStyle w:val="ListParagraph"/>
        <w:widowControl w:val="0"/>
        <w:numPr>
          <w:ilvl w:val="0"/>
          <w:numId w:val="39"/>
        </w:numPr>
        <w:autoSpaceDE w:val="0"/>
        <w:autoSpaceDN w:val="0"/>
        <w:adjustRightInd w:val="0"/>
        <w:spacing w:after="240"/>
        <w:jc w:val="both"/>
        <w:rPr>
          <w:rFonts w:ascii="Times" w:hAnsi="Times" w:cs="Times"/>
          <w:b/>
          <w:sz w:val="28"/>
          <w:szCs w:val="28"/>
          <w:lang w:val="en-US"/>
        </w:rPr>
      </w:pPr>
      <w:r>
        <w:rPr>
          <w:rFonts w:ascii="Times" w:hAnsi="Times" w:cs="Times"/>
          <w:b/>
          <w:sz w:val="28"/>
          <w:szCs w:val="28"/>
          <w:lang w:val="en-US"/>
        </w:rPr>
        <w:t>On leitud seost C vitamiini manustamise ja raua indeksite vähese paranemisega kui seda manustada koos standartse raviga, Hgb tase</w:t>
      </w:r>
      <w:r w:rsidR="00F10CE1">
        <w:rPr>
          <w:rFonts w:ascii="Times" w:hAnsi="Times" w:cs="Times"/>
          <w:b/>
          <w:sz w:val="28"/>
          <w:szCs w:val="28"/>
          <w:lang w:val="en-US"/>
        </w:rPr>
        <w:t>me eesmärk ei olnud saavutatud HD haigetel</w:t>
      </w:r>
    </w:p>
    <w:p w14:paraId="40608F54" w14:textId="77777777" w:rsidR="002A1773" w:rsidRDefault="002A1773" w:rsidP="00C54BAC">
      <w:pPr>
        <w:widowControl w:val="0"/>
        <w:autoSpaceDE w:val="0"/>
        <w:autoSpaceDN w:val="0"/>
        <w:adjustRightInd w:val="0"/>
        <w:spacing w:after="240"/>
        <w:jc w:val="both"/>
        <w:rPr>
          <w:rFonts w:ascii="Times" w:hAnsi="Times" w:cs="Times"/>
          <w:lang w:val="en-US"/>
        </w:rPr>
      </w:pPr>
    </w:p>
    <w:p w14:paraId="69D2CCFD" w14:textId="77777777" w:rsidR="00CC3137" w:rsidRDefault="004A7365" w:rsidP="00C54BAC">
      <w:pPr>
        <w:jc w:val="both"/>
        <w:rPr>
          <w:rFonts w:ascii="Times" w:hAnsi="Times"/>
          <w:sz w:val="28"/>
          <w:szCs w:val="28"/>
          <w:lang w:val="en-US" w:eastAsia="en-US"/>
        </w:rPr>
      </w:pPr>
      <w:r w:rsidRPr="006350BF">
        <w:rPr>
          <w:rFonts w:ascii="Times" w:hAnsi="Times"/>
          <w:b/>
          <w:sz w:val="32"/>
          <w:szCs w:val="32"/>
          <w:lang w:val="en-US" w:eastAsia="en-US"/>
        </w:rPr>
        <w:t>SIGN</w:t>
      </w:r>
      <w:r w:rsidR="0007542D" w:rsidRPr="006350BF">
        <w:rPr>
          <w:rFonts w:ascii="Times" w:hAnsi="Times"/>
          <w:b/>
          <w:sz w:val="32"/>
          <w:szCs w:val="32"/>
          <w:lang w:val="en-US" w:eastAsia="en-US"/>
        </w:rPr>
        <w:t xml:space="preserve"> Guideline</w:t>
      </w:r>
      <w:r w:rsidR="004E4CFB">
        <w:rPr>
          <w:rFonts w:ascii="Times" w:hAnsi="Times"/>
          <w:sz w:val="28"/>
          <w:szCs w:val="28"/>
          <w:lang w:val="en-US" w:eastAsia="en-US"/>
        </w:rPr>
        <w:t>: infot ei ole</w:t>
      </w:r>
    </w:p>
    <w:p w14:paraId="334CDD68" w14:textId="570EF88D" w:rsidR="004E3E0D" w:rsidRPr="00D53718" w:rsidRDefault="004E3E0D" w:rsidP="00C54BAC">
      <w:pPr>
        <w:jc w:val="both"/>
        <w:rPr>
          <w:rFonts w:ascii="Times" w:hAnsi="Times"/>
          <w:sz w:val="28"/>
          <w:szCs w:val="28"/>
          <w:lang w:val="en-US" w:eastAsia="en-US"/>
        </w:rPr>
      </w:pPr>
      <w:r w:rsidRPr="004E3E0D">
        <w:rPr>
          <w:rFonts w:ascii="Times" w:hAnsi="Times"/>
          <w:b/>
          <w:sz w:val="32"/>
          <w:szCs w:val="32"/>
          <w:lang w:val="en-US" w:eastAsia="en-US"/>
        </w:rPr>
        <w:t>Malaysia CKD management:</w:t>
      </w:r>
      <w:r>
        <w:rPr>
          <w:rFonts w:ascii="Times" w:hAnsi="Times"/>
          <w:sz w:val="28"/>
          <w:szCs w:val="28"/>
          <w:lang w:val="en-US" w:eastAsia="en-US"/>
        </w:rPr>
        <w:t xml:space="preserve"> infot ei ole</w:t>
      </w:r>
    </w:p>
    <w:p w14:paraId="3F52B76F" w14:textId="77777777" w:rsidR="00627961" w:rsidRPr="004175DD" w:rsidRDefault="00627961" w:rsidP="004175DD">
      <w:pPr>
        <w:widowControl w:val="0"/>
        <w:autoSpaceDE w:val="0"/>
        <w:autoSpaceDN w:val="0"/>
        <w:adjustRightInd w:val="0"/>
        <w:spacing w:after="240"/>
        <w:rPr>
          <w:rFonts w:ascii="Times" w:hAnsi="Times" w:cs="Times"/>
          <w:lang w:val="en-US"/>
        </w:rPr>
      </w:pPr>
    </w:p>
    <w:p w14:paraId="2FE45F69" w14:textId="77777777" w:rsidR="007810BD" w:rsidRPr="007810BD" w:rsidRDefault="007810BD" w:rsidP="007810BD">
      <w:pPr>
        <w:rPr>
          <w:rFonts w:ascii="Verdana" w:hAnsi="Verdana" w:cs="ArialMT"/>
          <w:sz w:val="18"/>
          <w:szCs w:val="18"/>
          <w:lang w:val="en-US"/>
        </w:rPr>
      </w:pPr>
    </w:p>
    <w:p w14:paraId="672D1862" w14:textId="77777777" w:rsidR="007810BD" w:rsidRPr="007810BD" w:rsidRDefault="007810BD" w:rsidP="007810BD">
      <w:pPr>
        <w:rPr>
          <w:rFonts w:ascii="Verdana" w:hAnsi="Verdana" w:cs="ArialMT"/>
          <w:sz w:val="18"/>
          <w:szCs w:val="18"/>
          <w:lang w:val="en-US"/>
        </w:rPr>
      </w:pPr>
    </w:p>
    <w:p w14:paraId="480D4E41" w14:textId="77777777" w:rsidR="007810BD" w:rsidRPr="007810BD" w:rsidRDefault="007810BD" w:rsidP="007810BD">
      <w:pPr>
        <w:rPr>
          <w:rFonts w:ascii="Verdana" w:hAnsi="Verdana" w:cs="ArialMT"/>
          <w:sz w:val="18"/>
          <w:szCs w:val="18"/>
          <w:lang w:val="en-US"/>
        </w:rPr>
      </w:pPr>
    </w:p>
    <w:p w14:paraId="417FE79C" w14:textId="77777777" w:rsidR="007810BD" w:rsidRPr="007810BD" w:rsidRDefault="007810BD" w:rsidP="007810BD">
      <w:pPr>
        <w:rPr>
          <w:rFonts w:ascii="Verdana" w:hAnsi="Verdana" w:cs="ArialMT"/>
          <w:sz w:val="18"/>
          <w:szCs w:val="18"/>
          <w:lang w:val="en-US"/>
        </w:rPr>
      </w:pPr>
    </w:p>
    <w:p w14:paraId="62E516E6" w14:textId="77777777" w:rsidR="007810BD" w:rsidRPr="007810BD" w:rsidRDefault="007810BD" w:rsidP="007810BD">
      <w:pPr>
        <w:rPr>
          <w:rFonts w:ascii="Verdana" w:hAnsi="Verdana" w:cs="ArialMT"/>
          <w:sz w:val="18"/>
          <w:szCs w:val="18"/>
          <w:lang w:val="en-US"/>
        </w:rPr>
      </w:pPr>
    </w:p>
    <w:p w14:paraId="09AC5D7C" w14:textId="77777777" w:rsidR="007810BD" w:rsidRPr="007810BD" w:rsidRDefault="007810BD" w:rsidP="007810BD">
      <w:pPr>
        <w:rPr>
          <w:rFonts w:ascii="Verdana" w:hAnsi="Verdana" w:cs="ArialMT"/>
          <w:sz w:val="18"/>
          <w:szCs w:val="18"/>
          <w:lang w:val="en-US"/>
        </w:rPr>
      </w:pPr>
    </w:p>
    <w:p w14:paraId="348B0F0D" w14:textId="77777777" w:rsidR="007810BD" w:rsidRPr="007810BD" w:rsidRDefault="007810BD" w:rsidP="007810BD">
      <w:pPr>
        <w:rPr>
          <w:rFonts w:ascii="Verdana" w:hAnsi="Verdana" w:cs="ArialMT"/>
          <w:sz w:val="18"/>
          <w:szCs w:val="18"/>
          <w:lang w:val="en-US"/>
        </w:rPr>
      </w:pPr>
    </w:p>
    <w:p w14:paraId="55CD379E" w14:textId="77777777" w:rsidR="007810BD" w:rsidRDefault="007810BD" w:rsidP="007810BD">
      <w:pPr>
        <w:rPr>
          <w:rFonts w:ascii="Verdana" w:hAnsi="Verdana" w:cs="ArialMT"/>
          <w:sz w:val="18"/>
          <w:szCs w:val="18"/>
          <w:lang w:val="en-US"/>
        </w:rPr>
      </w:pPr>
    </w:p>
    <w:p w14:paraId="3CDB96B2" w14:textId="77777777" w:rsidR="005A51BC" w:rsidRPr="007810BD" w:rsidRDefault="005A51BC" w:rsidP="007810BD">
      <w:pPr>
        <w:rPr>
          <w:rFonts w:ascii="Verdana" w:hAnsi="Verdana" w:cs="ArialMT"/>
          <w:sz w:val="18"/>
          <w:szCs w:val="18"/>
          <w:lang w:val="en-US"/>
        </w:rPr>
      </w:pPr>
    </w:p>
    <w:sectPr w:rsidR="005A51BC" w:rsidRPr="007810BD" w:rsidSect="005A51BC">
      <w:headerReference w:type="default" r:id="rId16"/>
      <w:footerReference w:type="even" r:id="rId17"/>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0287F" w14:textId="77777777" w:rsidR="00BA5A54" w:rsidRDefault="00BA5A54" w:rsidP="005A51BC">
      <w:r>
        <w:separator/>
      </w:r>
    </w:p>
  </w:endnote>
  <w:endnote w:type="continuationSeparator" w:id="0">
    <w:p w14:paraId="68B76851" w14:textId="77777777" w:rsidR="00BA5A54" w:rsidRDefault="00BA5A54" w:rsidP="005A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dvGARAD-R">
    <w:altName w:val="Times New Roman"/>
    <w:panose1 w:val="00000000000000000000"/>
    <w:charset w:val="00"/>
    <w:family w:val="roman"/>
    <w:notTrueType/>
    <w:pitch w:val="default"/>
    <w:sig w:usb0="00000003" w:usb1="00000000" w:usb2="00000000" w:usb3="00000000" w:csb0="00000001" w:csb1="00000000"/>
  </w:font>
  <w:font w:name="AdvPSFUW">
    <w:altName w:val="Arial"/>
    <w:panose1 w:val="00000000000000000000"/>
    <w:charset w:val="00"/>
    <w:family w:val="swiss"/>
    <w:notTrueType/>
    <w:pitch w:val="default"/>
    <w:sig w:usb0="00000003" w:usb1="00000000" w:usb2="00000000" w:usb3="00000000" w:csb0="00000001" w:csb1="00000000"/>
  </w:font>
  <w:font w:name="AdvPSSAB-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rade Gothic LT Std">
    <w:altName w:val="Arial"/>
    <w:panose1 w:val="00000000000000000000"/>
    <w:charset w:val="07"/>
    <w:family w:val="swiss"/>
    <w:notTrueType/>
    <w:pitch w:val="default"/>
    <w:sig w:usb0="00000001" w:usb1="00000000" w:usb2="00000000" w:usb3="00000000" w:csb0="00000000"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abonLTStd-Roman">
    <w:panose1 w:val="00000000000000000000"/>
    <w:charset w:val="BA"/>
    <w:family w:val="auto"/>
    <w:notTrueType/>
    <w:pitch w:val="default"/>
    <w:sig w:usb0="00000005" w:usb1="00000000" w:usb2="00000000" w:usb3="00000000" w:csb0="00000080"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9ABC" w14:textId="77777777" w:rsidR="008034D2" w:rsidRDefault="008034D2" w:rsidP="001724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32E4A" w14:textId="77777777" w:rsidR="008034D2" w:rsidRDefault="008034D2" w:rsidP="007570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E4C5" w14:textId="77777777" w:rsidR="008034D2" w:rsidRDefault="008034D2" w:rsidP="001724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21F">
      <w:rPr>
        <w:rStyle w:val="PageNumber"/>
        <w:noProof/>
      </w:rPr>
      <w:t>2</w:t>
    </w:r>
    <w:r>
      <w:rPr>
        <w:rStyle w:val="PageNumber"/>
      </w:rPr>
      <w:fldChar w:fldCharType="end"/>
    </w:r>
  </w:p>
  <w:p w14:paraId="25DDDAA0" w14:textId="77777777" w:rsidR="008034D2" w:rsidRDefault="008034D2" w:rsidP="007570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0A3C5" w14:textId="77777777" w:rsidR="00BA5A54" w:rsidRDefault="00BA5A54" w:rsidP="005A51BC">
      <w:r>
        <w:separator/>
      </w:r>
    </w:p>
  </w:footnote>
  <w:footnote w:type="continuationSeparator" w:id="0">
    <w:p w14:paraId="137DE338" w14:textId="77777777" w:rsidR="00BA5A54" w:rsidRDefault="00BA5A54" w:rsidP="005A5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0E3A3" w14:textId="77777777" w:rsidR="008034D2" w:rsidRDefault="008034D2">
    <w:pPr>
      <w:pStyle w:val="Header"/>
    </w:pPr>
    <w:r>
      <w:t>[Type text]</w:t>
    </w:r>
  </w:p>
  <w:p w14:paraId="4FC9DAFA" w14:textId="77777777" w:rsidR="008034D2" w:rsidRDefault="00803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A588" w14:textId="77777777" w:rsidR="008034D2" w:rsidRDefault="008034D2">
    <w:pPr>
      <w:pStyle w:val="Header"/>
    </w:pPr>
    <w:r>
      <w:t>Tõendusmaterjali kokkuvõte - EvSu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A96D75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95D83"/>
    <w:multiLevelType w:val="hybridMultilevel"/>
    <w:tmpl w:val="5BDE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93016"/>
    <w:multiLevelType w:val="hybridMultilevel"/>
    <w:tmpl w:val="49023FA6"/>
    <w:lvl w:ilvl="0" w:tplc="60086F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01D42"/>
    <w:multiLevelType w:val="hybridMultilevel"/>
    <w:tmpl w:val="6FEACDF4"/>
    <w:lvl w:ilvl="0" w:tplc="E42CFDA0">
      <w:start w:val="3"/>
      <w:numFmt w:val="bullet"/>
      <w:lvlText w:val="-"/>
      <w:lvlJc w:val="left"/>
      <w:pPr>
        <w:tabs>
          <w:tab w:val="num" w:pos="720"/>
        </w:tabs>
        <w:ind w:left="720" w:hanging="360"/>
      </w:pPr>
      <w:rPr>
        <w:rFonts w:ascii="Verdana" w:eastAsia="Times New Roman" w:hAnsi="Verdana" w:cs="AdvGARAD-R" w:hint="default"/>
      </w:rPr>
    </w:lvl>
    <w:lvl w:ilvl="1" w:tplc="04250003" w:tentative="1">
      <w:start w:val="1"/>
      <w:numFmt w:val="bullet"/>
      <w:lvlText w:val="o"/>
      <w:lvlJc w:val="left"/>
      <w:pPr>
        <w:tabs>
          <w:tab w:val="num" w:pos="1440"/>
        </w:tabs>
        <w:ind w:left="1440" w:hanging="360"/>
      </w:pPr>
      <w:rPr>
        <w:rFonts w:ascii="Courier New" w:hAnsi="Courier New" w:cs="AdvGARAD-R"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AdvGARAD-R"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AdvGARAD-R"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nsid w:val="0C0C6053"/>
    <w:multiLevelType w:val="hybridMultilevel"/>
    <w:tmpl w:val="44AA8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20344B"/>
    <w:multiLevelType w:val="hybridMultilevel"/>
    <w:tmpl w:val="CC1E1A86"/>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AdvGARAD-R"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AdvGARAD-R"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AdvGARAD-R"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nsid w:val="156B4E87"/>
    <w:multiLevelType w:val="hybridMultilevel"/>
    <w:tmpl w:val="6A56C87E"/>
    <w:lvl w:ilvl="0" w:tplc="5C2A4332">
      <w:start w:val="1"/>
      <w:numFmt w:val="decimal"/>
      <w:lvlText w:val="%1."/>
      <w:lvlJc w:val="left"/>
      <w:pPr>
        <w:ind w:left="720" w:hanging="360"/>
      </w:pPr>
      <w:rPr>
        <w:rFonts w:ascii="AdvPSFUW" w:hAnsi="AdvPSFUW" w:cs="AdvGARAD-R"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8F42E2"/>
    <w:multiLevelType w:val="hybridMultilevel"/>
    <w:tmpl w:val="8BE08D1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206F1"/>
    <w:multiLevelType w:val="hybridMultilevel"/>
    <w:tmpl w:val="2E6A0BC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93B32"/>
    <w:multiLevelType w:val="hybridMultilevel"/>
    <w:tmpl w:val="807EEE5E"/>
    <w:lvl w:ilvl="0" w:tplc="60307846">
      <w:start w:val="4"/>
      <w:numFmt w:val="bullet"/>
      <w:lvlText w:val="-"/>
      <w:lvlJc w:val="left"/>
      <w:pPr>
        <w:ind w:left="720" w:hanging="360"/>
      </w:pPr>
      <w:rPr>
        <w:rFonts w:ascii="AdvPSSAB-R" w:eastAsia="Times New Roman" w:hAnsi="AdvPSSAB-R" w:cs="AdvGARAD-R" w:hint="default"/>
      </w:rPr>
    </w:lvl>
    <w:lvl w:ilvl="1" w:tplc="04250003" w:tentative="1">
      <w:start w:val="1"/>
      <w:numFmt w:val="bullet"/>
      <w:lvlText w:val="o"/>
      <w:lvlJc w:val="left"/>
      <w:pPr>
        <w:ind w:left="1440" w:hanging="360"/>
      </w:pPr>
      <w:rPr>
        <w:rFonts w:ascii="Courier New" w:hAnsi="Courier New" w:cs="AdvGARAD-R"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AdvGARAD-R"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AdvGARAD-R"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DE6060A"/>
    <w:multiLevelType w:val="multilevel"/>
    <w:tmpl w:val="FB3CC54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3C9564E"/>
    <w:multiLevelType w:val="hybridMultilevel"/>
    <w:tmpl w:val="CC54653A"/>
    <w:lvl w:ilvl="0" w:tplc="590A5B38">
      <w:numFmt w:val="bullet"/>
      <w:lvlText w:val="-"/>
      <w:lvlJc w:val="left"/>
      <w:pPr>
        <w:ind w:left="420" w:hanging="360"/>
      </w:pPr>
      <w:rPr>
        <w:rFonts w:ascii="Verdana" w:eastAsia="Times New Roman" w:hAnsi="Verdana" w:cs="AdvGARAD-R" w:hint="default"/>
      </w:rPr>
    </w:lvl>
    <w:lvl w:ilvl="1" w:tplc="04250003" w:tentative="1">
      <w:start w:val="1"/>
      <w:numFmt w:val="bullet"/>
      <w:lvlText w:val="o"/>
      <w:lvlJc w:val="left"/>
      <w:pPr>
        <w:ind w:left="1140" w:hanging="360"/>
      </w:pPr>
      <w:rPr>
        <w:rFonts w:ascii="Courier New" w:hAnsi="Courier New" w:cs="AdvGARAD-R"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AdvGARAD-R"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AdvGARAD-R" w:hint="default"/>
      </w:rPr>
    </w:lvl>
    <w:lvl w:ilvl="8" w:tplc="04250005" w:tentative="1">
      <w:start w:val="1"/>
      <w:numFmt w:val="bullet"/>
      <w:lvlText w:val=""/>
      <w:lvlJc w:val="left"/>
      <w:pPr>
        <w:ind w:left="6180" w:hanging="360"/>
      </w:pPr>
      <w:rPr>
        <w:rFonts w:ascii="Wingdings" w:hAnsi="Wingdings" w:hint="default"/>
      </w:rPr>
    </w:lvl>
  </w:abstractNum>
  <w:abstractNum w:abstractNumId="16">
    <w:nsid w:val="36CC76FE"/>
    <w:multiLevelType w:val="multilevel"/>
    <w:tmpl w:val="9826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4C760E"/>
    <w:multiLevelType w:val="hybridMultilevel"/>
    <w:tmpl w:val="AD3202CE"/>
    <w:lvl w:ilvl="0" w:tplc="FBBAC2AA">
      <w:start w:val="1252"/>
      <w:numFmt w:val="bullet"/>
      <w:lvlText w:val="-"/>
      <w:lvlJc w:val="left"/>
      <w:pPr>
        <w:ind w:left="720" w:hanging="360"/>
      </w:pPr>
      <w:rPr>
        <w:rFonts w:ascii="AdvGARAD-R" w:eastAsia="Times New Roman" w:hAnsi="AdvGARAD-R" w:cs="AdvGARAD-R" w:hint="default"/>
      </w:rPr>
    </w:lvl>
    <w:lvl w:ilvl="1" w:tplc="04250003" w:tentative="1">
      <w:start w:val="1"/>
      <w:numFmt w:val="bullet"/>
      <w:lvlText w:val="o"/>
      <w:lvlJc w:val="left"/>
      <w:pPr>
        <w:ind w:left="1440" w:hanging="360"/>
      </w:pPr>
      <w:rPr>
        <w:rFonts w:ascii="Courier New" w:hAnsi="Courier New" w:cs="AdvGARAD-R"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AdvGARAD-R"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AdvGARAD-R"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F526A0C"/>
    <w:multiLevelType w:val="hybridMultilevel"/>
    <w:tmpl w:val="37307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3E30E48"/>
    <w:multiLevelType w:val="hybridMultilevel"/>
    <w:tmpl w:val="9F5A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B6D8E"/>
    <w:multiLevelType w:val="hybridMultilevel"/>
    <w:tmpl w:val="6A4A3598"/>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1">
    <w:nsid w:val="515278E3"/>
    <w:multiLevelType w:val="hybridMultilevel"/>
    <w:tmpl w:val="B164C84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63E31"/>
    <w:multiLevelType w:val="multilevel"/>
    <w:tmpl w:val="8764A1CA"/>
    <w:lvl w:ilvl="0">
      <w:start w:val="1"/>
      <w:numFmt w:val="decimal"/>
      <w:lvlText w:val="%1."/>
      <w:lvlJc w:val="left"/>
      <w:pPr>
        <w:ind w:left="340" w:hanging="340"/>
      </w:pPr>
      <w:rPr>
        <w:rFonts w:ascii="Times New Roman" w:hAnsi="Times New Roman" w:cs="Times New Roman" w:hint="default"/>
        <w:b/>
        <w:bCs/>
        <w:color w:val="00000A"/>
      </w:rPr>
    </w:lvl>
    <w:lvl w:ilvl="1">
      <w:start w:val="1"/>
      <w:numFmt w:val="lowerLetter"/>
      <w:lvlText w:val="%2."/>
      <w:lvlJc w:val="left"/>
      <w:pPr>
        <w:ind w:left="1049" w:hanging="340"/>
      </w:pPr>
      <w:rPr>
        <w:rFonts w:ascii="Times New Roman" w:hAnsi="Times New Roman" w:cs="Times New Roman" w:hint="default"/>
      </w:rPr>
    </w:lvl>
    <w:lvl w:ilvl="2">
      <w:start w:val="1"/>
      <w:numFmt w:val="lowerRoman"/>
      <w:lvlText w:val="%3."/>
      <w:lvlJc w:val="right"/>
      <w:pPr>
        <w:ind w:left="2494" w:hanging="340"/>
      </w:pPr>
      <w:rPr>
        <w:rFonts w:ascii="Times New Roman" w:hAnsi="Times New Roman" w:cs="Times New Roman" w:hint="default"/>
      </w:rPr>
    </w:lvl>
    <w:lvl w:ilvl="3">
      <w:start w:val="1"/>
      <w:numFmt w:val="decimal"/>
      <w:lvlText w:val="%4."/>
      <w:lvlJc w:val="left"/>
      <w:pPr>
        <w:ind w:left="3571" w:hanging="340"/>
      </w:pPr>
      <w:rPr>
        <w:rFonts w:ascii="Times New Roman" w:hAnsi="Times New Roman" w:cs="Times New Roman" w:hint="default"/>
        <w:b/>
        <w:bCs/>
      </w:rPr>
    </w:lvl>
    <w:lvl w:ilvl="4">
      <w:start w:val="1"/>
      <w:numFmt w:val="lowerLetter"/>
      <w:lvlText w:val="%5."/>
      <w:lvlJc w:val="left"/>
      <w:pPr>
        <w:ind w:left="4648" w:hanging="340"/>
      </w:pPr>
      <w:rPr>
        <w:rFonts w:ascii="Times New Roman" w:hAnsi="Times New Roman" w:cs="Times New Roman" w:hint="default"/>
      </w:rPr>
    </w:lvl>
    <w:lvl w:ilvl="5">
      <w:start w:val="1"/>
      <w:numFmt w:val="lowerRoman"/>
      <w:lvlText w:val="%6."/>
      <w:lvlJc w:val="right"/>
      <w:pPr>
        <w:ind w:left="5725" w:hanging="340"/>
      </w:pPr>
      <w:rPr>
        <w:rFonts w:ascii="Times New Roman" w:hAnsi="Times New Roman" w:cs="Times New Roman" w:hint="default"/>
      </w:rPr>
    </w:lvl>
    <w:lvl w:ilvl="6">
      <w:start w:val="1"/>
      <w:numFmt w:val="decimal"/>
      <w:lvlText w:val="%7."/>
      <w:lvlJc w:val="left"/>
      <w:pPr>
        <w:ind w:left="6802" w:hanging="340"/>
      </w:pPr>
      <w:rPr>
        <w:rFonts w:ascii="Times New Roman" w:hAnsi="Times New Roman" w:cs="Times New Roman" w:hint="default"/>
      </w:rPr>
    </w:lvl>
    <w:lvl w:ilvl="7">
      <w:start w:val="1"/>
      <w:numFmt w:val="lowerLetter"/>
      <w:lvlText w:val="%8."/>
      <w:lvlJc w:val="left"/>
      <w:pPr>
        <w:ind w:left="7879" w:hanging="340"/>
      </w:pPr>
      <w:rPr>
        <w:rFonts w:ascii="Times New Roman" w:hAnsi="Times New Roman" w:cs="Times New Roman" w:hint="default"/>
      </w:rPr>
    </w:lvl>
    <w:lvl w:ilvl="8">
      <w:start w:val="1"/>
      <w:numFmt w:val="lowerRoman"/>
      <w:lvlText w:val="%9."/>
      <w:lvlJc w:val="right"/>
      <w:pPr>
        <w:ind w:left="8956" w:hanging="340"/>
      </w:pPr>
      <w:rPr>
        <w:rFonts w:ascii="Times New Roman" w:hAnsi="Times New Roman" w:cs="Times New Roman" w:hint="default"/>
      </w:rPr>
    </w:lvl>
  </w:abstractNum>
  <w:abstractNum w:abstractNumId="23">
    <w:nsid w:val="5E2D1EA8"/>
    <w:multiLevelType w:val="hybridMultilevel"/>
    <w:tmpl w:val="AE34A85A"/>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4">
    <w:nsid w:val="61D20670"/>
    <w:multiLevelType w:val="hybridMultilevel"/>
    <w:tmpl w:val="C6149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88784D"/>
    <w:multiLevelType w:val="hybridMultilevel"/>
    <w:tmpl w:val="E22AE760"/>
    <w:lvl w:ilvl="0" w:tplc="0BCE5958">
      <w:numFmt w:val="bullet"/>
      <w:lvlText w:val="-"/>
      <w:lvlJc w:val="left"/>
      <w:pPr>
        <w:ind w:left="700" w:hanging="360"/>
      </w:pPr>
      <w:rPr>
        <w:rFonts w:ascii="Times New Roman" w:eastAsiaTheme="minorEastAsia" w:hAnsi="Times New Roman" w:cs="Times New Roman" w:hint="default"/>
      </w:rPr>
    </w:lvl>
    <w:lvl w:ilvl="1" w:tplc="04250003" w:tentative="1">
      <w:start w:val="1"/>
      <w:numFmt w:val="bullet"/>
      <w:lvlText w:val="o"/>
      <w:lvlJc w:val="left"/>
      <w:pPr>
        <w:ind w:left="1420" w:hanging="360"/>
      </w:pPr>
      <w:rPr>
        <w:rFonts w:ascii="Courier New" w:hAnsi="Courier New" w:cs="Courier New" w:hint="default"/>
      </w:rPr>
    </w:lvl>
    <w:lvl w:ilvl="2" w:tplc="04250005" w:tentative="1">
      <w:start w:val="1"/>
      <w:numFmt w:val="bullet"/>
      <w:lvlText w:val=""/>
      <w:lvlJc w:val="left"/>
      <w:pPr>
        <w:ind w:left="2140" w:hanging="360"/>
      </w:pPr>
      <w:rPr>
        <w:rFonts w:ascii="Wingdings" w:hAnsi="Wingdings" w:hint="default"/>
      </w:rPr>
    </w:lvl>
    <w:lvl w:ilvl="3" w:tplc="04250001" w:tentative="1">
      <w:start w:val="1"/>
      <w:numFmt w:val="bullet"/>
      <w:lvlText w:val=""/>
      <w:lvlJc w:val="left"/>
      <w:pPr>
        <w:ind w:left="2860" w:hanging="360"/>
      </w:pPr>
      <w:rPr>
        <w:rFonts w:ascii="Symbol" w:hAnsi="Symbol" w:hint="default"/>
      </w:rPr>
    </w:lvl>
    <w:lvl w:ilvl="4" w:tplc="04250003" w:tentative="1">
      <w:start w:val="1"/>
      <w:numFmt w:val="bullet"/>
      <w:lvlText w:val="o"/>
      <w:lvlJc w:val="left"/>
      <w:pPr>
        <w:ind w:left="3580" w:hanging="360"/>
      </w:pPr>
      <w:rPr>
        <w:rFonts w:ascii="Courier New" w:hAnsi="Courier New" w:cs="Courier New" w:hint="default"/>
      </w:rPr>
    </w:lvl>
    <w:lvl w:ilvl="5" w:tplc="04250005" w:tentative="1">
      <w:start w:val="1"/>
      <w:numFmt w:val="bullet"/>
      <w:lvlText w:val=""/>
      <w:lvlJc w:val="left"/>
      <w:pPr>
        <w:ind w:left="4300" w:hanging="360"/>
      </w:pPr>
      <w:rPr>
        <w:rFonts w:ascii="Wingdings" w:hAnsi="Wingdings" w:hint="default"/>
      </w:rPr>
    </w:lvl>
    <w:lvl w:ilvl="6" w:tplc="04250001" w:tentative="1">
      <w:start w:val="1"/>
      <w:numFmt w:val="bullet"/>
      <w:lvlText w:val=""/>
      <w:lvlJc w:val="left"/>
      <w:pPr>
        <w:ind w:left="5020" w:hanging="360"/>
      </w:pPr>
      <w:rPr>
        <w:rFonts w:ascii="Symbol" w:hAnsi="Symbol" w:hint="default"/>
      </w:rPr>
    </w:lvl>
    <w:lvl w:ilvl="7" w:tplc="04250003" w:tentative="1">
      <w:start w:val="1"/>
      <w:numFmt w:val="bullet"/>
      <w:lvlText w:val="o"/>
      <w:lvlJc w:val="left"/>
      <w:pPr>
        <w:ind w:left="5740" w:hanging="360"/>
      </w:pPr>
      <w:rPr>
        <w:rFonts w:ascii="Courier New" w:hAnsi="Courier New" w:cs="Courier New" w:hint="default"/>
      </w:rPr>
    </w:lvl>
    <w:lvl w:ilvl="8" w:tplc="04250005" w:tentative="1">
      <w:start w:val="1"/>
      <w:numFmt w:val="bullet"/>
      <w:lvlText w:val=""/>
      <w:lvlJc w:val="left"/>
      <w:pPr>
        <w:ind w:left="6460" w:hanging="360"/>
      </w:pPr>
      <w:rPr>
        <w:rFonts w:ascii="Wingdings" w:hAnsi="Wingdings" w:hint="default"/>
      </w:rPr>
    </w:lvl>
  </w:abstractNum>
  <w:abstractNum w:abstractNumId="26">
    <w:nsid w:val="65053D9C"/>
    <w:multiLevelType w:val="hybridMultilevel"/>
    <w:tmpl w:val="90D85272"/>
    <w:lvl w:ilvl="0" w:tplc="E42CFDA0">
      <w:start w:val="3"/>
      <w:numFmt w:val="bullet"/>
      <w:lvlText w:val="-"/>
      <w:lvlJc w:val="left"/>
      <w:pPr>
        <w:tabs>
          <w:tab w:val="num" w:pos="360"/>
        </w:tabs>
        <w:ind w:left="360" w:hanging="360"/>
      </w:pPr>
      <w:rPr>
        <w:rFonts w:ascii="Verdana" w:eastAsia="Times New Roman" w:hAnsi="Verdana" w:cs="AdvGARAD-R" w:hint="default"/>
      </w:rPr>
    </w:lvl>
    <w:lvl w:ilvl="1" w:tplc="04250003" w:tentative="1">
      <w:start w:val="1"/>
      <w:numFmt w:val="bullet"/>
      <w:lvlText w:val="o"/>
      <w:lvlJc w:val="left"/>
      <w:pPr>
        <w:tabs>
          <w:tab w:val="num" w:pos="1080"/>
        </w:tabs>
        <w:ind w:left="1080" w:hanging="360"/>
      </w:pPr>
      <w:rPr>
        <w:rFonts w:ascii="Courier New" w:hAnsi="Courier New" w:cs="AdvGARAD-R"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AdvGARAD-R"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AdvGARAD-R"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7">
    <w:nsid w:val="67C41D10"/>
    <w:multiLevelType w:val="hybridMultilevel"/>
    <w:tmpl w:val="3532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45B8A"/>
    <w:multiLevelType w:val="hybridMultilevel"/>
    <w:tmpl w:val="E1F6608A"/>
    <w:lvl w:ilvl="0" w:tplc="34C49D60">
      <w:start w:val="1252"/>
      <w:numFmt w:val="bullet"/>
      <w:lvlText w:val="-"/>
      <w:lvlJc w:val="left"/>
      <w:pPr>
        <w:ind w:left="720" w:hanging="360"/>
      </w:pPr>
      <w:rPr>
        <w:rFonts w:ascii="AdvGARAD-R" w:eastAsia="Times New Roman" w:hAnsi="AdvGARAD-R" w:cs="AdvGARAD-R" w:hint="default"/>
        <w:sz w:val="18"/>
      </w:rPr>
    </w:lvl>
    <w:lvl w:ilvl="1" w:tplc="04250003" w:tentative="1">
      <w:start w:val="1"/>
      <w:numFmt w:val="bullet"/>
      <w:lvlText w:val="o"/>
      <w:lvlJc w:val="left"/>
      <w:pPr>
        <w:ind w:left="1440" w:hanging="360"/>
      </w:pPr>
      <w:rPr>
        <w:rFonts w:ascii="Courier New" w:hAnsi="Courier New" w:cs="AdvGARAD-R"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AdvGARAD-R"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AdvGARAD-R"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6F5279F7"/>
    <w:multiLevelType w:val="multilevel"/>
    <w:tmpl w:val="DE24C660"/>
    <w:lvl w:ilvl="0">
      <w:start w:val="1"/>
      <w:numFmt w:val="decimal"/>
      <w:lvlText w:val="%1."/>
      <w:lvlJc w:val="left"/>
      <w:pPr>
        <w:ind w:left="500" w:hanging="500"/>
      </w:pPr>
      <w:rPr>
        <w:rFonts w:hint="default"/>
        <w:b/>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05161E"/>
    <w:multiLevelType w:val="hybridMultilevel"/>
    <w:tmpl w:val="427E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AdvGARAD-R"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AdvGARAD-R"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AdvGARAD-R"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3">
    <w:nsid w:val="76A31C27"/>
    <w:multiLevelType w:val="hybridMultilevel"/>
    <w:tmpl w:val="504E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0F5001"/>
    <w:multiLevelType w:val="hybridMultilevel"/>
    <w:tmpl w:val="84CCE740"/>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0111BC"/>
    <w:multiLevelType w:val="hybridMultilevel"/>
    <w:tmpl w:val="62EC6EFC"/>
    <w:lvl w:ilvl="0" w:tplc="E98094D0">
      <w:start w:val="4"/>
      <w:numFmt w:val="bullet"/>
      <w:lvlText w:val="-"/>
      <w:lvlJc w:val="left"/>
      <w:pPr>
        <w:ind w:left="720" w:hanging="360"/>
      </w:pPr>
      <w:rPr>
        <w:rFonts w:ascii="AdvPSSAB-R" w:eastAsia="Times New Roman" w:hAnsi="AdvPSSAB-R" w:cs="AdvGARAD-R" w:hint="default"/>
      </w:rPr>
    </w:lvl>
    <w:lvl w:ilvl="1" w:tplc="04250003" w:tentative="1">
      <w:start w:val="1"/>
      <w:numFmt w:val="bullet"/>
      <w:lvlText w:val="o"/>
      <w:lvlJc w:val="left"/>
      <w:pPr>
        <w:ind w:left="1440" w:hanging="360"/>
      </w:pPr>
      <w:rPr>
        <w:rFonts w:ascii="Courier New" w:hAnsi="Courier New" w:cs="AdvGARAD-R"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AdvGARAD-R"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AdvGARAD-R"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7B71012F"/>
    <w:multiLevelType w:val="hybridMultilevel"/>
    <w:tmpl w:val="08087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1B75AE"/>
    <w:multiLevelType w:val="hybridMultilevel"/>
    <w:tmpl w:val="D0F61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8"/>
    <w:lvlOverride w:ilvl="0">
      <w:startOverride w:val="30"/>
    </w:lvlOverride>
  </w:num>
  <w:num w:numId="4">
    <w:abstractNumId w:val="8"/>
    <w:lvlOverride w:ilvl="0">
      <w:startOverride w:val="31"/>
    </w:lvlOverride>
  </w:num>
  <w:num w:numId="5">
    <w:abstractNumId w:val="13"/>
  </w:num>
  <w:num w:numId="6">
    <w:abstractNumId w:val="15"/>
  </w:num>
  <w:num w:numId="7">
    <w:abstractNumId w:val="17"/>
  </w:num>
  <w:num w:numId="8">
    <w:abstractNumId w:val="28"/>
  </w:num>
  <w:num w:numId="9">
    <w:abstractNumId w:val="7"/>
  </w:num>
  <w:num w:numId="10">
    <w:abstractNumId w:val="35"/>
  </w:num>
  <w:num w:numId="11">
    <w:abstractNumId w:val="12"/>
  </w:num>
  <w:num w:numId="12">
    <w:abstractNumId w:val="32"/>
  </w:num>
  <w:num w:numId="13">
    <w:abstractNumId w:val="6"/>
  </w:num>
  <w:num w:numId="14">
    <w:abstractNumId w:val="4"/>
  </w:num>
  <w:num w:numId="15">
    <w:abstractNumId w:val="26"/>
  </w:num>
  <w:num w:numId="16">
    <w:abstractNumId w:val="14"/>
  </w:num>
  <w:num w:numId="17">
    <w:abstractNumId w:val="0"/>
  </w:num>
  <w:num w:numId="18">
    <w:abstractNumId w:val="1"/>
  </w:num>
  <w:num w:numId="19">
    <w:abstractNumId w:val="22"/>
  </w:num>
  <w:num w:numId="20">
    <w:abstractNumId w:val="25"/>
  </w:num>
  <w:num w:numId="21">
    <w:abstractNumId w:val="16"/>
  </w:num>
  <w:num w:numId="22">
    <w:abstractNumId w:val="24"/>
  </w:num>
  <w:num w:numId="23">
    <w:abstractNumId w:val="33"/>
  </w:num>
  <w:num w:numId="24">
    <w:abstractNumId w:val="3"/>
  </w:num>
  <w:num w:numId="25">
    <w:abstractNumId w:val="19"/>
  </w:num>
  <w:num w:numId="26">
    <w:abstractNumId w:val="29"/>
  </w:num>
  <w:num w:numId="27">
    <w:abstractNumId w:val="11"/>
  </w:num>
  <w:num w:numId="28">
    <w:abstractNumId w:val="21"/>
  </w:num>
  <w:num w:numId="29">
    <w:abstractNumId w:val="34"/>
  </w:num>
  <w:num w:numId="30">
    <w:abstractNumId w:val="2"/>
  </w:num>
  <w:num w:numId="31">
    <w:abstractNumId w:val="36"/>
  </w:num>
  <w:num w:numId="32">
    <w:abstractNumId w:val="23"/>
  </w:num>
  <w:num w:numId="33">
    <w:abstractNumId w:val="27"/>
  </w:num>
  <w:num w:numId="34">
    <w:abstractNumId w:val="18"/>
  </w:num>
  <w:num w:numId="35">
    <w:abstractNumId w:val="20"/>
  </w:num>
  <w:num w:numId="36">
    <w:abstractNumId w:val="37"/>
  </w:num>
  <w:num w:numId="37">
    <w:abstractNumId w:val="5"/>
  </w:num>
  <w:num w:numId="38">
    <w:abstractNumId w:val="1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DE"/>
    <w:rsid w:val="000028EB"/>
    <w:rsid w:val="0000369F"/>
    <w:rsid w:val="00027192"/>
    <w:rsid w:val="000304F4"/>
    <w:rsid w:val="000331EF"/>
    <w:rsid w:val="00037DA9"/>
    <w:rsid w:val="00047D9E"/>
    <w:rsid w:val="00051FA2"/>
    <w:rsid w:val="00055099"/>
    <w:rsid w:val="00061152"/>
    <w:rsid w:val="00063BD8"/>
    <w:rsid w:val="00065B38"/>
    <w:rsid w:val="0007258D"/>
    <w:rsid w:val="00072D8C"/>
    <w:rsid w:val="00075186"/>
    <w:rsid w:val="0007542D"/>
    <w:rsid w:val="00077BAC"/>
    <w:rsid w:val="0008045E"/>
    <w:rsid w:val="00082A2F"/>
    <w:rsid w:val="0008544D"/>
    <w:rsid w:val="000975E8"/>
    <w:rsid w:val="000A2872"/>
    <w:rsid w:val="000A2FAE"/>
    <w:rsid w:val="000A4574"/>
    <w:rsid w:val="000A5312"/>
    <w:rsid w:val="000A6CB0"/>
    <w:rsid w:val="000A7895"/>
    <w:rsid w:val="000B3C60"/>
    <w:rsid w:val="000C0B2F"/>
    <w:rsid w:val="000C22BE"/>
    <w:rsid w:val="000C7249"/>
    <w:rsid w:val="000E774A"/>
    <w:rsid w:val="000F565E"/>
    <w:rsid w:val="00102B16"/>
    <w:rsid w:val="001048A3"/>
    <w:rsid w:val="00107F62"/>
    <w:rsid w:val="00111FB4"/>
    <w:rsid w:val="0011689C"/>
    <w:rsid w:val="00124298"/>
    <w:rsid w:val="00133AC4"/>
    <w:rsid w:val="00133FCE"/>
    <w:rsid w:val="001420F7"/>
    <w:rsid w:val="00143192"/>
    <w:rsid w:val="00143B55"/>
    <w:rsid w:val="00144083"/>
    <w:rsid w:val="001460F3"/>
    <w:rsid w:val="001540C6"/>
    <w:rsid w:val="001554BD"/>
    <w:rsid w:val="0016780F"/>
    <w:rsid w:val="00167DB6"/>
    <w:rsid w:val="00172489"/>
    <w:rsid w:val="00177CDC"/>
    <w:rsid w:val="0018039C"/>
    <w:rsid w:val="00184103"/>
    <w:rsid w:val="001848D7"/>
    <w:rsid w:val="00187E89"/>
    <w:rsid w:val="001A0715"/>
    <w:rsid w:val="001A088D"/>
    <w:rsid w:val="001A32FB"/>
    <w:rsid w:val="001A43A1"/>
    <w:rsid w:val="001A6C8B"/>
    <w:rsid w:val="001B2F65"/>
    <w:rsid w:val="001B543F"/>
    <w:rsid w:val="001B7241"/>
    <w:rsid w:val="001C1061"/>
    <w:rsid w:val="001D3211"/>
    <w:rsid w:val="001D34F6"/>
    <w:rsid w:val="001D3A57"/>
    <w:rsid w:val="001E2756"/>
    <w:rsid w:val="001E3F9B"/>
    <w:rsid w:val="001E441C"/>
    <w:rsid w:val="001E6003"/>
    <w:rsid w:val="001F2F5C"/>
    <w:rsid w:val="002018B2"/>
    <w:rsid w:val="00203636"/>
    <w:rsid w:val="00210DA0"/>
    <w:rsid w:val="00211AC0"/>
    <w:rsid w:val="00215D65"/>
    <w:rsid w:val="0022257B"/>
    <w:rsid w:val="002236CF"/>
    <w:rsid w:val="00223C09"/>
    <w:rsid w:val="0022474B"/>
    <w:rsid w:val="00224FA2"/>
    <w:rsid w:val="00226DE6"/>
    <w:rsid w:val="0023600A"/>
    <w:rsid w:val="00237E91"/>
    <w:rsid w:val="00243AD2"/>
    <w:rsid w:val="0024537F"/>
    <w:rsid w:val="00254DFD"/>
    <w:rsid w:val="00267D59"/>
    <w:rsid w:val="00267FDB"/>
    <w:rsid w:val="00274E30"/>
    <w:rsid w:val="002773E4"/>
    <w:rsid w:val="0028004F"/>
    <w:rsid w:val="002835EC"/>
    <w:rsid w:val="00283D59"/>
    <w:rsid w:val="002862F8"/>
    <w:rsid w:val="00292BEE"/>
    <w:rsid w:val="002A1773"/>
    <w:rsid w:val="002A25FB"/>
    <w:rsid w:val="002A2E01"/>
    <w:rsid w:val="002B5C9B"/>
    <w:rsid w:val="002C12ED"/>
    <w:rsid w:val="002C478D"/>
    <w:rsid w:val="002E0FC2"/>
    <w:rsid w:val="002F0FA4"/>
    <w:rsid w:val="002F27F4"/>
    <w:rsid w:val="002F3D5E"/>
    <w:rsid w:val="002F5BC4"/>
    <w:rsid w:val="002F6E06"/>
    <w:rsid w:val="002F7B4C"/>
    <w:rsid w:val="00301975"/>
    <w:rsid w:val="00302D35"/>
    <w:rsid w:val="003043F8"/>
    <w:rsid w:val="00312E08"/>
    <w:rsid w:val="00321E5E"/>
    <w:rsid w:val="00323AE1"/>
    <w:rsid w:val="00327D39"/>
    <w:rsid w:val="00332DCA"/>
    <w:rsid w:val="00333041"/>
    <w:rsid w:val="00333A3C"/>
    <w:rsid w:val="00340E0C"/>
    <w:rsid w:val="003425E7"/>
    <w:rsid w:val="003473C3"/>
    <w:rsid w:val="003518A5"/>
    <w:rsid w:val="00355DB0"/>
    <w:rsid w:val="00356B90"/>
    <w:rsid w:val="00364090"/>
    <w:rsid w:val="00364530"/>
    <w:rsid w:val="00367442"/>
    <w:rsid w:val="003744C8"/>
    <w:rsid w:val="0037664D"/>
    <w:rsid w:val="0037773B"/>
    <w:rsid w:val="00380862"/>
    <w:rsid w:val="00380A54"/>
    <w:rsid w:val="00380A69"/>
    <w:rsid w:val="00382DE4"/>
    <w:rsid w:val="00391127"/>
    <w:rsid w:val="003A5E3F"/>
    <w:rsid w:val="003B74D9"/>
    <w:rsid w:val="003C748D"/>
    <w:rsid w:val="003D2BFE"/>
    <w:rsid w:val="003D337E"/>
    <w:rsid w:val="003E04D9"/>
    <w:rsid w:val="003E64F6"/>
    <w:rsid w:val="003F2C11"/>
    <w:rsid w:val="003F5A48"/>
    <w:rsid w:val="003F6B71"/>
    <w:rsid w:val="00402CDE"/>
    <w:rsid w:val="004110A7"/>
    <w:rsid w:val="004120A0"/>
    <w:rsid w:val="004146D5"/>
    <w:rsid w:val="00414CCC"/>
    <w:rsid w:val="00416115"/>
    <w:rsid w:val="0041615D"/>
    <w:rsid w:val="004175DD"/>
    <w:rsid w:val="0043384C"/>
    <w:rsid w:val="00434A51"/>
    <w:rsid w:val="00450CBE"/>
    <w:rsid w:val="00464168"/>
    <w:rsid w:val="004679F6"/>
    <w:rsid w:val="004857A0"/>
    <w:rsid w:val="00486A9B"/>
    <w:rsid w:val="00487759"/>
    <w:rsid w:val="0049094D"/>
    <w:rsid w:val="00494626"/>
    <w:rsid w:val="004A10CC"/>
    <w:rsid w:val="004A2028"/>
    <w:rsid w:val="004A7365"/>
    <w:rsid w:val="004C4342"/>
    <w:rsid w:val="004C6384"/>
    <w:rsid w:val="004D01BF"/>
    <w:rsid w:val="004D71FA"/>
    <w:rsid w:val="004E3E0D"/>
    <w:rsid w:val="004E4CFB"/>
    <w:rsid w:val="004E5E50"/>
    <w:rsid w:val="004E6D65"/>
    <w:rsid w:val="004F1188"/>
    <w:rsid w:val="004F2FD9"/>
    <w:rsid w:val="00505A0D"/>
    <w:rsid w:val="00522265"/>
    <w:rsid w:val="00522E8A"/>
    <w:rsid w:val="00524585"/>
    <w:rsid w:val="00527E9E"/>
    <w:rsid w:val="005343EF"/>
    <w:rsid w:val="00534B29"/>
    <w:rsid w:val="00537919"/>
    <w:rsid w:val="005437D6"/>
    <w:rsid w:val="00552A5F"/>
    <w:rsid w:val="005574DC"/>
    <w:rsid w:val="00557CCB"/>
    <w:rsid w:val="00562227"/>
    <w:rsid w:val="005629E6"/>
    <w:rsid w:val="0056406C"/>
    <w:rsid w:val="005706F5"/>
    <w:rsid w:val="0057075F"/>
    <w:rsid w:val="00571EA7"/>
    <w:rsid w:val="00577B0C"/>
    <w:rsid w:val="005821C8"/>
    <w:rsid w:val="00582F61"/>
    <w:rsid w:val="00591850"/>
    <w:rsid w:val="005A10CB"/>
    <w:rsid w:val="005A51BC"/>
    <w:rsid w:val="005A79D0"/>
    <w:rsid w:val="005B2D1E"/>
    <w:rsid w:val="005B511E"/>
    <w:rsid w:val="005B6292"/>
    <w:rsid w:val="005C18A6"/>
    <w:rsid w:val="005D5378"/>
    <w:rsid w:val="005D625E"/>
    <w:rsid w:val="005D7A0A"/>
    <w:rsid w:val="005E22AE"/>
    <w:rsid w:val="005E70BC"/>
    <w:rsid w:val="005E74D7"/>
    <w:rsid w:val="005F0BFC"/>
    <w:rsid w:val="005F1C56"/>
    <w:rsid w:val="005F7D44"/>
    <w:rsid w:val="00604B59"/>
    <w:rsid w:val="00604C52"/>
    <w:rsid w:val="0062094F"/>
    <w:rsid w:val="006222E5"/>
    <w:rsid w:val="00622FAD"/>
    <w:rsid w:val="00627686"/>
    <w:rsid w:val="00627961"/>
    <w:rsid w:val="00627E27"/>
    <w:rsid w:val="006339DB"/>
    <w:rsid w:val="006350BF"/>
    <w:rsid w:val="0063525C"/>
    <w:rsid w:val="00644832"/>
    <w:rsid w:val="00645E6E"/>
    <w:rsid w:val="0064714B"/>
    <w:rsid w:val="0064780E"/>
    <w:rsid w:val="00652E69"/>
    <w:rsid w:val="00661519"/>
    <w:rsid w:val="006640A1"/>
    <w:rsid w:val="00665F7E"/>
    <w:rsid w:val="00675E47"/>
    <w:rsid w:val="00687185"/>
    <w:rsid w:val="006A514F"/>
    <w:rsid w:val="006A521F"/>
    <w:rsid w:val="006C264B"/>
    <w:rsid w:val="006C72F8"/>
    <w:rsid w:val="006D470C"/>
    <w:rsid w:val="006E7867"/>
    <w:rsid w:val="006F550E"/>
    <w:rsid w:val="006F72CE"/>
    <w:rsid w:val="006F7DE4"/>
    <w:rsid w:val="007068A0"/>
    <w:rsid w:val="00707164"/>
    <w:rsid w:val="007163D6"/>
    <w:rsid w:val="007268A2"/>
    <w:rsid w:val="00735FBE"/>
    <w:rsid w:val="00736BF9"/>
    <w:rsid w:val="00736E8C"/>
    <w:rsid w:val="007409F4"/>
    <w:rsid w:val="00757007"/>
    <w:rsid w:val="00757D49"/>
    <w:rsid w:val="00765C9E"/>
    <w:rsid w:val="00770214"/>
    <w:rsid w:val="00775838"/>
    <w:rsid w:val="00775BC7"/>
    <w:rsid w:val="007810BD"/>
    <w:rsid w:val="00781E02"/>
    <w:rsid w:val="00782ED1"/>
    <w:rsid w:val="00787594"/>
    <w:rsid w:val="0079357E"/>
    <w:rsid w:val="007958C6"/>
    <w:rsid w:val="007A01B8"/>
    <w:rsid w:val="007A0210"/>
    <w:rsid w:val="007A17B4"/>
    <w:rsid w:val="007A278F"/>
    <w:rsid w:val="007A7E95"/>
    <w:rsid w:val="007B1C43"/>
    <w:rsid w:val="007B46EC"/>
    <w:rsid w:val="007C18E8"/>
    <w:rsid w:val="007C3DE3"/>
    <w:rsid w:val="007C7FAF"/>
    <w:rsid w:val="007D0211"/>
    <w:rsid w:val="007D1947"/>
    <w:rsid w:val="007D23E6"/>
    <w:rsid w:val="007D3148"/>
    <w:rsid w:val="007D47E1"/>
    <w:rsid w:val="007E0151"/>
    <w:rsid w:val="007E1B30"/>
    <w:rsid w:val="007F139D"/>
    <w:rsid w:val="008034D2"/>
    <w:rsid w:val="00805D48"/>
    <w:rsid w:val="008139B9"/>
    <w:rsid w:val="00817EC2"/>
    <w:rsid w:val="00822480"/>
    <w:rsid w:val="00824F71"/>
    <w:rsid w:val="0082542E"/>
    <w:rsid w:val="008310CE"/>
    <w:rsid w:val="00832A86"/>
    <w:rsid w:val="0083455D"/>
    <w:rsid w:val="00841696"/>
    <w:rsid w:val="00841A62"/>
    <w:rsid w:val="008423EA"/>
    <w:rsid w:val="00850860"/>
    <w:rsid w:val="00852B2C"/>
    <w:rsid w:val="00853A58"/>
    <w:rsid w:val="00857AFC"/>
    <w:rsid w:val="0086635C"/>
    <w:rsid w:val="00870B80"/>
    <w:rsid w:val="008719BF"/>
    <w:rsid w:val="00876685"/>
    <w:rsid w:val="0088214D"/>
    <w:rsid w:val="00885591"/>
    <w:rsid w:val="0089209F"/>
    <w:rsid w:val="008A40AC"/>
    <w:rsid w:val="008A606A"/>
    <w:rsid w:val="008A6BA3"/>
    <w:rsid w:val="008B08B0"/>
    <w:rsid w:val="008B1CDE"/>
    <w:rsid w:val="008B5CC7"/>
    <w:rsid w:val="008C1691"/>
    <w:rsid w:val="008C175F"/>
    <w:rsid w:val="008C1ADD"/>
    <w:rsid w:val="008C61BA"/>
    <w:rsid w:val="008D0A36"/>
    <w:rsid w:val="008D3EBA"/>
    <w:rsid w:val="008D4EB7"/>
    <w:rsid w:val="008D74D1"/>
    <w:rsid w:val="008D76B1"/>
    <w:rsid w:val="008E1E16"/>
    <w:rsid w:val="0090009C"/>
    <w:rsid w:val="00901F57"/>
    <w:rsid w:val="00903D77"/>
    <w:rsid w:val="00904552"/>
    <w:rsid w:val="0090597C"/>
    <w:rsid w:val="00905ACC"/>
    <w:rsid w:val="0090716E"/>
    <w:rsid w:val="00911B70"/>
    <w:rsid w:val="0091616B"/>
    <w:rsid w:val="009202B6"/>
    <w:rsid w:val="009206B2"/>
    <w:rsid w:val="00920ECF"/>
    <w:rsid w:val="009237BD"/>
    <w:rsid w:val="00924B1C"/>
    <w:rsid w:val="00926266"/>
    <w:rsid w:val="00931013"/>
    <w:rsid w:val="00931786"/>
    <w:rsid w:val="00933943"/>
    <w:rsid w:val="0093539C"/>
    <w:rsid w:val="0093549E"/>
    <w:rsid w:val="00937CFB"/>
    <w:rsid w:val="00943D20"/>
    <w:rsid w:val="009462C2"/>
    <w:rsid w:val="009505D6"/>
    <w:rsid w:val="009653AB"/>
    <w:rsid w:val="00981445"/>
    <w:rsid w:val="00982160"/>
    <w:rsid w:val="00985D40"/>
    <w:rsid w:val="00986FEA"/>
    <w:rsid w:val="0099095D"/>
    <w:rsid w:val="00992D97"/>
    <w:rsid w:val="0099535B"/>
    <w:rsid w:val="009957E4"/>
    <w:rsid w:val="0099628A"/>
    <w:rsid w:val="009A0222"/>
    <w:rsid w:val="009A63CA"/>
    <w:rsid w:val="009A718D"/>
    <w:rsid w:val="009B216D"/>
    <w:rsid w:val="009B28F5"/>
    <w:rsid w:val="009B4AB5"/>
    <w:rsid w:val="009B6DF0"/>
    <w:rsid w:val="009C2CB3"/>
    <w:rsid w:val="009C5385"/>
    <w:rsid w:val="009C6358"/>
    <w:rsid w:val="009C75F8"/>
    <w:rsid w:val="009E033D"/>
    <w:rsid w:val="00A005B1"/>
    <w:rsid w:val="00A17F4F"/>
    <w:rsid w:val="00A23056"/>
    <w:rsid w:val="00A24ED5"/>
    <w:rsid w:val="00A26511"/>
    <w:rsid w:val="00A27C77"/>
    <w:rsid w:val="00A302C9"/>
    <w:rsid w:val="00A36516"/>
    <w:rsid w:val="00A4101A"/>
    <w:rsid w:val="00A425FB"/>
    <w:rsid w:val="00A50EFE"/>
    <w:rsid w:val="00A5386C"/>
    <w:rsid w:val="00A603D9"/>
    <w:rsid w:val="00A6459D"/>
    <w:rsid w:val="00A649FE"/>
    <w:rsid w:val="00A675F0"/>
    <w:rsid w:val="00A75DA6"/>
    <w:rsid w:val="00A93B2B"/>
    <w:rsid w:val="00A95D36"/>
    <w:rsid w:val="00AC32E5"/>
    <w:rsid w:val="00AD136D"/>
    <w:rsid w:val="00AD4202"/>
    <w:rsid w:val="00AE5385"/>
    <w:rsid w:val="00AE6D17"/>
    <w:rsid w:val="00B00803"/>
    <w:rsid w:val="00B11957"/>
    <w:rsid w:val="00B12605"/>
    <w:rsid w:val="00B15B7C"/>
    <w:rsid w:val="00B23686"/>
    <w:rsid w:val="00B41A64"/>
    <w:rsid w:val="00B431EA"/>
    <w:rsid w:val="00B52CBC"/>
    <w:rsid w:val="00B530E9"/>
    <w:rsid w:val="00B53E2E"/>
    <w:rsid w:val="00B54994"/>
    <w:rsid w:val="00B61252"/>
    <w:rsid w:val="00B626D4"/>
    <w:rsid w:val="00B653AE"/>
    <w:rsid w:val="00B65AB8"/>
    <w:rsid w:val="00B66AFE"/>
    <w:rsid w:val="00B72588"/>
    <w:rsid w:val="00B72C09"/>
    <w:rsid w:val="00B731C8"/>
    <w:rsid w:val="00B744AF"/>
    <w:rsid w:val="00B838AA"/>
    <w:rsid w:val="00B84727"/>
    <w:rsid w:val="00B9057E"/>
    <w:rsid w:val="00B91B81"/>
    <w:rsid w:val="00B93BEC"/>
    <w:rsid w:val="00B94B46"/>
    <w:rsid w:val="00B97403"/>
    <w:rsid w:val="00BA1BCD"/>
    <w:rsid w:val="00BA35C5"/>
    <w:rsid w:val="00BA5A54"/>
    <w:rsid w:val="00BA7CE1"/>
    <w:rsid w:val="00BB329A"/>
    <w:rsid w:val="00BB373C"/>
    <w:rsid w:val="00BB63C8"/>
    <w:rsid w:val="00BC6C32"/>
    <w:rsid w:val="00BE76E3"/>
    <w:rsid w:val="00BF5397"/>
    <w:rsid w:val="00BF642A"/>
    <w:rsid w:val="00BF7AC4"/>
    <w:rsid w:val="00C026E5"/>
    <w:rsid w:val="00C05D17"/>
    <w:rsid w:val="00C06EF4"/>
    <w:rsid w:val="00C10144"/>
    <w:rsid w:val="00C1292B"/>
    <w:rsid w:val="00C16ED0"/>
    <w:rsid w:val="00C22B28"/>
    <w:rsid w:val="00C3007D"/>
    <w:rsid w:val="00C30D3C"/>
    <w:rsid w:val="00C401DB"/>
    <w:rsid w:val="00C42C30"/>
    <w:rsid w:val="00C437A5"/>
    <w:rsid w:val="00C4731D"/>
    <w:rsid w:val="00C54BAC"/>
    <w:rsid w:val="00C572BB"/>
    <w:rsid w:val="00C658EE"/>
    <w:rsid w:val="00C66072"/>
    <w:rsid w:val="00C6654F"/>
    <w:rsid w:val="00C70A18"/>
    <w:rsid w:val="00C7142C"/>
    <w:rsid w:val="00C84246"/>
    <w:rsid w:val="00CA132A"/>
    <w:rsid w:val="00CA3AE9"/>
    <w:rsid w:val="00CA7159"/>
    <w:rsid w:val="00CB2104"/>
    <w:rsid w:val="00CB3914"/>
    <w:rsid w:val="00CB61D5"/>
    <w:rsid w:val="00CB6744"/>
    <w:rsid w:val="00CC07EC"/>
    <w:rsid w:val="00CC3137"/>
    <w:rsid w:val="00CC440A"/>
    <w:rsid w:val="00CC5645"/>
    <w:rsid w:val="00CD3962"/>
    <w:rsid w:val="00CD4090"/>
    <w:rsid w:val="00CD6C66"/>
    <w:rsid w:val="00CF255C"/>
    <w:rsid w:val="00CF3DAA"/>
    <w:rsid w:val="00D0245A"/>
    <w:rsid w:val="00D032EA"/>
    <w:rsid w:val="00D1520D"/>
    <w:rsid w:val="00D15828"/>
    <w:rsid w:val="00D1619F"/>
    <w:rsid w:val="00D16C6A"/>
    <w:rsid w:val="00D2063A"/>
    <w:rsid w:val="00D30563"/>
    <w:rsid w:val="00D349BA"/>
    <w:rsid w:val="00D35AEE"/>
    <w:rsid w:val="00D37817"/>
    <w:rsid w:val="00D419C5"/>
    <w:rsid w:val="00D41C84"/>
    <w:rsid w:val="00D53451"/>
    <w:rsid w:val="00D53718"/>
    <w:rsid w:val="00D5568B"/>
    <w:rsid w:val="00D57EE7"/>
    <w:rsid w:val="00D63E36"/>
    <w:rsid w:val="00D72176"/>
    <w:rsid w:val="00D85EBB"/>
    <w:rsid w:val="00D86646"/>
    <w:rsid w:val="00D970AD"/>
    <w:rsid w:val="00DA481B"/>
    <w:rsid w:val="00DA7588"/>
    <w:rsid w:val="00DB16ED"/>
    <w:rsid w:val="00DB21AA"/>
    <w:rsid w:val="00DB2696"/>
    <w:rsid w:val="00DD5218"/>
    <w:rsid w:val="00DE491E"/>
    <w:rsid w:val="00DF119D"/>
    <w:rsid w:val="00DF22F6"/>
    <w:rsid w:val="00DF6070"/>
    <w:rsid w:val="00E01FF4"/>
    <w:rsid w:val="00E02789"/>
    <w:rsid w:val="00E04698"/>
    <w:rsid w:val="00E1478A"/>
    <w:rsid w:val="00E20C90"/>
    <w:rsid w:val="00E26E63"/>
    <w:rsid w:val="00E32AE5"/>
    <w:rsid w:val="00E437F3"/>
    <w:rsid w:val="00E447B7"/>
    <w:rsid w:val="00E50826"/>
    <w:rsid w:val="00E65C19"/>
    <w:rsid w:val="00E70D50"/>
    <w:rsid w:val="00E80ED9"/>
    <w:rsid w:val="00E83875"/>
    <w:rsid w:val="00E83FCB"/>
    <w:rsid w:val="00E90157"/>
    <w:rsid w:val="00E92411"/>
    <w:rsid w:val="00EB231E"/>
    <w:rsid w:val="00EB31A1"/>
    <w:rsid w:val="00EB5287"/>
    <w:rsid w:val="00EB726E"/>
    <w:rsid w:val="00ED06B6"/>
    <w:rsid w:val="00ED180A"/>
    <w:rsid w:val="00ED1F8C"/>
    <w:rsid w:val="00EE4831"/>
    <w:rsid w:val="00EE56BE"/>
    <w:rsid w:val="00EF4C7F"/>
    <w:rsid w:val="00F0414F"/>
    <w:rsid w:val="00F04D67"/>
    <w:rsid w:val="00F06CAD"/>
    <w:rsid w:val="00F06F6B"/>
    <w:rsid w:val="00F100B1"/>
    <w:rsid w:val="00F10CE1"/>
    <w:rsid w:val="00F25BEA"/>
    <w:rsid w:val="00F26CE0"/>
    <w:rsid w:val="00F30826"/>
    <w:rsid w:val="00F3790C"/>
    <w:rsid w:val="00F4049A"/>
    <w:rsid w:val="00F4240B"/>
    <w:rsid w:val="00F439C8"/>
    <w:rsid w:val="00F43A05"/>
    <w:rsid w:val="00F4650E"/>
    <w:rsid w:val="00F465AC"/>
    <w:rsid w:val="00F503D2"/>
    <w:rsid w:val="00F506C1"/>
    <w:rsid w:val="00F53091"/>
    <w:rsid w:val="00F63268"/>
    <w:rsid w:val="00F64045"/>
    <w:rsid w:val="00F6666B"/>
    <w:rsid w:val="00F724C8"/>
    <w:rsid w:val="00F7284B"/>
    <w:rsid w:val="00F81F1C"/>
    <w:rsid w:val="00F833FD"/>
    <w:rsid w:val="00F92560"/>
    <w:rsid w:val="00F94A84"/>
    <w:rsid w:val="00FA271D"/>
    <w:rsid w:val="00FA7FC9"/>
    <w:rsid w:val="00FB07DE"/>
    <w:rsid w:val="00FC2CD2"/>
    <w:rsid w:val="00FC580B"/>
    <w:rsid w:val="00FD3B43"/>
    <w:rsid w:val="00FD675E"/>
    <w:rsid w:val="00FD6D33"/>
    <w:rsid w:val="00FE498E"/>
    <w:rsid w:val="00FF1C1A"/>
    <w:rsid w:val="00FF1FA7"/>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7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B0C"/>
    <w:rPr>
      <w:sz w:val="24"/>
      <w:szCs w:val="24"/>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abstractlabel">
    <w:name w:val="sub_abstract_label"/>
    <w:rsid w:val="00402CDE"/>
    <w:rPr>
      <w:b/>
      <w:bCs/>
      <w:sz w:val="24"/>
      <w:szCs w:val="24"/>
    </w:rPr>
  </w:style>
  <w:style w:type="table" w:styleId="TableGrid">
    <w:name w:val="Table Grid"/>
    <w:basedOn w:val="TableNormal"/>
    <w:uiPriority w:val="59"/>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Cite">
    <w:name w:val="HTML Cite"/>
    <w:rsid w:val="00C337D7"/>
    <w:rPr>
      <w:i/>
      <w:iCs/>
    </w:rPr>
  </w:style>
  <w:style w:type="character" w:customStyle="1" w:styleId="cit-vol1">
    <w:name w:val="cit-vol1"/>
    <w:rsid w:val="00C337D7"/>
    <w:rPr>
      <w:b w:val="0"/>
      <w:bCs w:val="0"/>
    </w:rPr>
  </w:style>
  <w:style w:type="character" w:customStyle="1" w:styleId="cit-title1">
    <w:name w:val="cit-title1"/>
    <w:basedOn w:val="DefaultParagraphFont"/>
    <w:rsid w:val="00C337D7"/>
  </w:style>
  <w:style w:type="character" w:customStyle="1" w:styleId="cit-authcit-auth-type-author">
    <w:name w:val="cit-auth cit-auth-type-author"/>
    <w:basedOn w:val="DefaultParagraphFont"/>
    <w:rsid w:val="00C337D7"/>
  </w:style>
  <w:style w:type="character" w:customStyle="1" w:styleId="cit-sepcit-sep-separator">
    <w:name w:val="cit-sep cit-sep-separator"/>
    <w:basedOn w:val="DefaultParagraphFont"/>
    <w:rsid w:val="00C337D7"/>
  </w:style>
  <w:style w:type="character" w:customStyle="1" w:styleId="cit-print-date">
    <w:name w:val="cit-print-date"/>
    <w:basedOn w:val="DefaultParagraphFont"/>
    <w:rsid w:val="00C337D7"/>
  </w:style>
  <w:style w:type="character" w:customStyle="1" w:styleId="cit-sepcit-sep-after-article-print-date">
    <w:name w:val="cit-sep cit-sep-after-article-print-date"/>
    <w:basedOn w:val="DefaultParagraphFont"/>
    <w:rsid w:val="00C337D7"/>
  </w:style>
  <w:style w:type="character" w:customStyle="1" w:styleId="cit-sepcit-sep-after-article-vol">
    <w:name w:val="cit-sep cit-sep-after-article-vol"/>
    <w:basedOn w:val="DefaultParagraphFont"/>
    <w:rsid w:val="00C337D7"/>
  </w:style>
  <w:style w:type="character" w:customStyle="1" w:styleId="cit-first-page">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qFormat/>
    <w:rsid w:val="00BC6052"/>
    <w:rPr>
      <w:i/>
      <w:iCs/>
    </w:rPr>
  </w:style>
  <w:style w:type="paragraph" w:customStyle="1" w:styleId="ColorfulList-Accent11">
    <w:name w:val="Colorful List - Accent 11"/>
    <w:basedOn w:val="Normal"/>
    <w:qFormat/>
    <w:rsid w:val="001D47FB"/>
    <w:pPr>
      <w:ind w:left="720"/>
      <w:contextualSpacing/>
    </w:pPr>
    <w:rPr>
      <w:lang w:val="en-GB"/>
    </w:rPr>
  </w:style>
  <w:style w:type="character" w:customStyle="1" w:styleId="Heading1Char">
    <w:name w:val="Heading 1 Char"/>
    <w:link w:val="Heading1"/>
    <w:uiPriority w:val="9"/>
    <w:rsid w:val="00815E0C"/>
    <w:rPr>
      <w:b/>
      <w:bCs/>
      <w:kern w:val="36"/>
      <w:sz w:val="36"/>
      <w:szCs w:val="36"/>
    </w:rPr>
  </w:style>
  <w:style w:type="character" w:customStyle="1" w:styleId="Heading3Char">
    <w:name w:val="Heading 3 Char"/>
    <w:link w:val="Heading3"/>
    <w:uiPriority w:val="9"/>
    <w:rsid w:val="00815E0C"/>
    <w:rPr>
      <w:b/>
      <w:bCs/>
      <w:sz w:val="34"/>
      <w:szCs w:val="34"/>
    </w:rPr>
  </w:style>
  <w:style w:type="character" w:customStyle="1" w:styleId="Heading4Char">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customStyle="1" w:styleId="HeaderChar">
    <w:name w:val="Header Char"/>
    <w:link w:val="Header"/>
    <w:uiPriority w:val="99"/>
    <w:rsid w:val="00042FF2"/>
    <w:rPr>
      <w:sz w:val="24"/>
      <w:szCs w:val="24"/>
    </w:rPr>
  </w:style>
  <w:style w:type="paragraph" w:styleId="Footer">
    <w:name w:val="footer"/>
    <w:basedOn w:val="Normal"/>
    <w:link w:val="FooterChar"/>
    <w:rsid w:val="00042FF2"/>
    <w:pPr>
      <w:tabs>
        <w:tab w:val="center" w:pos="4536"/>
        <w:tab w:val="right" w:pos="9072"/>
      </w:tabs>
    </w:pPr>
  </w:style>
  <w:style w:type="character" w:customStyle="1" w:styleId="FooterChar">
    <w:name w:val="Footer Char"/>
    <w:link w:val="Footer"/>
    <w:rsid w:val="00042FF2"/>
    <w:rPr>
      <w:sz w:val="24"/>
      <w:szCs w:val="24"/>
    </w:rPr>
  </w:style>
  <w:style w:type="paragraph" w:styleId="BalloonText">
    <w:name w:val="Balloon Text"/>
    <w:basedOn w:val="Normal"/>
    <w:link w:val="BalloonTextChar"/>
    <w:rsid w:val="00042FF2"/>
    <w:rPr>
      <w:rFonts w:ascii="Tahoma" w:hAnsi="Tahoma"/>
      <w:sz w:val="16"/>
      <w:szCs w:val="16"/>
    </w:rPr>
  </w:style>
  <w:style w:type="character" w:customStyle="1" w:styleId="BalloonTextChar">
    <w:name w:val="Balloon Text Char"/>
    <w:link w:val="BalloonText"/>
    <w:rsid w:val="00042FF2"/>
    <w:rPr>
      <w:rFonts w:ascii="Tahoma" w:hAnsi="Tahoma" w:cs="Tahoma"/>
      <w:sz w:val="16"/>
      <w:szCs w:val="16"/>
    </w:rPr>
  </w:style>
  <w:style w:type="character" w:customStyle="1" w:styleId="highlight">
    <w:name w:val="highlight"/>
    <w:basedOn w:val="DefaultParagraphFont"/>
    <w:rsid w:val="0056177C"/>
  </w:style>
  <w:style w:type="character" w:customStyle="1" w:styleId="maintitle">
    <w:name w:val="maintitle"/>
    <w:basedOn w:val="DefaultParagraphFont"/>
    <w:rsid w:val="00D336F6"/>
  </w:style>
  <w:style w:type="paragraph" w:customStyle="1" w:styleId="Default">
    <w:name w:val="Default"/>
    <w:rsid w:val="00057D30"/>
    <w:pPr>
      <w:widowControl w:val="0"/>
      <w:autoSpaceDE w:val="0"/>
      <w:autoSpaceDN w:val="0"/>
      <w:adjustRightInd w:val="0"/>
    </w:pPr>
    <w:rPr>
      <w:rFonts w:ascii="Calibri" w:hAnsi="Calibri" w:cs="Calibri"/>
      <w:color w:val="000000"/>
      <w:sz w:val="24"/>
      <w:szCs w:val="24"/>
      <w:lang w:val="en-US" w:eastAsia="en-US"/>
    </w:rPr>
  </w:style>
  <w:style w:type="paragraph" w:customStyle="1" w:styleId="Pa3">
    <w:name w:val="Pa3"/>
    <w:basedOn w:val="Default"/>
    <w:next w:val="Default"/>
    <w:uiPriority w:val="99"/>
    <w:rsid w:val="00057D30"/>
    <w:pPr>
      <w:spacing w:line="181" w:lineRule="atLeast"/>
    </w:pPr>
    <w:rPr>
      <w:rFonts w:ascii="Trade Gothic LT Std" w:hAnsi="Trade Gothic LT Std" w:cs="Times New Roman"/>
      <w:color w:val="auto"/>
    </w:rPr>
  </w:style>
  <w:style w:type="paragraph" w:customStyle="1" w:styleId="Pa15">
    <w:name w:val="Pa15"/>
    <w:basedOn w:val="Default"/>
    <w:next w:val="Default"/>
    <w:uiPriority w:val="99"/>
    <w:rsid w:val="00057D30"/>
    <w:pPr>
      <w:spacing w:line="181" w:lineRule="atLeast"/>
    </w:pPr>
    <w:rPr>
      <w:rFonts w:ascii="Trade Gothic LT Std" w:hAnsi="Trade Gothic LT Std" w:cs="Times New Roman"/>
      <w:color w:val="auto"/>
    </w:rPr>
  </w:style>
  <w:style w:type="paragraph" w:customStyle="1" w:styleId="Pa17">
    <w:name w:val="Pa17"/>
    <w:basedOn w:val="Default"/>
    <w:next w:val="Default"/>
    <w:uiPriority w:val="99"/>
    <w:rsid w:val="00057D30"/>
    <w:pPr>
      <w:spacing w:line="191" w:lineRule="atLeast"/>
    </w:pPr>
    <w:rPr>
      <w:rFonts w:ascii="Trade Gothic LT Std" w:hAnsi="Trade Gothic LT Std" w:cs="Times New Roman"/>
      <w:color w:val="auto"/>
    </w:rPr>
  </w:style>
  <w:style w:type="paragraph" w:customStyle="1" w:styleId="Pa18">
    <w:name w:val="Pa18"/>
    <w:basedOn w:val="Default"/>
    <w:next w:val="Default"/>
    <w:uiPriority w:val="99"/>
    <w:rsid w:val="00057D30"/>
    <w:pPr>
      <w:spacing w:line="181" w:lineRule="atLeast"/>
    </w:pPr>
    <w:rPr>
      <w:rFonts w:ascii="Trade Gothic LT Std" w:hAnsi="Trade Gothic LT Std" w:cs="Times New Roman"/>
      <w:color w:val="auto"/>
    </w:rPr>
  </w:style>
  <w:style w:type="character" w:customStyle="1" w:styleId="abstract0">
    <w:name w:val="abstract 0"/>
    <w:basedOn w:val="DefaultParagraphFont"/>
    <w:rsid w:val="00AF0426"/>
  </w:style>
  <w:style w:type="character" w:customStyle="1" w:styleId="fthighlight">
    <w:name w:val="ft_highlight"/>
    <w:basedOn w:val="DefaultParagraphFont"/>
    <w:rsid w:val="00EA3E9D"/>
  </w:style>
  <w:style w:type="character" w:styleId="FollowedHyperlink">
    <w:name w:val="FollowedHyperlink"/>
    <w:basedOn w:val="DefaultParagraphFont"/>
    <w:rsid w:val="00E20BD7"/>
    <w:rPr>
      <w:color w:val="800080"/>
      <w:u w:val="single"/>
    </w:rPr>
  </w:style>
  <w:style w:type="paragraph" w:styleId="ListParagraph">
    <w:name w:val="List Paragraph"/>
    <w:basedOn w:val="Normal"/>
    <w:uiPriority w:val="99"/>
    <w:qFormat/>
    <w:rsid w:val="00552A5F"/>
    <w:pPr>
      <w:suppressAutoHyphens/>
      <w:spacing w:after="160" w:line="254" w:lineRule="auto"/>
      <w:ind w:left="720"/>
    </w:pPr>
    <w:rPr>
      <w:rFonts w:ascii="Calibri" w:eastAsiaTheme="minorEastAsia" w:hAnsi="Calibri" w:cs="Calibri"/>
      <w:color w:val="00000A"/>
      <w:sz w:val="22"/>
      <w:szCs w:val="22"/>
      <w:lang w:eastAsia="en-US"/>
    </w:rPr>
  </w:style>
  <w:style w:type="paragraph" w:styleId="NoSpacing">
    <w:name w:val="No Spacing"/>
    <w:qFormat/>
    <w:rsid w:val="00A425FB"/>
    <w:pPr>
      <w:jc w:val="both"/>
    </w:pPr>
    <w:rPr>
      <w:rFonts w:ascii="Verdana" w:hAnsi="Verdana"/>
      <w:color w:val="1A1718"/>
      <w:sz w:val="18"/>
      <w:szCs w:val="18"/>
      <w:lang w:val="en-US"/>
    </w:rPr>
  </w:style>
  <w:style w:type="character" w:styleId="PageNumber">
    <w:name w:val="page number"/>
    <w:basedOn w:val="DefaultParagraphFont"/>
    <w:rsid w:val="00757007"/>
  </w:style>
  <w:style w:type="character" w:customStyle="1" w:styleId="apple-converted-space">
    <w:name w:val="apple-converted-space"/>
    <w:basedOn w:val="DefaultParagraphFont"/>
    <w:rsid w:val="00EB5287"/>
  </w:style>
  <w:style w:type="character" w:customStyle="1" w:styleId="subtitle1">
    <w:name w:val="subtitle1"/>
    <w:basedOn w:val="DefaultParagraphFont"/>
    <w:rsid w:val="0008045E"/>
  </w:style>
  <w:style w:type="character" w:customStyle="1" w:styleId="flag">
    <w:name w:val="flag"/>
    <w:basedOn w:val="DefaultParagraphFont"/>
    <w:rsid w:val="0008045E"/>
  </w:style>
  <w:style w:type="character" w:customStyle="1" w:styleId="authornames">
    <w:name w:val="authornames"/>
    <w:basedOn w:val="DefaultParagraphFont"/>
    <w:rsid w:val="00080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B0C"/>
    <w:rPr>
      <w:sz w:val="24"/>
      <w:szCs w:val="24"/>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abstractlabel">
    <w:name w:val="sub_abstract_label"/>
    <w:rsid w:val="00402CDE"/>
    <w:rPr>
      <w:b/>
      <w:bCs/>
      <w:sz w:val="24"/>
      <w:szCs w:val="24"/>
    </w:rPr>
  </w:style>
  <w:style w:type="table" w:styleId="TableGrid">
    <w:name w:val="Table Grid"/>
    <w:basedOn w:val="TableNormal"/>
    <w:uiPriority w:val="59"/>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Cite">
    <w:name w:val="HTML Cite"/>
    <w:rsid w:val="00C337D7"/>
    <w:rPr>
      <w:i/>
      <w:iCs/>
    </w:rPr>
  </w:style>
  <w:style w:type="character" w:customStyle="1" w:styleId="cit-vol1">
    <w:name w:val="cit-vol1"/>
    <w:rsid w:val="00C337D7"/>
    <w:rPr>
      <w:b w:val="0"/>
      <w:bCs w:val="0"/>
    </w:rPr>
  </w:style>
  <w:style w:type="character" w:customStyle="1" w:styleId="cit-title1">
    <w:name w:val="cit-title1"/>
    <w:basedOn w:val="DefaultParagraphFont"/>
    <w:rsid w:val="00C337D7"/>
  </w:style>
  <w:style w:type="character" w:customStyle="1" w:styleId="cit-authcit-auth-type-author">
    <w:name w:val="cit-auth cit-auth-type-author"/>
    <w:basedOn w:val="DefaultParagraphFont"/>
    <w:rsid w:val="00C337D7"/>
  </w:style>
  <w:style w:type="character" w:customStyle="1" w:styleId="cit-sepcit-sep-separator">
    <w:name w:val="cit-sep cit-sep-separator"/>
    <w:basedOn w:val="DefaultParagraphFont"/>
    <w:rsid w:val="00C337D7"/>
  </w:style>
  <w:style w:type="character" w:customStyle="1" w:styleId="cit-print-date">
    <w:name w:val="cit-print-date"/>
    <w:basedOn w:val="DefaultParagraphFont"/>
    <w:rsid w:val="00C337D7"/>
  </w:style>
  <w:style w:type="character" w:customStyle="1" w:styleId="cit-sepcit-sep-after-article-print-date">
    <w:name w:val="cit-sep cit-sep-after-article-print-date"/>
    <w:basedOn w:val="DefaultParagraphFont"/>
    <w:rsid w:val="00C337D7"/>
  </w:style>
  <w:style w:type="character" w:customStyle="1" w:styleId="cit-sepcit-sep-after-article-vol">
    <w:name w:val="cit-sep cit-sep-after-article-vol"/>
    <w:basedOn w:val="DefaultParagraphFont"/>
    <w:rsid w:val="00C337D7"/>
  </w:style>
  <w:style w:type="character" w:customStyle="1" w:styleId="cit-first-page">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qFormat/>
    <w:rsid w:val="00BC6052"/>
    <w:rPr>
      <w:i/>
      <w:iCs/>
    </w:rPr>
  </w:style>
  <w:style w:type="paragraph" w:customStyle="1" w:styleId="ColorfulList-Accent11">
    <w:name w:val="Colorful List - Accent 11"/>
    <w:basedOn w:val="Normal"/>
    <w:qFormat/>
    <w:rsid w:val="001D47FB"/>
    <w:pPr>
      <w:ind w:left="720"/>
      <w:contextualSpacing/>
    </w:pPr>
    <w:rPr>
      <w:lang w:val="en-GB"/>
    </w:rPr>
  </w:style>
  <w:style w:type="character" w:customStyle="1" w:styleId="Heading1Char">
    <w:name w:val="Heading 1 Char"/>
    <w:link w:val="Heading1"/>
    <w:uiPriority w:val="9"/>
    <w:rsid w:val="00815E0C"/>
    <w:rPr>
      <w:b/>
      <w:bCs/>
      <w:kern w:val="36"/>
      <w:sz w:val="36"/>
      <w:szCs w:val="36"/>
    </w:rPr>
  </w:style>
  <w:style w:type="character" w:customStyle="1" w:styleId="Heading3Char">
    <w:name w:val="Heading 3 Char"/>
    <w:link w:val="Heading3"/>
    <w:uiPriority w:val="9"/>
    <w:rsid w:val="00815E0C"/>
    <w:rPr>
      <w:b/>
      <w:bCs/>
      <w:sz w:val="34"/>
      <w:szCs w:val="34"/>
    </w:rPr>
  </w:style>
  <w:style w:type="character" w:customStyle="1" w:styleId="Heading4Char">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customStyle="1" w:styleId="HeaderChar">
    <w:name w:val="Header Char"/>
    <w:link w:val="Header"/>
    <w:uiPriority w:val="99"/>
    <w:rsid w:val="00042FF2"/>
    <w:rPr>
      <w:sz w:val="24"/>
      <w:szCs w:val="24"/>
    </w:rPr>
  </w:style>
  <w:style w:type="paragraph" w:styleId="Footer">
    <w:name w:val="footer"/>
    <w:basedOn w:val="Normal"/>
    <w:link w:val="FooterChar"/>
    <w:rsid w:val="00042FF2"/>
    <w:pPr>
      <w:tabs>
        <w:tab w:val="center" w:pos="4536"/>
        <w:tab w:val="right" w:pos="9072"/>
      </w:tabs>
    </w:pPr>
  </w:style>
  <w:style w:type="character" w:customStyle="1" w:styleId="FooterChar">
    <w:name w:val="Footer Char"/>
    <w:link w:val="Footer"/>
    <w:rsid w:val="00042FF2"/>
    <w:rPr>
      <w:sz w:val="24"/>
      <w:szCs w:val="24"/>
    </w:rPr>
  </w:style>
  <w:style w:type="paragraph" w:styleId="BalloonText">
    <w:name w:val="Balloon Text"/>
    <w:basedOn w:val="Normal"/>
    <w:link w:val="BalloonTextChar"/>
    <w:rsid w:val="00042FF2"/>
    <w:rPr>
      <w:rFonts w:ascii="Tahoma" w:hAnsi="Tahoma"/>
      <w:sz w:val="16"/>
      <w:szCs w:val="16"/>
    </w:rPr>
  </w:style>
  <w:style w:type="character" w:customStyle="1" w:styleId="BalloonTextChar">
    <w:name w:val="Balloon Text Char"/>
    <w:link w:val="BalloonText"/>
    <w:rsid w:val="00042FF2"/>
    <w:rPr>
      <w:rFonts w:ascii="Tahoma" w:hAnsi="Tahoma" w:cs="Tahoma"/>
      <w:sz w:val="16"/>
      <w:szCs w:val="16"/>
    </w:rPr>
  </w:style>
  <w:style w:type="character" w:customStyle="1" w:styleId="highlight">
    <w:name w:val="highlight"/>
    <w:basedOn w:val="DefaultParagraphFont"/>
    <w:rsid w:val="0056177C"/>
  </w:style>
  <w:style w:type="character" w:customStyle="1" w:styleId="maintitle">
    <w:name w:val="maintitle"/>
    <w:basedOn w:val="DefaultParagraphFont"/>
    <w:rsid w:val="00D336F6"/>
  </w:style>
  <w:style w:type="paragraph" w:customStyle="1" w:styleId="Default">
    <w:name w:val="Default"/>
    <w:rsid w:val="00057D30"/>
    <w:pPr>
      <w:widowControl w:val="0"/>
      <w:autoSpaceDE w:val="0"/>
      <w:autoSpaceDN w:val="0"/>
      <w:adjustRightInd w:val="0"/>
    </w:pPr>
    <w:rPr>
      <w:rFonts w:ascii="Calibri" w:hAnsi="Calibri" w:cs="Calibri"/>
      <w:color w:val="000000"/>
      <w:sz w:val="24"/>
      <w:szCs w:val="24"/>
      <w:lang w:val="en-US" w:eastAsia="en-US"/>
    </w:rPr>
  </w:style>
  <w:style w:type="paragraph" w:customStyle="1" w:styleId="Pa3">
    <w:name w:val="Pa3"/>
    <w:basedOn w:val="Default"/>
    <w:next w:val="Default"/>
    <w:uiPriority w:val="99"/>
    <w:rsid w:val="00057D30"/>
    <w:pPr>
      <w:spacing w:line="181" w:lineRule="atLeast"/>
    </w:pPr>
    <w:rPr>
      <w:rFonts w:ascii="Trade Gothic LT Std" w:hAnsi="Trade Gothic LT Std" w:cs="Times New Roman"/>
      <w:color w:val="auto"/>
    </w:rPr>
  </w:style>
  <w:style w:type="paragraph" w:customStyle="1" w:styleId="Pa15">
    <w:name w:val="Pa15"/>
    <w:basedOn w:val="Default"/>
    <w:next w:val="Default"/>
    <w:uiPriority w:val="99"/>
    <w:rsid w:val="00057D30"/>
    <w:pPr>
      <w:spacing w:line="181" w:lineRule="atLeast"/>
    </w:pPr>
    <w:rPr>
      <w:rFonts w:ascii="Trade Gothic LT Std" w:hAnsi="Trade Gothic LT Std" w:cs="Times New Roman"/>
      <w:color w:val="auto"/>
    </w:rPr>
  </w:style>
  <w:style w:type="paragraph" w:customStyle="1" w:styleId="Pa17">
    <w:name w:val="Pa17"/>
    <w:basedOn w:val="Default"/>
    <w:next w:val="Default"/>
    <w:uiPriority w:val="99"/>
    <w:rsid w:val="00057D30"/>
    <w:pPr>
      <w:spacing w:line="191" w:lineRule="atLeast"/>
    </w:pPr>
    <w:rPr>
      <w:rFonts w:ascii="Trade Gothic LT Std" w:hAnsi="Trade Gothic LT Std" w:cs="Times New Roman"/>
      <w:color w:val="auto"/>
    </w:rPr>
  </w:style>
  <w:style w:type="paragraph" w:customStyle="1" w:styleId="Pa18">
    <w:name w:val="Pa18"/>
    <w:basedOn w:val="Default"/>
    <w:next w:val="Default"/>
    <w:uiPriority w:val="99"/>
    <w:rsid w:val="00057D30"/>
    <w:pPr>
      <w:spacing w:line="181" w:lineRule="atLeast"/>
    </w:pPr>
    <w:rPr>
      <w:rFonts w:ascii="Trade Gothic LT Std" w:hAnsi="Trade Gothic LT Std" w:cs="Times New Roman"/>
      <w:color w:val="auto"/>
    </w:rPr>
  </w:style>
  <w:style w:type="character" w:customStyle="1" w:styleId="abstract0">
    <w:name w:val="abstract 0"/>
    <w:basedOn w:val="DefaultParagraphFont"/>
    <w:rsid w:val="00AF0426"/>
  </w:style>
  <w:style w:type="character" w:customStyle="1" w:styleId="fthighlight">
    <w:name w:val="ft_highlight"/>
    <w:basedOn w:val="DefaultParagraphFont"/>
    <w:rsid w:val="00EA3E9D"/>
  </w:style>
  <w:style w:type="character" w:styleId="FollowedHyperlink">
    <w:name w:val="FollowedHyperlink"/>
    <w:basedOn w:val="DefaultParagraphFont"/>
    <w:rsid w:val="00E20BD7"/>
    <w:rPr>
      <w:color w:val="800080"/>
      <w:u w:val="single"/>
    </w:rPr>
  </w:style>
  <w:style w:type="paragraph" w:styleId="ListParagraph">
    <w:name w:val="List Paragraph"/>
    <w:basedOn w:val="Normal"/>
    <w:uiPriority w:val="99"/>
    <w:qFormat/>
    <w:rsid w:val="00552A5F"/>
    <w:pPr>
      <w:suppressAutoHyphens/>
      <w:spacing w:after="160" w:line="254" w:lineRule="auto"/>
      <w:ind w:left="720"/>
    </w:pPr>
    <w:rPr>
      <w:rFonts w:ascii="Calibri" w:eastAsiaTheme="minorEastAsia" w:hAnsi="Calibri" w:cs="Calibri"/>
      <w:color w:val="00000A"/>
      <w:sz w:val="22"/>
      <w:szCs w:val="22"/>
      <w:lang w:eastAsia="en-US"/>
    </w:rPr>
  </w:style>
  <w:style w:type="paragraph" w:styleId="NoSpacing">
    <w:name w:val="No Spacing"/>
    <w:qFormat/>
    <w:rsid w:val="00A425FB"/>
    <w:pPr>
      <w:jc w:val="both"/>
    </w:pPr>
    <w:rPr>
      <w:rFonts w:ascii="Verdana" w:hAnsi="Verdana"/>
      <w:color w:val="1A1718"/>
      <w:sz w:val="18"/>
      <w:szCs w:val="18"/>
      <w:lang w:val="en-US"/>
    </w:rPr>
  </w:style>
  <w:style w:type="character" w:styleId="PageNumber">
    <w:name w:val="page number"/>
    <w:basedOn w:val="DefaultParagraphFont"/>
    <w:rsid w:val="00757007"/>
  </w:style>
  <w:style w:type="character" w:customStyle="1" w:styleId="apple-converted-space">
    <w:name w:val="apple-converted-space"/>
    <w:basedOn w:val="DefaultParagraphFont"/>
    <w:rsid w:val="00EB5287"/>
  </w:style>
  <w:style w:type="character" w:customStyle="1" w:styleId="subtitle1">
    <w:name w:val="subtitle1"/>
    <w:basedOn w:val="DefaultParagraphFont"/>
    <w:rsid w:val="0008045E"/>
  </w:style>
  <w:style w:type="character" w:customStyle="1" w:styleId="flag">
    <w:name w:val="flag"/>
    <w:basedOn w:val="DefaultParagraphFont"/>
    <w:rsid w:val="0008045E"/>
  </w:style>
  <w:style w:type="character" w:customStyle="1" w:styleId="authornames">
    <w:name w:val="authornames"/>
    <w:basedOn w:val="DefaultParagraphFont"/>
    <w:rsid w:val="0008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3980">
      <w:bodyDiv w:val="1"/>
      <w:marLeft w:val="0"/>
      <w:marRight w:val="0"/>
      <w:marTop w:val="0"/>
      <w:marBottom w:val="0"/>
      <w:divBdr>
        <w:top w:val="none" w:sz="0" w:space="0" w:color="auto"/>
        <w:left w:val="none" w:sz="0" w:space="0" w:color="auto"/>
        <w:bottom w:val="none" w:sz="0" w:space="0" w:color="auto"/>
        <w:right w:val="none" w:sz="0" w:space="0" w:color="auto"/>
      </w:divBdr>
    </w:div>
    <w:div w:id="67771651">
      <w:bodyDiv w:val="1"/>
      <w:marLeft w:val="0"/>
      <w:marRight w:val="0"/>
      <w:marTop w:val="0"/>
      <w:marBottom w:val="0"/>
      <w:divBdr>
        <w:top w:val="none" w:sz="0" w:space="0" w:color="auto"/>
        <w:left w:val="none" w:sz="0" w:space="0" w:color="auto"/>
        <w:bottom w:val="none" w:sz="0" w:space="0" w:color="auto"/>
        <w:right w:val="none" w:sz="0" w:space="0" w:color="auto"/>
      </w:divBdr>
    </w:div>
    <w:div w:id="121466271">
      <w:bodyDiv w:val="1"/>
      <w:marLeft w:val="0"/>
      <w:marRight w:val="0"/>
      <w:marTop w:val="0"/>
      <w:marBottom w:val="0"/>
      <w:divBdr>
        <w:top w:val="none" w:sz="0" w:space="0" w:color="auto"/>
        <w:left w:val="none" w:sz="0" w:space="0" w:color="auto"/>
        <w:bottom w:val="none" w:sz="0" w:space="0" w:color="auto"/>
        <w:right w:val="none" w:sz="0" w:space="0" w:color="auto"/>
      </w:divBdr>
    </w:div>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904148">
      <w:bodyDiv w:val="1"/>
      <w:marLeft w:val="0"/>
      <w:marRight w:val="0"/>
      <w:marTop w:val="0"/>
      <w:marBottom w:val="0"/>
      <w:divBdr>
        <w:top w:val="none" w:sz="0" w:space="0" w:color="auto"/>
        <w:left w:val="none" w:sz="0" w:space="0" w:color="auto"/>
        <w:bottom w:val="none" w:sz="0" w:space="0" w:color="auto"/>
        <w:right w:val="none" w:sz="0" w:space="0" w:color="auto"/>
      </w:divBdr>
    </w:div>
    <w:div w:id="421923206">
      <w:bodyDiv w:val="1"/>
      <w:marLeft w:val="0"/>
      <w:marRight w:val="0"/>
      <w:marTop w:val="0"/>
      <w:marBottom w:val="0"/>
      <w:divBdr>
        <w:top w:val="none" w:sz="0" w:space="0" w:color="auto"/>
        <w:left w:val="none" w:sz="0" w:space="0" w:color="auto"/>
        <w:bottom w:val="none" w:sz="0" w:space="0" w:color="auto"/>
        <w:right w:val="none" w:sz="0" w:space="0" w:color="auto"/>
      </w:divBdr>
    </w:div>
    <w:div w:id="432480596">
      <w:bodyDiv w:val="1"/>
      <w:marLeft w:val="0"/>
      <w:marRight w:val="0"/>
      <w:marTop w:val="0"/>
      <w:marBottom w:val="0"/>
      <w:divBdr>
        <w:top w:val="none" w:sz="0" w:space="0" w:color="auto"/>
        <w:left w:val="none" w:sz="0" w:space="0" w:color="auto"/>
        <w:bottom w:val="none" w:sz="0" w:space="0" w:color="auto"/>
        <w:right w:val="none" w:sz="0" w:space="0" w:color="auto"/>
      </w:divBdr>
    </w:div>
    <w:div w:id="475876092">
      <w:bodyDiv w:val="1"/>
      <w:marLeft w:val="0"/>
      <w:marRight w:val="0"/>
      <w:marTop w:val="0"/>
      <w:marBottom w:val="0"/>
      <w:divBdr>
        <w:top w:val="none" w:sz="0" w:space="0" w:color="auto"/>
        <w:left w:val="none" w:sz="0" w:space="0" w:color="auto"/>
        <w:bottom w:val="none" w:sz="0" w:space="0" w:color="auto"/>
        <w:right w:val="none" w:sz="0" w:space="0" w:color="auto"/>
      </w:divBdr>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7542">
      <w:bodyDiv w:val="1"/>
      <w:marLeft w:val="0"/>
      <w:marRight w:val="0"/>
      <w:marTop w:val="0"/>
      <w:marBottom w:val="0"/>
      <w:divBdr>
        <w:top w:val="none" w:sz="0" w:space="0" w:color="auto"/>
        <w:left w:val="none" w:sz="0" w:space="0" w:color="auto"/>
        <w:bottom w:val="none" w:sz="0" w:space="0" w:color="auto"/>
        <w:right w:val="none" w:sz="0" w:space="0" w:color="auto"/>
      </w:divBdr>
    </w:div>
    <w:div w:id="682828291">
      <w:bodyDiv w:val="1"/>
      <w:marLeft w:val="0"/>
      <w:marRight w:val="0"/>
      <w:marTop w:val="0"/>
      <w:marBottom w:val="0"/>
      <w:divBdr>
        <w:top w:val="none" w:sz="0" w:space="0" w:color="auto"/>
        <w:left w:val="none" w:sz="0" w:space="0" w:color="auto"/>
        <w:bottom w:val="none" w:sz="0" w:space="0" w:color="auto"/>
        <w:right w:val="none" w:sz="0" w:space="0" w:color="auto"/>
      </w:divBdr>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844932">
      <w:bodyDiv w:val="1"/>
      <w:marLeft w:val="0"/>
      <w:marRight w:val="0"/>
      <w:marTop w:val="0"/>
      <w:marBottom w:val="0"/>
      <w:divBdr>
        <w:top w:val="none" w:sz="0" w:space="0" w:color="auto"/>
        <w:left w:val="none" w:sz="0" w:space="0" w:color="auto"/>
        <w:bottom w:val="none" w:sz="0" w:space="0" w:color="auto"/>
        <w:right w:val="none" w:sz="0" w:space="0" w:color="auto"/>
      </w:divBdr>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75869">
      <w:bodyDiv w:val="1"/>
      <w:marLeft w:val="0"/>
      <w:marRight w:val="0"/>
      <w:marTop w:val="0"/>
      <w:marBottom w:val="0"/>
      <w:divBdr>
        <w:top w:val="none" w:sz="0" w:space="0" w:color="auto"/>
        <w:left w:val="none" w:sz="0" w:space="0" w:color="auto"/>
        <w:bottom w:val="none" w:sz="0" w:space="0" w:color="auto"/>
        <w:right w:val="none" w:sz="0" w:space="0" w:color="auto"/>
      </w:divBdr>
    </w:div>
    <w:div w:id="895630638">
      <w:bodyDiv w:val="1"/>
      <w:marLeft w:val="0"/>
      <w:marRight w:val="0"/>
      <w:marTop w:val="0"/>
      <w:marBottom w:val="0"/>
      <w:divBdr>
        <w:top w:val="none" w:sz="0" w:space="0" w:color="auto"/>
        <w:left w:val="none" w:sz="0" w:space="0" w:color="auto"/>
        <w:bottom w:val="none" w:sz="0" w:space="0" w:color="auto"/>
        <w:right w:val="none" w:sz="0" w:space="0" w:color="auto"/>
      </w:divBdr>
    </w:div>
    <w:div w:id="934442768">
      <w:bodyDiv w:val="1"/>
      <w:marLeft w:val="0"/>
      <w:marRight w:val="0"/>
      <w:marTop w:val="0"/>
      <w:marBottom w:val="0"/>
      <w:divBdr>
        <w:top w:val="none" w:sz="0" w:space="0" w:color="auto"/>
        <w:left w:val="none" w:sz="0" w:space="0" w:color="auto"/>
        <w:bottom w:val="none" w:sz="0" w:space="0" w:color="auto"/>
        <w:right w:val="none" w:sz="0" w:space="0" w:color="auto"/>
      </w:divBdr>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4473">
      <w:bodyDiv w:val="1"/>
      <w:marLeft w:val="0"/>
      <w:marRight w:val="0"/>
      <w:marTop w:val="0"/>
      <w:marBottom w:val="0"/>
      <w:divBdr>
        <w:top w:val="none" w:sz="0" w:space="0" w:color="auto"/>
        <w:left w:val="none" w:sz="0" w:space="0" w:color="auto"/>
        <w:bottom w:val="none" w:sz="0" w:space="0" w:color="auto"/>
        <w:right w:val="none" w:sz="0" w:space="0" w:color="auto"/>
      </w:divBdr>
    </w:div>
    <w:div w:id="984970215">
      <w:bodyDiv w:val="1"/>
      <w:marLeft w:val="0"/>
      <w:marRight w:val="0"/>
      <w:marTop w:val="0"/>
      <w:marBottom w:val="0"/>
      <w:divBdr>
        <w:top w:val="none" w:sz="0" w:space="0" w:color="auto"/>
        <w:left w:val="none" w:sz="0" w:space="0" w:color="auto"/>
        <w:bottom w:val="none" w:sz="0" w:space="0" w:color="auto"/>
        <w:right w:val="none" w:sz="0" w:space="0" w:color="auto"/>
      </w:divBdr>
    </w:div>
    <w:div w:id="997733167">
      <w:bodyDiv w:val="1"/>
      <w:marLeft w:val="0"/>
      <w:marRight w:val="0"/>
      <w:marTop w:val="0"/>
      <w:marBottom w:val="0"/>
      <w:divBdr>
        <w:top w:val="none" w:sz="0" w:space="0" w:color="auto"/>
        <w:left w:val="none" w:sz="0" w:space="0" w:color="auto"/>
        <w:bottom w:val="none" w:sz="0" w:space="0" w:color="auto"/>
        <w:right w:val="none" w:sz="0" w:space="0" w:color="auto"/>
      </w:divBdr>
      <w:divsChild>
        <w:div w:id="999575666">
          <w:marLeft w:val="0"/>
          <w:marRight w:val="0"/>
          <w:marTop w:val="0"/>
          <w:marBottom w:val="240"/>
          <w:divBdr>
            <w:top w:val="none" w:sz="0" w:space="0" w:color="auto"/>
            <w:left w:val="none" w:sz="0" w:space="0" w:color="auto"/>
            <w:bottom w:val="none" w:sz="0" w:space="0" w:color="auto"/>
            <w:right w:val="none" w:sz="0" w:space="0" w:color="auto"/>
          </w:divBdr>
        </w:div>
      </w:divsChild>
    </w:div>
    <w:div w:id="1089622684">
      <w:bodyDiv w:val="1"/>
      <w:marLeft w:val="0"/>
      <w:marRight w:val="0"/>
      <w:marTop w:val="0"/>
      <w:marBottom w:val="0"/>
      <w:divBdr>
        <w:top w:val="none" w:sz="0" w:space="0" w:color="auto"/>
        <w:left w:val="none" w:sz="0" w:space="0" w:color="auto"/>
        <w:bottom w:val="none" w:sz="0" w:space="0" w:color="auto"/>
        <w:right w:val="none" w:sz="0" w:space="0" w:color="auto"/>
      </w:divBdr>
    </w:div>
    <w:div w:id="1090392655">
      <w:bodyDiv w:val="1"/>
      <w:marLeft w:val="0"/>
      <w:marRight w:val="0"/>
      <w:marTop w:val="0"/>
      <w:marBottom w:val="0"/>
      <w:divBdr>
        <w:top w:val="none" w:sz="0" w:space="0" w:color="auto"/>
        <w:left w:val="none" w:sz="0" w:space="0" w:color="auto"/>
        <w:bottom w:val="none" w:sz="0" w:space="0" w:color="auto"/>
        <w:right w:val="none" w:sz="0" w:space="0" w:color="auto"/>
      </w:divBdr>
    </w:div>
    <w:div w:id="1096362663">
      <w:bodyDiv w:val="1"/>
      <w:marLeft w:val="0"/>
      <w:marRight w:val="0"/>
      <w:marTop w:val="0"/>
      <w:marBottom w:val="0"/>
      <w:divBdr>
        <w:top w:val="none" w:sz="0" w:space="0" w:color="auto"/>
        <w:left w:val="none" w:sz="0" w:space="0" w:color="auto"/>
        <w:bottom w:val="none" w:sz="0" w:space="0" w:color="auto"/>
        <w:right w:val="none" w:sz="0" w:space="0" w:color="auto"/>
      </w:divBdr>
      <w:divsChild>
        <w:div w:id="1539004113">
          <w:marLeft w:val="0"/>
          <w:marRight w:val="0"/>
          <w:marTop w:val="0"/>
          <w:marBottom w:val="150"/>
          <w:divBdr>
            <w:top w:val="none" w:sz="0" w:space="0" w:color="auto"/>
            <w:left w:val="none" w:sz="0" w:space="0" w:color="auto"/>
            <w:bottom w:val="none" w:sz="0" w:space="0" w:color="auto"/>
            <w:right w:val="none" w:sz="0" w:space="0" w:color="auto"/>
          </w:divBdr>
        </w:div>
      </w:divsChild>
    </w:div>
    <w:div w:id="1109087266">
      <w:bodyDiv w:val="1"/>
      <w:marLeft w:val="0"/>
      <w:marRight w:val="0"/>
      <w:marTop w:val="0"/>
      <w:marBottom w:val="0"/>
      <w:divBdr>
        <w:top w:val="none" w:sz="0" w:space="0" w:color="auto"/>
        <w:left w:val="none" w:sz="0" w:space="0" w:color="auto"/>
        <w:bottom w:val="none" w:sz="0" w:space="0" w:color="auto"/>
        <w:right w:val="none" w:sz="0" w:space="0" w:color="auto"/>
      </w:divBdr>
    </w:div>
    <w:div w:id="1183783743">
      <w:bodyDiv w:val="1"/>
      <w:marLeft w:val="0"/>
      <w:marRight w:val="0"/>
      <w:marTop w:val="0"/>
      <w:marBottom w:val="0"/>
      <w:divBdr>
        <w:top w:val="none" w:sz="0" w:space="0" w:color="auto"/>
        <w:left w:val="none" w:sz="0" w:space="0" w:color="auto"/>
        <w:bottom w:val="none" w:sz="0" w:space="0" w:color="auto"/>
        <w:right w:val="none" w:sz="0" w:space="0" w:color="auto"/>
      </w:divBdr>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20777">
      <w:bodyDiv w:val="1"/>
      <w:marLeft w:val="0"/>
      <w:marRight w:val="0"/>
      <w:marTop w:val="0"/>
      <w:marBottom w:val="0"/>
      <w:divBdr>
        <w:top w:val="none" w:sz="0" w:space="0" w:color="auto"/>
        <w:left w:val="none" w:sz="0" w:space="0" w:color="auto"/>
        <w:bottom w:val="none" w:sz="0" w:space="0" w:color="auto"/>
        <w:right w:val="none" w:sz="0" w:space="0" w:color="auto"/>
      </w:divBdr>
    </w:div>
    <w:div w:id="1381856581">
      <w:bodyDiv w:val="1"/>
      <w:marLeft w:val="0"/>
      <w:marRight w:val="0"/>
      <w:marTop w:val="0"/>
      <w:marBottom w:val="0"/>
      <w:divBdr>
        <w:top w:val="none" w:sz="0" w:space="0" w:color="auto"/>
        <w:left w:val="none" w:sz="0" w:space="0" w:color="auto"/>
        <w:bottom w:val="none" w:sz="0" w:space="0" w:color="auto"/>
        <w:right w:val="none" w:sz="0" w:space="0" w:color="auto"/>
      </w:divBdr>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32578">
      <w:bodyDiv w:val="1"/>
      <w:marLeft w:val="0"/>
      <w:marRight w:val="0"/>
      <w:marTop w:val="0"/>
      <w:marBottom w:val="0"/>
      <w:divBdr>
        <w:top w:val="none" w:sz="0" w:space="0" w:color="auto"/>
        <w:left w:val="none" w:sz="0" w:space="0" w:color="auto"/>
        <w:bottom w:val="none" w:sz="0" w:space="0" w:color="auto"/>
        <w:right w:val="none" w:sz="0" w:space="0" w:color="auto"/>
      </w:divBdr>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188237">
      <w:bodyDiv w:val="1"/>
      <w:marLeft w:val="0"/>
      <w:marRight w:val="0"/>
      <w:marTop w:val="0"/>
      <w:marBottom w:val="0"/>
      <w:divBdr>
        <w:top w:val="none" w:sz="0" w:space="0" w:color="auto"/>
        <w:left w:val="none" w:sz="0" w:space="0" w:color="auto"/>
        <w:bottom w:val="none" w:sz="0" w:space="0" w:color="auto"/>
        <w:right w:val="none" w:sz="0" w:space="0" w:color="auto"/>
      </w:divBdr>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40593">
      <w:bodyDiv w:val="1"/>
      <w:marLeft w:val="0"/>
      <w:marRight w:val="0"/>
      <w:marTop w:val="0"/>
      <w:marBottom w:val="0"/>
      <w:divBdr>
        <w:top w:val="none" w:sz="0" w:space="0" w:color="auto"/>
        <w:left w:val="none" w:sz="0" w:space="0" w:color="auto"/>
        <w:bottom w:val="none" w:sz="0" w:space="0" w:color="auto"/>
        <w:right w:val="none" w:sz="0" w:space="0" w:color="auto"/>
      </w:divBdr>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581301">
      <w:bodyDiv w:val="1"/>
      <w:marLeft w:val="0"/>
      <w:marRight w:val="0"/>
      <w:marTop w:val="0"/>
      <w:marBottom w:val="0"/>
      <w:divBdr>
        <w:top w:val="none" w:sz="0" w:space="0" w:color="auto"/>
        <w:left w:val="none" w:sz="0" w:space="0" w:color="auto"/>
        <w:bottom w:val="none" w:sz="0" w:space="0" w:color="auto"/>
        <w:right w:val="none" w:sz="0" w:space="0" w:color="auto"/>
      </w:divBdr>
    </w:div>
    <w:div w:id="1951738503">
      <w:bodyDiv w:val="1"/>
      <w:marLeft w:val="0"/>
      <w:marRight w:val="0"/>
      <w:marTop w:val="0"/>
      <w:marBottom w:val="0"/>
      <w:divBdr>
        <w:top w:val="none" w:sz="0" w:space="0" w:color="auto"/>
        <w:left w:val="none" w:sz="0" w:space="0" w:color="auto"/>
        <w:bottom w:val="none" w:sz="0" w:space="0" w:color="auto"/>
        <w:right w:val="none" w:sz="0" w:space="0" w:color="auto"/>
      </w:divBdr>
    </w:div>
    <w:div w:id="2081514424">
      <w:bodyDiv w:val="1"/>
      <w:marLeft w:val="0"/>
      <w:marRight w:val="0"/>
      <w:marTop w:val="0"/>
      <w:marBottom w:val="0"/>
      <w:divBdr>
        <w:top w:val="none" w:sz="0" w:space="0" w:color="auto"/>
        <w:left w:val="none" w:sz="0" w:space="0" w:color="auto"/>
        <w:bottom w:val="none" w:sz="0" w:space="0" w:color="auto"/>
        <w:right w:val="none" w:sz="0" w:space="0" w:color="auto"/>
      </w:divBdr>
    </w:div>
    <w:div w:id="2119330066">
      <w:bodyDiv w:val="1"/>
      <w:marLeft w:val="0"/>
      <w:marRight w:val="0"/>
      <w:marTop w:val="0"/>
      <w:marBottom w:val="0"/>
      <w:divBdr>
        <w:top w:val="none" w:sz="0" w:space="0" w:color="auto"/>
        <w:left w:val="none" w:sz="0" w:space="0" w:color="auto"/>
        <w:bottom w:val="none" w:sz="0" w:space="0" w:color="auto"/>
        <w:right w:val="none" w:sz="0" w:space="0" w:color="auto"/>
      </w:divBdr>
    </w:div>
    <w:div w:id="21381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sn.asnjournals.org/content/13/11/2783.full.pdf+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jasn.asnjournals.org/content/4/1/57.full.pdf+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sn.asnjournals.org/content/22/12/2322.full.pdf+html" TargetMode="External"/><Relationship Id="rId5" Type="http://schemas.openxmlformats.org/officeDocument/2006/relationships/settings" Target="settings.xml"/><Relationship Id="rId15" Type="http://schemas.openxmlformats.org/officeDocument/2006/relationships/hyperlink" Target="http://cjasn.asnjournals.org/content/5/3/409.long" TargetMode="External"/><Relationship Id="rId10" Type="http://schemas.openxmlformats.org/officeDocument/2006/relationships/hyperlink" Target="http://archinte.jamanetwork.com/article.aspx?articleid=21168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losone.org/article/fetchObject.action?uri=info:doi/10.1371/journal.pone.0084943&amp;representation=PDF" TargetMode="External"/><Relationship Id="rId14" Type="http://schemas.openxmlformats.org/officeDocument/2006/relationships/hyperlink" Target="http://cjasn.asnjournals.org/content/5/3/409.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D108-C6A9-4A85-939D-47765A71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8214</Words>
  <Characters>47642</Characters>
  <Application>Microsoft Office Word</Application>
  <DocSecurity>0</DocSecurity>
  <Lines>397</Lines>
  <Paragraphs>111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Non-pharmacological treatment</vt:lpstr>
      <vt:lpstr>Non-pharmacological treatment</vt:lpstr>
    </vt:vector>
  </TitlesOfParts>
  <Company>Ravimiamet</Company>
  <LinksUpToDate>false</LinksUpToDate>
  <CharactersWithSpaces>55745</CharactersWithSpaces>
  <SharedDoc>false</SharedDoc>
  <HLinks>
    <vt:vector size="66" baseType="variant">
      <vt:variant>
        <vt:i4>1376348</vt:i4>
      </vt:variant>
      <vt:variant>
        <vt:i4>30</vt:i4>
      </vt:variant>
      <vt:variant>
        <vt:i4>0</vt:i4>
      </vt:variant>
      <vt:variant>
        <vt:i4>5</vt:i4>
      </vt:variant>
      <vt:variant>
        <vt:lpwstr>http://annals.org/article.aspx?articleid=1884537</vt:lpwstr>
      </vt:variant>
      <vt:variant>
        <vt:lpwstr/>
      </vt:variant>
      <vt:variant>
        <vt:i4>2818154</vt:i4>
      </vt:variant>
      <vt:variant>
        <vt:i4>27</vt:i4>
      </vt:variant>
      <vt:variant>
        <vt:i4>0</vt:i4>
      </vt:variant>
      <vt:variant>
        <vt:i4>5</vt:i4>
      </vt:variant>
      <vt:variant>
        <vt:lpwstr>http://cjasn.asnjournals.org/content/9/2/373.full.pdf+html</vt:lpwstr>
      </vt:variant>
      <vt:variant>
        <vt:lpwstr/>
      </vt:variant>
      <vt:variant>
        <vt:i4>5308446</vt:i4>
      </vt:variant>
      <vt:variant>
        <vt:i4>24</vt:i4>
      </vt:variant>
      <vt:variant>
        <vt:i4>0</vt:i4>
      </vt:variant>
      <vt:variant>
        <vt:i4>5</vt:i4>
      </vt:variant>
      <vt:variant>
        <vt:lpwstr>http://www.guideline.gov/content.aspx?id=48292&amp;search=prostate+ultrasound+AND+chronic+kidney+disease</vt:lpwstr>
      </vt:variant>
      <vt:variant>
        <vt:lpwstr/>
      </vt:variant>
      <vt:variant>
        <vt:i4>6029347</vt:i4>
      </vt:variant>
      <vt:variant>
        <vt:i4>21</vt:i4>
      </vt:variant>
      <vt:variant>
        <vt:i4>0</vt:i4>
      </vt:variant>
      <vt:variant>
        <vt:i4>5</vt:i4>
      </vt:variant>
      <vt:variant>
        <vt:lpwstr>http://www.goldjournal.net/article/S0090-4295%2813%2901041-8/abstract</vt:lpwstr>
      </vt:variant>
      <vt:variant>
        <vt:lpwstr/>
      </vt:variant>
      <vt:variant>
        <vt:i4>4259922</vt:i4>
      </vt:variant>
      <vt:variant>
        <vt:i4>18</vt:i4>
      </vt:variant>
      <vt:variant>
        <vt:i4>0</vt:i4>
      </vt:variant>
      <vt:variant>
        <vt:i4>5</vt:i4>
      </vt:variant>
      <vt:variant>
        <vt:lpwstr>http://onlinelibrary.wiley.com/doi/10.1111/j.1440-1797.2010.01430.x/abstract</vt:lpwstr>
      </vt:variant>
      <vt:variant>
        <vt:lpwstr/>
      </vt:variant>
      <vt:variant>
        <vt:i4>2555966</vt:i4>
      </vt:variant>
      <vt:variant>
        <vt:i4>15</vt:i4>
      </vt:variant>
      <vt:variant>
        <vt:i4>0</vt:i4>
      </vt:variant>
      <vt:variant>
        <vt:i4>5</vt:i4>
      </vt:variant>
      <vt:variant>
        <vt:lpwstr>http://jama.jamanetwork.com/article.aspx?articleid=1841972</vt:lpwstr>
      </vt:variant>
      <vt:variant>
        <vt:lpwstr/>
      </vt:variant>
      <vt:variant>
        <vt:i4>2555917</vt:i4>
      </vt:variant>
      <vt:variant>
        <vt:i4>12</vt:i4>
      </vt:variant>
      <vt:variant>
        <vt:i4>0</vt:i4>
      </vt:variant>
      <vt:variant>
        <vt:i4>5</vt:i4>
      </vt:variant>
      <vt:variant>
        <vt:lpwstr>http://www.annlabmed.org/journal/viewJournal.html?year=2013&amp;vol=33&amp;page=233</vt:lpwstr>
      </vt:variant>
      <vt:variant>
        <vt:lpwstr/>
      </vt:variant>
      <vt:variant>
        <vt:i4>6291506</vt:i4>
      </vt:variant>
      <vt:variant>
        <vt:i4>9</vt:i4>
      </vt:variant>
      <vt:variant>
        <vt:i4>0</vt:i4>
      </vt:variant>
      <vt:variant>
        <vt:i4>5</vt:i4>
      </vt:variant>
      <vt:variant>
        <vt:lpwstr>http://onlinelibrary.wiley.com/doi/10.1002/2327-6924.12094/abstract;jsessionid=F527B60BADD1E50C0151D685A30E1860.f02t01</vt:lpwstr>
      </vt:variant>
      <vt:variant>
        <vt:lpwstr/>
      </vt:variant>
      <vt:variant>
        <vt:i4>6029319</vt:i4>
      </vt:variant>
      <vt:variant>
        <vt:i4>6</vt:i4>
      </vt:variant>
      <vt:variant>
        <vt:i4>0</vt:i4>
      </vt:variant>
      <vt:variant>
        <vt:i4>5</vt:i4>
      </vt:variant>
      <vt:variant>
        <vt:lpwstr>http://www.goldjournal.net/article/S00904295%2809%2900934-0/abstract</vt:lpwstr>
      </vt:variant>
      <vt:variant>
        <vt:lpwstr/>
      </vt:variant>
      <vt:variant>
        <vt:i4>5308432</vt:i4>
      </vt:variant>
      <vt:variant>
        <vt:i4>3</vt:i4>
      </vt:variant>
      <vt:variant>
        <vt:i4>0</vt:i4>
      </vt:variant>
      <vt:variant>
        <vt:i4>5</vt:i4>
      </vt:variant>
      <vt:variant>
        <vt:lpwstr>http://ndt.oxfordjournals.org/content/24/4/1238.abstract</vt:lpwstr>
      </vt:variant>
      <vt:variant>
        <vt:lpwstr/>
      </vt:variant>
      <vt:variant>
        <vt:i4>7077898</vt:i4>
      </vt:variant>
      <vt:variant>
        <vt:i4>0</vt:i4>
      </vt:variant>
      <vt:variant>
        <vt:i4>0</vt:i4>
      </vt:variant>
      <vt:variant>
        <vt:i4>5</vt:i4>
      </vt:variant>
      <vt:variant>
        <vt:lpwstr>http://onlinelibrary.wiley.com/doi/10.1111/j.1742-1241.2012.03014.x/abstract;jsessionid=415D5ED2C6A92909EE36433B5A0FA256.f03t04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Non-pharmacological treatment</dc:title>
  <dc:creator>Kasutaja</dc:creator>
  <cp:lastModifiedBy>Anna Vesper</cp:lastModifiedBy>
  <cp:revision>2</cp:revision>
  <dcterms:created xsi:type="dcterms:W3CDTF">2015-12-10T06:52:00Z</dcterms:created>
  <dcterms:modified xsi:type="dcterms:W3CDTF">2015-12-10T06:52:00Z</dcterms:modified>
</cp:coreProperties>
</file>