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042FF2" w:rsidR="00304F79" w:rsidP="31897A2A" w:rsidRDefault="00042FF2" w14:paraId="1D922867" wp14:textId="69C0633C">
      <w:pPr>
        <w:pStyle w:val="Normaallaad"/>
        <w:rPr>
          <w:rFonts w:ascii="Verdana" w:hAnsi="Verdana"/>
          <w:b/>
          <w:color w:val="000080"/>
          <w:sz w:val="18"/>
          <w:szCs w:val="18"/>
        </w:rPr>
      </w:pPr>
      <w:proofErr w:type="spellStart"/>
      <w:r w:rsidRPr="2E9C8D5A" w:rsidR="2E9C8D5A">
        <w:rPr>
          <w:rFonts w:ascii="Verdana" w:hAnsi="Verdana" w:eastAsia="Verdana" w:cs="Verdana"/>
          <w:b w:val="1"/>
          <w:bCs w:val="1"/>
          <w:color w:val="000080"/>
          <w:sz w:val="18"/>
          <w:szCs w:val="18"/>
          <w:lang w:val="fi-FI"/>
        </w:rPr>
        <w:t>Kliiniline</w:t>
      </w:r>
      <w:proofErr w:type="spellEnd"/>
      <w:r w:rsidRPr="2E9C8D5A" w:rsidR="2E9C8D5A">
        <w:rPr>
          <w:rFonts w:ascii="Verdana" w:hAnsi="Verdana" w:eastAsia="Verdana" w:cs="Verdana"/>
          <w:b w:val="1"/>
          <w:bCs w:val="1"/>
          <w:color w:val="000080"/>
          <w:sz w:val="18"/>
          <w:szCs w:val="18"/>
          <w:lang w:val="fi-FI"/>
        </w:rPr>
        <w:t xml:space="preserve"> </w:t>
      </w:r>
      <w:proofErr w:type="spellStart"/>
      <w:r w:rsidRPr="2E9C8D5A" w:rsidR="2E9C8D5A">
        <w:rPr>
          <w:rFonts w:ascii="Verdana" w:hAnsi="Verdana" w:eastAsia="Verdana" w:cs="Verdana"/>
          <w:b w:val="1"/>
          <w:bCs w:val="1"/>
          <w:color w:val="000080"/>
          <w:sz w:val="18"/>
          <w:szCs w:val="18"/>
          <w:lang w:val="fi-FI"/>
        </w:rPr>
        <w:t>küsimus</w:t>
      </w:r>
      <w:proofErr w:type="spellEnd"/>
      <w:r w:rsidRPr="2E9C8D5A" w:rsidR="2E9C8D5A">
        <w:rPr>
          <w:rFonts w:ascii="Verdana" w:hAnsi="Verdana" w:eastAsia="Verdana" w:cs="Verdana"/>
          <w:b w:val="1"/>
          <w:bCs w:val="1"/>
          <w:color w:val="000080"/>
          <w:sz w:val="18"/>
          <w:szCs w:val="18"/>
          <w:lang w:val="fi-FI"/>
        </w:rPr>
        <w:t xml:space="preserve"> </w:t>
      </w:r>
      <w:proofErr w:type="spellStart"/>
      <w:r w:rsidRPr="2E9C8D5A" w:rsidR="2E9C8D5A">
        <w:rPr>
          <w:rFonts w:ascii="Verdana" w:hAnsi="Verdana" w:eastAsia="Verdana" w:cs="Verdana"/>
          <w:b w:val="1"/>
          <w:bCs w:val="1"/>
          <w:color w:val="000080"/>
          <w:sz w:val="18"/>
          <w:szCs w:val="18"/>
          <w:lang w:val="fi-FI"/>
        </w:rPr>
        <w:t>nr</w:t>
      </w:r>
      <w:proofErr w:type="spellEnd"/>
      <w:r w:rsidRPr="2E9C8D5A" w:rsidR="2E9C8D5A">
        <w:rPr>
          <w:rFonts w:ascii="Verdana" w:hAnsi="Verdana" w:eastAsia="Verdana" w:cs="Verdana"/>
          <w:b w:val="1"/>
          <w:bCs w:val="1"/>
          <w:color w:val="000080"/>
          <w:sz w:val="18"/>
          <w:szCs w:val="18"/>
          <w:lang w:val="fi-FI"/>
        </w:rPr>
        <w:t xml:space="preserve"> </w:t>
      </w:r>
      <w:r w:rsidRPr="2E9C8D5A" w:rsidR="2E9C8D5A">
        <w:rPr>
          <w:rFonts w:ascii="Verdana" w:hAnsi="Verdana" w:eastAsia="Verdana" w:cs="Verdana"/>
          <w:b w:val="1"/>
          <w:bCs w:val="1"/>
          <w:color w:val="000080"/>
          <w:sz w:val="18"/>
          <w:szCs w:val="18"/>
          <w:lang w:val="fi-FI"/>
        </w:rPr>
        <w:t>1</w:t>
      </w:r>
    </w:p>
    <w:p xmlns:wp14="http://schemas.microsoft.com/office/word/2010/wordml" w:rsidRPr="00FE17E8" w:rsidR="00304F79" w:rsidP="31897A2A" w:rsidRDefault="00304F79" w14:paraId="18A00C8F" wp14:textId="27836A61">
      <w:pPr>
        <w:pStyle w:val="Normaallaad"/>
        <w:rPr>
          <w:rFonts w:ascii="Verdana" w:hAnsi="Verdana"/>
          <w:color w:val="000080"/>
          <w:sz w:val="18"/>
          <w:szCs w:val="18"/>
          <w:u w:val="single"/>
        </w:rPr>
      </w:pPr>
      <w:proofErr w:type="spellStart"/>
      <w:r w:rsidRPr="2E9C8D5A" w:rsidR="2E9C8D5A">
        <w:rPr>
          <w:rFonts w:ascii="Verdana" w:hAnsi="Verdana" w:eastAsia="Verdana" w:cs="Verdana"/>
          <w:color w:val="auto"/>
          <w:sz w:val="18"/>
          <w:szCs w:val="18"/>
          <w:lang w:val="en-US"/>
        </w:rPr>
        <w:t>Kas</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kõikidel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patsientidel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kellel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esineb</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enda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või</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lähedaste</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sõnul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või</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tervishoiutöötaja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hinnangul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kognitiivne</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häire</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tuleb</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esmasel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vastuvõtule</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pöördumisel</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dementsussündroomi</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tuvastamiseks</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küsitleda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lähedasi</w:t>
      </w:r>
      <w:proofErr w:type="spellEnd"/>
      <w:r w:rsidRPr="2E9C8D5A" w:rsidR="2E9C8D5A">
        <w:rPr>
          <w:rFonts w:ascii="Verdana" w:hAnsi="Verdana" w:eastAsia="Verdana" w:cs="Verdana"/>
          <w:color w:val="auto"/>
          <w:sz w:val="18"/>
          <w:szCs w:val="18"/>
          <w:lang w:val="en-US"/>
        </w:rPr>
        <w:t>/</w:t>
      </w:r>
      <w:proofErr w:type="spellStart"/>
      <w:r w:rsidRPr="2E9C8D5A" w:rsidR="2E9C8D5A">
        <w:rPr>
          <w:rFonts w:ascii="Verdana" w:hAnsi="Verdana" w:eastAsia="Verdana" w:cs="Verdana"/>
          <w:color w:val="auto"/>
          <w:sz w:val="18"/>
          <w:szCs w:val="18"/>
          <w:lang w:val="en-US"/>
        </w:rPr>
        <w:t>hooldajaid</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struktureeritud</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intervjuu</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alusel</w:t>
      </w:r>
      <w:proofErr w:type="spellEnd"/>
      <w:r w:rsidRPr="2E9C8D5A" w:rsidR="2E9C8D5A">
        <w:rPr>
          <w:rFonts w:ascii="Verdana" w:hAnsi="Verdana" w:eastAsia="Verdana" w:cs="Verdana"/>
          <w:color w:val="auto"/>
          <w:sz w:val="18"/>
          <w:szCs w:val="18"/>
          <w:lang w:val="en-US"/>
        </w:rPr>
        <w:t xml:space="preserve"> vs. </w:t>
      </w:r>
      <w:proofErr w:type="spellStart"/>
      <w:r w:rsidRPr="2E9C8D5A" w:rsidR="2E9C8D5A">
        <w:rPr>
          <w:rFonts w:ascii="Verdana" w:hAnsi="Verdana" w:eastAsia="Verdana" w:cs="Verdana"/>
          <w:color w:val="auto"/>
          <w:sz w:val="18"/>
          <w:szCs w:val="18"/>
          <w:lang w:val="en-US"/>
        </w:rPr>
        <w:t>teha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sõeltestid</w:t>
      </w:r>
      <w:proofErr w:type="spellEnd"/>
      <w:r w:rsidRPr="2E9C8D5A" w:rsidR="2E9C8D5A">
        <w:rPr>
          <w:rFonts w:ascii="Verdana" w:hAnsi="Verdana" w:eastAsia="Verdana" w:cs="Verdana"/>
          <w:color w:val="auto"/>
          <w:sz w:val="18"/>
          <w:szCs w:val="18"/>
          <w:lang w:val="en-US"/>
        </w:rPr>
        <w:t xml:space="preserve"> vs. </w:t>
      </w:r>
      <w:proofErr w:type="spellStart"/>
      <w:r w:rsidRPr="2E9C8D5A" w:rsidR="2E9C8D5A">
        <w:rPr>
          <w:rFonts w:ascii="Verdana" w:hAnsi="Verdana" w:eastAsia="Verdana" w:cs="Verdana"/>
          <w:color w:val="auto"/>
          <w:sz w:val="18"/>
          <w:szCs w:val="18"/>
          <w:lang w:val="en-US"/>
        </w:rPr>
        <w:t>küsitleda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lähedasi</w:t>
      </w:r>
      <w:proofErr w:type="spellEnd"/>
      <w:r w:rsidRPr="2E9C8D5A" w:rsidR="2E9C8D5A">
        <w:rPr>
          <w:rFonts w:ascii="Verdana" w:hAnsi="Verdana" w:eastAsia="Verdana" w:cs="Verdana"/>
          <w:color w:val="auto"/>
          <w:sz w:val="18"/>
          <w:szCs w:val="18"/>
          <w:lang w:val="en-US"/>
        </w:rPr>
        <w:t>/</w:t>
      </w:r>
      <w:proofErr w:type="spellStart"/>
      <w:r w:rsidRPr="2E9C8D5A" w:rsidR="2E9C8D5A">
        <w:rPr>
          <w:rFonts w:ascii="Verdana" w:hAnsi="Verdana" w:eastAsia="Verdana" w:cs="Verdana"/>
          <w:color w:val="auto"/>
          <w:sz w:val="18"/>
          <w:szCs w:val="18"/>
          <w:lang w:val="en-US"/>
        </w:rPr>
        <w:t>hooldajaid</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struktureeritud</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intervjuu</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alusel</w:t>
      </w:r>
      <w:proofErr w:type="spellEnd"/>
      <w:r w:rsidRPr="2E9C8D5A" w:rsidR="2E9C8D5A">
        <w:rPr>
          <w:rFonts w:ascii="Verdana" w:hAnsi="Verdana" w:eastAsia="Verdana" w:cs="Verdana"/>
          <w:color w:val="auto"/>
          <w:sz w:val="18"/>
          <w:szCs w:val="18"/>
          <w:lang w:val="en-US"/>
        </w:rPr>
        <w:t xml:space="preserve"> ja </w:t>
      </w:r>
      <w:proofErr w:type="spellStart"/>
      <w:r w:rsidRPr="2E9C8D5A" w:rsidR="2E9C8D5A">
        <w:rPr>
          <w:rFonts w:ascii="Verdana" w:hAnsi="Verdana" w:eastAsia="Verdana" w:cs="Verdana"/>
          <w:color w:val="auto"/>
          <w:sz w:val="18"/>
          <w:szCs w:val="18"/>
          <w:lang w:val="en-US"/>
        </w:rPr>
        <w:t>teha</w:t>
      </w:r>
      <w:proofErr w:type="spellEnd"/>
      <w:r w:rsidRPr="2E9C8D5A" w:rsidR="2E9C8D5A">
        <w:rPr>
          <w:rFonts w:ascii="Verdana" w:hAnsi="Verdana" w:eastAsia="Verdana" w:cs="Verdana"/>
          <w:color w:val="auto"/>
          <w:sz w:val="18"/>
          <w:szCs w:val="18"/>
          <w:lang w:val="en-US"/>
        </w:rPr>
        <w:t xml:space="preserve"> </w:t>
      </w:r>
      <w:proofErr w:type="spellStart"/>
      <w:r w:rsidRPr="2E9C8D5A" w:rsidR="2E9C8D5A">
        <w:rPr>
          <w:rFonts w:ascii="Verdana" w:hAnsi="Verdana" w:eastAsia="Verdana" w:cs="Verdana"/>
          <w:color w:val="auto"/>
          <w:sz w:val="18"/>
          <w:szCs w:val="18"/>
          <w:lang w:val="en-US"/>
        </w:rPr>
        <w:t>sõeltestid</w:t>
      </w:r>
      <w:proofErr w:type="spellEnd"/>
      <w:r w:rsidRPr="2E9C8D5A" w:rsidR="2E9C8D5A">
        <w:rPr>
          <w:rFonts w:ascii="Verdana" w:hAnsi="Verdana" w:eastAsia="Verdana" w:cs="Verdana"/>
          <w:color w:val="auto"/>
          <w:sz w:val="18"/>
          <w:szCs w:val="18"/>
          <w:lang w:val="en-US"/>
        </w:rPr>
        <w:t>?</w:t>
      </w:r>
      <w:r w:rsidRPr="2E9C8D5A" w:rsidR="2E9C8D5A">
        <w:rPr>
          <w:rFonts w:ascii="Verdana" w:hAnsi="Verdana" w:eastAsia="Verdana" w:cs="Verdana"/>
          <w:color w:val="auto"/>
          <w:sz w:val="18"/>
          <w:szCs w:val="18"/>
        </w:rPr>
        <w:t xml:space="preserve"> </w:t>
      </w:r>
    </w:p>
    <w:p w:rsidR="31897A2A" w:rsidP="31897A2A" w:rsidRDefault="31897A2A" w14:paraId="272784D0" w14:textId="73105547">
      <w:pPr>
        <w:jc w:val="both"/>
      </w:pPr>
      <w:r w:rsidRPr="2E9C8D5A" w:rsidR="2E9C8D5A">
        <w:rPr>
          <w:rFonts w:ascii="Verdana" w:hAnsi="Verdana" w:eastAsia="Verdana" w:cs="Verdana"/>
          <w:color w:val="auto"/>
          <w:sz w:val="18"/>
          <w:szCs w:val="18"/>
          <w:u w:val="single"/>
        </w:rPr>
        <w:t>Kriitilised tulemusnäitajad</w:t>
      </w:r>
      <w:r w:rsidRPr="2E9C8D5A" w:rsidR="2E9C8D5A">
        <w:rPr>
          <w:rFonts w:ascii="Verdana" w:hAnsi="Verdana" w:eastAsia="Verdana" w:cs="Verdana"/>
          <w:color w:val="auto"/>
          <w:sz w:val="18"/>
          <w:szCs w:val="18"/>
          <w:u w:val="single"/>
        </w:rPr>
        <w:t>:</w:t>
      </w:r>
      <w:r w:rsidRPr="2E9C8D5A" w:rsidR="2E9C8D5A">
        <w:rPr>
          <w:rFonts w:ascii="Verdana" w:hAnsi="Verdana" w:eastAsia="Verdana" w:cs="Verdana"/>
          <w:color w:val="auto"/>
          <w:sz w:val="18"/>
          <w:szCs w:val="18"/>
          <w:u w:val="none"/>
        </w:rPr>
        <w:t xml:space="preserve"> </w:t>
      </w:r>
      <w:proofErr w:type="spellStart"/>
      <w:r w:rsidRPr="2E9C8D5A" w:rsidR="2E9C8D5A">
        <w:rPr>
          <w:rFonts w:ascii="Verdana" w:hAnsi="Verdana" w:eastAsia="Verdana" w:cs="Verdana"/>
          <w:color w:val="auto"/>
          <w:sz w:val="18"/>
          <w:szCs w:val="18"/>
          <w:u w:val="none"/>
        </w:rPr>
        <w:t>Alzheimeri</w:t>
      </w:r>
      <w:proofErr w:type="spellEnd"/>
      <w:r w:rsidRPr="2E9C8D5A" w:rsidR="2E9C8D5A">
        <w:rPr>
          <w:rFonts w:ascii="Verdana" w:hAnsi="Verdana" w:eastAsia="Verdana" w:cs="Verdana"/>
          <w:color w:val="auto"/>
          <w:sz w:val="18"/>
          <w:szCs w:val="18"/>
          <w:u w:val="none"/>
        </w:rPr>
        <w:t xml:space="preserve"> tõve varajane diagnoosimine</w:t>
      </w:r>
    </w:p>
    <w:p xmlns:wp14="http://schemas.microsoft.com/office/word/2010/wordml" w:rsidRPr="002D065A" w:rsidR="003B0510" w:rsidP="002D065A" w:rsidRDefault="00042FF2" wp14:noSpellErr="1" w14:paraId="0DAF0787" wp14:textId="497E76BC">
      <w:pPr>
        <w:jc w:val="both"/>
      </w:pPr>
      <w:r w:rsidRPr="4E73F672" w:rsidR="4E73F672">
        <w:rPr>
          <w:rFonts w:ascii="Verdana" w:hAnsi="Verdana" w:eastAsia="Verdana" w:cs="Verdana"/>
          <w:b w:val="1"/>
          <w:bCs w:val="1"/>
          <w:color w:val="000080"/>
          <w:sz w:val="18"/>
          <w:szCs w:val="18"/>
        </w:rPr>
        <w:t>Kokkuvõte</w:t>
      </w:r>
    </w:p>
    <w:p xmlns:wp14="http://schemas.microsoft.com/office/word/2010/wordml" w:rsidRPr="002D065A" w:rsidR="003B0510" w:rsidP="2E9C8D5A" w:rsidRDefault="00042FF2" w14:paraId="62D59083" wp14:textId="2527B768">
      <w:pPr>
        <w:pStyle w:val="Normaallaad"/>
        <w:jc w:val="both"/>
      </w:pPr>
      <w:r w:rsidRPr="7ABC7D88" w:rsidR="7ABC7D88">
        <w:rPr>
          <w:rFonts w:ascii="Verdana" w:hAnsi="Verdana" w:eastAsia="Verdana" w:cs="Verdana"/>
          <w:b w:val="0"/>
          <w:bCs w:val="0"/>
          <w:color w:val="auto"/>
          <w:sz w:val="18"/>
          <w:szCs w:val="18"/>
          <w:u w:val="single"/>
        </w:rPr>
        <w:t>Ravijuhendid:</w:t>
      </w:r>
      <w:r w:rsidRPr="7ABC7D88" w:rsidR="7ABC7D88">
        <w:rPr>
          <w:rFonts w:ascii="Verdana" w:hAnsi="Verdana" w:eastAsia="Verdana" w:cs="Verdana"/>
          <w:b w:val="0"/>
          <w:bCs w:val="0"/>
          <w:color w:val="auto"/>
          <w:sz w:val="18"/>
          <w:szCs w:val="18"/>
        </w:rPr>
        <w:t xml:space="preserve"> </w:t>
      </w:r>
      <w:r w:rsidRPr="7ABC7D88" w:rsidR="7ABC7D88">
        <w:rPr>
          <w:rFonts w:ascii="Verdana" w:hAnsi="Verdana" w:eastAsia="Verdana" w:cs="Verdana"/>
          <w:b w:val="0"/>
          <w:bCs w:val="0"/>
          <w:color w:val="auto"/>
          <w:sz w:val="18"/>
          <w:szCs w:val="18"/>
        </w:rPr>
        <w:t>Kõige põhjalikumalt käsitlevad teemat ENFS</w:t>
      </w:r>
      <w:r w:rsidRPr="7ABC7D88" w:rsidR="7ABC7D88">
        <w:rPr>
          <w:rFonts w:ascii="Verdana" w:hAnsi="Verdana" w:eastAsia="Verdana" w:cs="Verdana"/>
          <w:b w:val="0"/>
          <w:bCs w:val="0"/>
          <w:color w:val="auto"/>
          <w:sz w:val="18"/>
          <w:szCs w:val="18"/>
        </w:rPr>
        <w:t>, NICE</w:t>
      </w:r>
      <w:r w:rsidRPr="7ABC7D88" w:rsidR="7ABC7D88">
        <w:rPr>
          <w:rFonts w:ascii="Verdana" w:hAnsi="Verdana" w:eastAsia="Verdana" w:cs="Verdana"/>
          <w:b w:val="0"/>
          <w:bCs w:val="0"/>
          <w:color w:val="auto"/>
          <w:sz w:val="18"/>
          <w:szCs w:val="18"/>
        </w:rPr>
        <w:t xml:space="preserve"> ja California ravijuhend</w:t>
      </w:r>
      <w:r w:rsidRPr="7ABC7D88" w:rsidR="7ABC7D88">
        <w:rPr>
          <w:rFonts w:ascii="Verdana" w:hAnsi="Verdana" w:eastAsia="Verdana" w:cs="Verdana"/>
          <w:b w:val="0"/>
          <w:bCs w:val="0"/>
          <w:color w:val="auto"/>
          <w:sz w:val="18"/>
          <w:szCs w:val="18"/>
        </w:rPr>
        <w:t>id. Kõigis ravijuhendites tuuakse välja anamneesi oluline</w:t>
      </w:r>
      <w:r w:rsidRPr="7ABC7D88" w:rsidR="7ABC7D88">
        <w:rPr>
          <w:rFonts w:ascii="Verdana" w:hAnsi="Verdana" w:eastAsia="Verdana" w:cs="Verdana"/>
          <w:b w:val="0"/>
          <w:bCs w:val="0"/>
          <w:color w:val="auto"/>
          <w:sz w:val="18"/>
          <w:szCs w:val="18"/>
        </w:rPr>
        <w:t xml:space="preserve"> roll</w:t>
      </w:r>
      <w:r w:rsidRPr="7ABC7D88" w:rsidR="7ABC7D88">
        <w:rPr>
          <w:rFonts w:ascii="Verdana" w:hAnsi="Verdana" w:eastAsia="Verdana" w:cs="Verdana"/>
          <w:b w:val="0"/>
          <w:bCs w:val="0"/>
          <w:color w:val="auto"/>
          <w:sz w:val="18"/>
          <w:szCs w:val="18"/>
        </w:rPr>
        <w:t xml:space="preserve"> </w:t>
      </w:r>
      <w:proofErr w:type="spellStart"/>
      <w:r w:rsidRPr="7ABC7D88" w:rsidR="7ABC7D88">
        <w:rPr>
          <w:rFonts w:ascii="Verdana" w:hAnsi="Verdana" w:eastAsia="Verdana" w:cs="Verdana"/>
          <w:b w:val="0"/>
          <w:bCs w:val="0"/>
          <w:color w:val="auto"/>
          <w:sz w:val="18"/>
          <w:szCs w:val="18"/>
        </w:rPr>
        <w:t>kognitsioonihäirega</w:t>
      </w:r>
      <w:proofErr w:type="spellEnd"/>
      <w:r w:rsidRPr="7ABC7D88" w:rsidR="7ABC7D88">
        <w:rPr>
          <w:rFonts w:ascii="Verdana" w:hAnsi="Verdana" w:eastAsia="Verdana" w:cs="Verdana"/>
          <w:b w:val="0"/>
          <w:bCs w:val="0"/>
          <w:color w:val="auto"/>
          <w:sz w:val="18"/>
          <w:szCs w:val="18"/>
        </w:rPr>
        <w:t xml:space="preserve"> patsiendi dementsussündroomi tuvastamisel. Anamnees tuleks võtta nii patsiendilt kui ka hooldajalt/lähedaselt. </w:t>
      </w:r>
      <w:r w:rsidRPr="7ABC7D88" w:rsidR="7ABC7D88">
        <w:rPr>
          <w:rFonts w:ascii="Verdana" w:hAnsi="Verdana" w:eastAsia="Verdana" w:cs="Verdana"/>
          <w:b w:val="0"/>
          <w:bCs w:val="0"/>
          <w:color w:val="auto"/>
          <w:sz w:val="18"/>
          <w:szCs w:val="18"/>
        </w:rPr>
        <w:t>Olulised punktid anamneesis: haaratud kognitiivsed funktsioonid, haiguse kulg (sümptomite tekke algus ja progressiooni kiirus)</w:t>
      </w:r>
      <w:r w:rsidRPr="7ABC7D88" w:rsidR="7ABC7D88">
        <w:rPr>
          <w:rFonts w:ascii="Verdana" w:hAnsi="Verdana" w:eastAsia="Verdana" w:cs="Verdana"/>
          <w:b w:val="0"/>
          <w:bCs w:val="0"/>
          <w:color w:val="auto"/>
          <w:sz w:val="18"/>
          <w:szCs w:val="18"/>
        </w:rPr>
        <w:t>, mõju igapäevatoimingutega hakkama</w:t>
      </w:r>
      <w:r w:rsidRPr="7ABC7D88" w:rsidR="7ABC7D88">
        <w:rPr>
          <w:rFonts w:ascii="Verdana" w:hAnsi="Verdana" w:eastAsia="Verdana" w:cs="Verdana"/>
          <w:b w:val="0"/>
          <w:bCs w:val="0"/>
          <w:color w:val="auto"/>
          <w:sz w:val="18"/>
          <w:szCs w:val="18"/>
        </w:rPr>
        <w:t xml:space="preserve"> </w:t>
      </w:r>
      <w:r w:rsidRPr="7ABC7D88" w:rsidR="7ABC7D88">
        <w:rPr>
          <w:rFonts w:ascii="Verdana" w:hAnsi="Verdana" w:eastAsia="Verdana" w:cs="Verdana"/>
          <w:b w:val="0"/>
          <w:bCs w:val="0"/>
          <w:color w:val="auto"/>
          <w:sz w:val="18"/>
          <w:szCs w:val="18"/>
        </w:rPr>
        <w:t>saamisele (funktsionaalne staatus), kaasuvad mittekognitiivsed sümptomid, kaasuvad haigused ja tarvitatavad ravimid (k.a. käsimüügiravimid ja ravimtaimed)</w:t>
      </w:r>
      <w:r w:rsidRPr="7ABC7D88" w:rsidR="7ABC7D88">
        <w:rPr>
          <w:rFonts w:ascii="Verdana" w:hAnsi="Verdana" w:eastAsia="Verdana" w:cs="Verdana"/>
          <w:b w:val="0"/>
          <w:bCs w:val="0"/>
          <w:color w:val="auto"/>
          <w:sz w:val="18"/>
          <w:szCs w:val="18"/>
        </w:rPr>
        <w:t xml:space="preserve">, perekondlik ja hariduslik taust (1, 2, 5). </w:t>
      </w:r>
      <w:r w:rsidRPr="7ABC7D88" w:rsidR="7ABC7D88">
        <w:rPr>
          <w:rFonts w:ascii="Verdana" w:hAnsi="Verdana" w:eastAsia="Verdana" w:cs="Verdana"/>
          <w:sz w:val="18"/>
          <w:szCs w:val="18"/>
        </w:rPr>
        <w:t>California ravijuhend rõhutab ka patsiendi perekonna ja koduse keskkonna hindamist, tugisüsteemide ja peamise hooldaja paika panemist (</w:t>
      </w:r>
      <w:proofErr w:type="spellStart"/>
      <w:r w:rsidRPr="7ABC7D88" w:rsidR="7ABC7D88">
        <w:rPr>
          <w:rFonts w:ascii="Verdana" w:hAnsi="Verdana" w:eastAsia="Verdana" w:cs="Verdana"/>
          <w:i w:val="1"/>
          <w:iCs w:val="1"/>
          <w:sz w:val="18"/>
          <w:szCs w:val="18"/>
        </w:rPr>
        <w:t>primary</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caregiver</w:t>
      </w:r>
      <w:proofErr w:type="spellEnd"/>
      <w:r w:rsidRPr="7ABC7D88" w:rsidR="7ABC7D88">
        <w:rPr>
          <w:rFonts w:ascii="Verdana" w:hAnsi="Verdana" w:eastAsia="Verdana" w:cs="Verdana"/>
          <w:sz w:val="18"/>
          <w:szCs w:val="18"/>
        </w:rPr>
        <w:t xml:space="preserve">) (6). </w:t>
      </w:r>
    </w:p>
    <w:p xmlns:wp14="http://schemas.microsoft.com/office/word/2010/wordml" w:rsidRPr="002D065A" w:rsidR="003B0510" w:rsidP="2E9C8D5A" w:rsidRDefault="00042FF2" w14:paraId="6693CDD5" wp14:textId="2C80974F">
      <w:pPr>
        <w:pStyle w:val="Normaallaad"/>
        <w:jc w:val="both"/>
      </w:pPr>
      <w:r w:rsidRPr="348EA9F5" w:rsidR="348EA9F5">
        <w:rPr>
          <w:rFonts w:ascii="Verdana" w:hAnsi="Verdana" w:eastAsia="Verdana" w:cs="Verdana"/>
          <w:sz w:val="18"/>
          <w:szCs w:val="18"/>
        </w:rPr>
        <w:t xml:space="preserve">Objektiivne uurimine tuleks viia läbi kõigil patsientidel. See hõlmab endast üldist füüsilist läbivaatust, neuroloogilist ja psühhiaatrilist hindamist. </w:t>
      </w:r>
      <w:r w:rsidRPr="348EA9F5" w:rsidR="348EA9F5">
        <w:rPr>
          <w:rFonts w:ascii="Verdana" w:hAnsi="Verdana" w:eastAsia="Verdana" w:cs="Verdana"/>
          <w:sz w:val="18"/>
          <w:szCs w:val="18"/>
        </w:rPr>
        <w:t>Kognitiivne</w:t>
      </w:r>
      <w:r w:rsidRPr="348EA9F5" w:rsidR="348EA9F5">
        <w:rPr>
          <w:rFonts w:ascii="Verdana" w:hAnsi="Verdana" w:eastAsia="Verdana" w:cs="Verdana"/>
          <w:sz w:val="18"/>
          <w:szCs w:val="18"/>
        </w:rPr>
        <w:t xml:space="preserve"> hindamine </w:t>
      </w:r>
      <w:r w:rsidRPr="348EA9F5" w:rsidR="348EA9F5">
        <w:rPr>
          <w:rFonts w:ascii="Verdana" w:hAnsi="Verdana" w:eastAsia="Verdana" w:cs="Verdana"/>
          <w:sz w:val="18"/>
          <w:szCs w:val="18"/>
        </w:rPr>
        <w:t>tuleb läbi viia haridustasemele ja vanusele vastavalt.</w:t>
      </w:r>
      <w:r w:rsidRPr="348EA9F5" w:rsidR="348EA9F5">
        <w:rPr>
          <w:rFonts w:ascii="Verdana" w:hAnsi="Verdana" w:eastAsia="Verdana" w:cs="Verdana"/>
          <w:sz w:val="18"/>
          <w:szCs w:val="18"/>
        </w:rPr>
        <w:t xml:space="preserve"> </w:t>
      </w:r>
      <w:proofErr w:type="spellStart"/>
      <w:r w:rsidRPr="348EA9F5" w:rsidR="348EA9F5">
        <w:rPr>
          <w:rFonts w:ascii="Verdana" w:hAnsi="Verdana" w:eastAsia="Verdana" w:cs="Verdana"/>
          <w:sz w:val="18"/>
          <w:szCs w:val="18"/>
        </w:rPr>
        <w:t>Kognitsiooni</w:t>
      </w:r>
      <w:proofErr w:type="spellEnd"/>
      <w:r w:rsidRPr="348EA9F5" w:rsidR="348EA9F5">
        <w:rPr>
          <w:rFonts w:ascii="Verdana" w:hAnsi="Verdana" w:eastAsia="Verdana" w:cs="Verdana"/>
          <w:sz w:val="18"/>
          <w:szCs w:val="18"/>
        </w:rPr>
        <w:t xml:space="preserve"> hindamiseks vaadeldakse patsiendi tähelepanu, lühi- ja </w:t>
      </w:r>
      <w:proofErr w:type="spellStart"/>
      <w:r w:rsidRPr="348EA9F5" w:rsidR="348EA9F5">
        <w:rPr>
          <w:rFonts w:ascii="Verdana" w:hAnsi="Verdana" w:eastAsia="Verdana" w:cs="Verdana"/>
          <w:sz w:val="18"/>
          <w:szCs w:val="18"/>
        </w:rPr>
        <w:t>kaugmälu</w:t>
      </w:r>
      <w:proofErr w:type="spellEnd"/>
      <w:r w:rsidRPr="348EA9F5" w:rsidR="348EA9F5">
        <w:rPr>
          <w:rFonts w:ascii="Verdana" w:hAnsi="Verdana" w:eastAsia="Verdana" w:cs="Verdana"/>
          <w:sz w:val="18"/>
          <w:szCs w:val="18"/>
        </w:rPr>
        <w:t>, keelt ja visuaal-</w:t>
      </w:r>
      <w:proofErr w:type="spellStart"/>
      <w:r w:rsidRPr="348EA9F5" w:rsidR="348EA9F5">
        <w:rPr>
          <w:rFonts w:ascii="Verdana" w:hAnsi="Verdana" w:eastAsia="Verdana" w:cs="Verdana"/>
          <w:sz w:val="18"/>
          <w:szCs w:val="18"/>
        </w:rPr>
        <w:t>ruumilisi</w:t>
      </w:r>
      <w:proofErr w:type="spellEnd"/>
      <w:r w:rsidRPr="348EA9F5" w:rsidR="348EA9F5">
        <w:rPr>
          <w:rFonts w:ascii="Verdana" w:hAnsi="Verdana" w:eastAsia="Verdana" w:cs="Verdana"/>
          <w:sz w:val="18"/>
          <w:szCs w:val="18"/>
        </w:rPr>
        <w:t xml:space="preserve"> võimeid </w:t>
      </w:r>
      <w:r w:rsidRPr="348EA9F5" w:rsidR="348EA9F5">
        <w:rPr>
          <w:rFonts w:ascii="Verdana" w:hAnsi="Verdana" w:eastAsia="Verdana" w:cs="Verdana"/>
          <w:i w:val="1"/>
          <w:iCs w:val="1"/>
          <w:sz w:val="18"/>
          <w:szCs w:val="18"/>
        </w:rPr>
        <w:t>(</w:t>
      </w:r>
      <w:proofErr w:type="spellStart"/>
      <w:r w:rsidRPr="348EA9F5" w:rsidR="348EA9F5">
        <w:rPr>
          <w:rFonts w:ascii="Verdana" w:hAnsi="Verdana" w:eastAsia="Verdana" w:cs="Verdana"/>
          <w:i w:val="1"/>
          <w:iCs w:val="1"/>
          <w:sz w:val="18"/>
          <w:szCs w:val="18"/>
        </w:rPr>
        <w:t>visuospatial</w:t>
      </w:r>
      <w:proofErr w:type="spellEnd"/>
      <w:r w:rsidRPr="348EA9F5" w:rsidR="348EA9F5">
        <w:rPr>
          <w:rFonts w:ascii="Verdana" w:hAnsi="Verdana" w:eastAsia="Verdana" w:cs="Verdana"/>
          <w:i w:val="1"/>
          <w:iCs w:val="1"/>
          <w:sz w:val="18"/>
          <w:szCs w:val="18"/>
        </w:rPr>
        <w:t xml:space="preserve"> </w:t>
      </w:r>
      <w:proofErr w:type="spellStart"/>
      <w:r w:rsidRPr="348EA9F5" w:rsidR="348EA9F5">
        <w:rPr>
          <w:rFonts w:ascii="Verdana" w:hAnsi="Verdana" w:eastAsia="Verdana" w:cs="Verdana"/>
          <w:i w:val="1"/>
          <w:iCs w:val="1"/>
          <w:sz w:val="18"/>
          <w:szCs w:val="18"/>
        </w:rPr>
        <w:t>skills</w:t>
      </w:r>
      <w:proofErr w:type="spellEnd"/>
      <w:r w:rsidRPr="348EA9F5" w:rsidR="348EA9F5">
        <w:rPr>
          <w:rFonts w:ascii="Verdana" w:hAnsi="Verdana" w:eastAsia="Verdana" w:cs="Verdana"/>
          <w:sz w:val="18"/>
          <w:szCs w:val="18"/>
        </w:rPr>
        <w:t xml:space="preserve">), </w:t>
      </w:r>
      <w:r w:rsidRPr="348EA9F5" w:rsidR="348EA9F5">
        <w:rPr>
          <w:rFonts w:ascii="Verdana" w:hAnsi="Verdana" w:eastAsia="Verdana" w:cs="Verdana"/>
          <w:sz w:val="18"/>
          <w:szCs w:val="18"/>
        </w:rPr>
        <w:t>täidesaatva</w:t>
      </w:r>
      <w:r w:rsidRPr="348EA9F5" w:rsidR="348EA9F5">
        <w:rPr>
          <w:rFonts w:ascii="Verdana" w:hAnsi="Verdana" w:eastAsia="Verdana" w:cs="Verdana"/>
          <w:sz w:val="18"/>
          <w:szCs w:val="18"/>
        </w:rPr>
        <w:t>id</w:t>
      </w:r>
      <w:r w:rsidRPr="348EA9F5" w:rsidR="348EA9F5">
        <w:rPr>
          <w:rFonts w:ascii="Verdana" w:hAnsi="Verdana" w:eastAsia="Verdana" w:cs="Verdana"/>
          <w:sz w:val="18"/>
          <w:szCs w:val="18"/>
        </w:rPr>
        <w:t xml:space="preserve"> funktsioon</w:t>
      </w:r>
      <w:r w:rsidRPr="348EA9F5" w:rsidR="348EA9F5">
        <w:rPr>
          <w:rFonts w:ascii="Verdana" w:hAnsi="Verdana" w:eastAsia="Verdana" w:cs="Verdana"/>
          <w:sz w:val="18"/>
          <w:szCs w:val="18"/>
        </w:rPr>
        <w:t>e</w:t>
      </w:r>
      <w:r w:rsidRPr="348EA9F5" w:rsidR="348EA9F5">
        <w:rPr>
          <w:rFonts w:ascii="Verdana" w:hAnsi="Verdana" w:eastAsia="Verdana" w:cs="Verdana"/>
          <w:sz w:val="18"/>
          <w:szCs w:val="18"/>
        </w:rPr>
        <w:t xml:space="preserve"> (</w:t>
      </w:r>
      <w:proofErr w:type="spellStart"/>
      <w:r w:rsidRPr="348EA9F5" w:rsidR="348EA9F5">
        <w:rPr>
          <w:rFonts w:ascii="Verdana" w:hAnsi="Verdana" w:eastAsia="Verdana" w:cs="Verdana"/>
          <w:i w:val="1"/>
          <w:iCs w:val="1"/>
          <w:sz w:val="18"/>
          <w:szCs w:val="18"/>
        </w:rPr>
        <w:t>executive</w:t>
      </w:r>
      <w:proofErr w:type="spellEnd"/>
      <w:r w:rsidRPr="348EA9F5" w:rsidR="348EA9F5">
        <w:rPr>
          <w:rFonts w:ascii="Verdana" w:hAnsi="Verdana" w:eastAsia="Verdana" w:cs="Verdana"/>
          <w:i w:val="1"/>
          <w:iCs w:val="1"/>
          <w:sz w:val="18"/>
          <w:szCs w:val="18"/>
        </w:rPr>
        <w:t xml:space="preserve"> </w:t>
      </w:r>
      <w:proofErr w:type="spellStart"/>
      <w:r w:rsidRPr="348EA9F5" w:rsidR="348EA9F5">
        <w:rPr>
          <w:rFonts w:ascii="Verdana" w:hAnsi="Verdana" w:eastAsia="Verdana" w:cs="Verdana"/>
          <w:i w:val="1"/>
          <w:iCs w:val="1"/>
          <w:sz w:val="18"/>
          <w:szCs w:val="18"/>
        </w:rPr>
        <w:t>function</w:t>
      </w:r>
      <w:proofErr w:type="spellEnd"/>
      <w:r w:rsidRPr="348EA9F5" w:rsidR="348EA9F5">
        <w:rPr>
          <w:rFonts w:ascii="Verdana" w:hAnsi="Verdana" w:eastAsia="Verdana" w:cs="Verdana"/>
          <w:sz w:val="18"/>
          <w:szCs w:val="18"/>
        </w:rPr>
        <w:t>)</w:t>
      </w:r>
      <w:r w:rsidRPr="348EA9F5" w:rsidR="348EA9F5">
        <w:rPr>
          <w:rFonts w:ascii="Verdana" w:hAnsi="Verdana" w:eastAsia="Verdana" w:cs="Verdana"/>
          <w:sz w:val="18"/>
          <w:szCs w:val="18"/>
        </w:rPr>
        <w:t xml:space="preserve"> </w:t>
      </w:r>
      <w:r w:rsidRPr="348EA9F5" w:rsidR="348EA9F5">
        <w:rPr>
          <w:rFonts w:ascii="Verdana" w:hAnsi="Verdana" w:eastAsia="Verdana" w:cs="Verdana"/>
          <w:sz w:val="18"/>
          <w:szCs w:val="18"/>
        </w:rPr>
        <w:t>ja tegevustega toimetulekut (</w:t>
      </w:r>
      <w:proofErr w:type="spellStart"/>
      <w:r w:rsidRPr="348EA9F5" w:rsidR="348EA9F5">
        <w:rPr>
          <w:rFonts w:ascii="Verdana" w:hAnsi="Verdana" w:eastAsia="Verdana" w:cs="Verdana"/>
          <w:i w:val="1"/>
          <w:iCs w:val="1"/>
          <w:sz w:val="18"/>
          <w:szCs w:val="18"/>
        </w:rPr>
        <w:t>p</w:t>
      </w:r>
      <w:r w:rsidRPr="348EA9F5" w:rsidR="348EA9F5">
        <w:rPr>
          <w:rFonts w:ascii="Verdana" w:hAnsi="Verdana" w:eastAsia="Verdana" w:cs="Verdana"/>
          <w:i w:val="1"/>
          <w:iCs w:val="1"/>
          <w:sz w:val="18"/>
          <w:szCs w:val="18"/>
        </w:rPr>
        <w:t>raxis</w:t>
      </w:r>
      <w:proofErr w:type="spellEnd"/>
      <w:r w:rsidRPr="348EA9F5" w:rsidR="348EA9F5">
        <w:rPr>
          <w:rFonts w:ascii="Verdana" w:hAnsi="Verdana" w:eastAsia="Verdana" w:cs="Verdana"/>
          <w:sz w:val="18"/>
          <w:szCs w:val="18"/>
        </w:rPr>
        <w:t>)</w:t>
      </w:r>
      <w:r w:rsidRPr="348EA9F5" w:rsidR="348EA9F5">
        <w:rPr>
          <w:rFonts w:ascii="Verdana" w:hAnsi="Verdana" w:eastAsia="Verdana" w:cs="Verdana"/>
          <w:sz w:val="18"/>
          <w:szCs w:val="18"/>
        </w:rPr>
        <w:t xml:space="preserve"> (2, 5). </w:t>
      </w:r>
    </w:p>
    <w:p xmlns:wp14="http://schemas.microsoft.com/office/word/2010/wordml" w:rsidRPr="002D065A" w:rsidR="003B0510" w:rsidP="2E9C8D5A" w:rsidRDefault="00042FF2" w14:paraId="0C3E6109" wp14:textId="46522D34">
      <w:pPr>
        <w:pStyle w:val="Normaallaad"/>
        <w:jc w:val="both"/>
      </w:pPr>
      <w:proofErr w:type="spellStart"/>
      <w:r w:rsidRPr="7ABC7D88" w:rsidR="7ABC7D88">
        <w:rPr>
          <w:rFonts w:ascii="Verdana" w:hAnsi="Verdana" w:eastAsia="Verdana" w:cs="Verdana"/>
          <w:sz w:val="18"/>
          <w:szCs w:val="18"/>
        </w:rPr>
        <w:t>Kognitsiooni</w:t>
      </w:r>
      <w:proofErr w:type="spellEnd"/>
      <w:r w:rsidRPr="7ABC7D88" w:rsidR="7ABC7D88">
        <w:rPr>
          <w:rFonts w:ascii="Verdana" w:hAnsi="Verdana" w:eastAsia="Verdana" w:cs="Verdana"/>
          <w:sz w:val="18"/>
          <w:szCs w:val="18"/>
        </w:rPr>
        <w:t xml:space="preserve"> hindamisel tulevad kasuks skriiningtestid. Nad aitavad diagnoosi </w:t>
      </w:r>
      <w:r w:rsidRPr="7ABC7D88" w:rsidR="7ABC7D88">
        <w:rPr>
          <w:rFonts w:ascii="Verdana" w:hAnsi="Verdana" w:eastAsia="Verdana" w:cs="Verdana"/>
          <w:sz w:val="18"/>
          <w:szCs w:val="18"/>
        </w:rPr>
        <w:t xml:space="preserve">kinnitada ja leida patsiendid, kes vajaksid täpsemat uurimist </w:t>
      </w:r>
      <w:proofErr w:type="spellStart"/>
      <w:r w:rsidRPr="7ABC7D88" w:rsidR="7ABC7D88">
        <w:rPr>
          <w:rFonts w:ascii="Verdana" w:hAnsi="Verdana" w:eastAsia="Verdana" w:cs="Verdana"/>
          <w:sz w:val="18"/>
          <w:szCs w:val="18"/>
        </w:rPr>
        <w:t>neuropsühholoogiliste</w:t>
      </w:r>
      <w:proofErr w:type="spellEnd"/>
      <w:r w:rsidRPr="7ABC7D88" w:rsidR="7ABC7D88">
        <w:rPr>
          <w:rFonts w:ascii="Verdana" w:hAnsi="Verdana" w:eastAsia="Verdana" w:cs="Verdana"/>
          <w:sz w:val="18"/>
          <w:szCs w:val="18"/>
        </w:rPr>
        <w:t xml:space="preserve"> testidega (1). </w:t>
      </w:r>
      <w:r w:rsidRPr="7ABC7D88" w:rsidR="7ABC7D88">
        <w:rPr>
          <w:rFonts w:ascii="Verdana" w:hAnsi="Verdana" w:eastAsia="Verdana" w:cs="Verdana"/>
          <w:sz w:val="18"/>
          <w:szCs w:val="18"/>
        </w:rPr>
        <w:t>Kõige sagedamini on kasutusel</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MMSE (</w:t>
      </w:r>
      <w:r w:rsidRPr="7ABC7D88" w:rsidR="7ABC7D88">
        <w:rPr>
          <w:rFonts w:ascii="Verdana" w:hAnsi="Verdana" w:eastAsia="Verdana" w:cs="Verdana"/>
          <w:i w:val="1"/>
          <w:iCs w:val="1"/>
          <w:sz w:val="18"/>
          <w:szCs w:val="18"/>
        </w:rPr>
        <w:t>Mini-</w:t>
      </w:r>
      <w:proofErr w:type="spellStart"/>
      <w:r w:rsidRPr="7ABC7D88" w:rsidR="7ABC7D88">
        <w:rPr>
          <w:rFonts w:ascii="Verdana" w:hAnsi="Verdana" w:eastAsia="Verdana" w:cs="Verdana"/>
          <w:i w:val="1"/>
          <w:iCs w:val="1"/>
          <w:sz w:val="18"/>
          <w:szCs w:val="18"/>
        </w:rPr>
        <w:t>Mental</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State</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Examination</w:t>
      </w:r>
      <w:proofErr w:type="spellEnd"/>
      <w:r w:rsidRPr="7ABC7D88" w:rsidR="7ABC7D88">
        <w:rPr>
          <w:rFonts w:ascii="Verdana" w:hAnsi="Verdana" w:eastAsia="Verdana" w:cs="Verdana"/>
          <w:sz w:val="18"/>
          <w:szCs w:val="18"/>
        </w:rPr>
        <w:t xml:space="preserve">), kuid seda on kritiseeritud, kuna keeleoskus ja haridustase mõjutavad patsiendi tulemust (1, 6). MMSE </w:t>
      </w:r>
      <w:proofErr w:type="spellStart"/>
      <w:r w:rsidRPr="7ABC7D88" w:rsidR="7ABC7D88">
        <w:rPr>
          <w:rFonts w:ascii="Verdana" w:hAnsi="Verdana" w:eastAsia="Verdana" w:cs="Verdana"/>
          <w:sz w:val="18"/>
          <w:szCs w:val="18"/>
        </w:rPr>
        <w:t>cut-off</w:t>
      </w:r>
      <w:proofErr w:type="spellEnd"/>
      <w:r w:rsidRPr="7ABC7D88" w:rsidR="7ABC7D88">
        <w:rPr>
          <w:rFonts w:ascii="Verdana" w:hAnsi="Verdana" w:eastAsia="Verdana" w:cs="Verdana"/>
          <w:sz w:val="18"/>
          <w:szCs w:val="18"/>
        </w:rPr>
        <w:t xml:space="preserve"> skoor</w:t>
      </w:r>
      <w:r w:rsidRPr="7ABC7D88" w:rsidR="7ABC7D88">
        <w:rPr>
          <w:rFonts w:ascii="Verdana" w:hAnsi="Verdana" w:eastAsia="Verdana" w:cs="Verdana"/>
          <w:sz w:val="18"/>
          <w:szCs w:val="18"/>
        </w:rPr>
        <w:t>i</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24 tuleks tõsta kõrgelt haritud patsientidel 27-ni ja langetada neil, kelle emakeel on teine või haridustase on madal</w:t>
      </w:r>
      <w:r w:rsidRPr="7ABC7D88" w:rsidR="7ABC7D88">
        <w:rPr>
          <w:rFonts w:ascii="Verdana" w:hAnsi="Verdana" w:eastAsia="Verdana" w:cs="Verdana"/>
          <w:sz w:val="18"/>
          <w:szCs w:val="18"/>
        </w:rPr>
        <w:t xml:space="preserve"> (1). Teised kasutusel olevad ja valideeritud skriiningtestid: kellatest, 5 sõna test, 7 minuti test,</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ACE</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w:t>
      </w:r>
      <w:proofErr w:type="spellStart"/>
      <w:r w:rsidRPr="7ABC7D88" w:rsidR="7ABC7D88">
        <w:rPr>
          <w:rFonts w:ascii="Verdana" w:hAnsi="Verdana" w:eastAsia="Verdana" w:cs="Verdana"/>
          <w:i w:val="1"/>
          <w:iCs w:val="1"/>
          <w:sz w:val="18"/>
          <w:szCs w:val="18"/>
        </w:rPr>
        <w:t>Addenbrookes</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cognitive</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examination</w:t>
      </w:r>
      <w:proofErr w:type="spellEnd"/>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MOCA</w:t>
      </w:r>
      <w:r w:rsidRPr="7ABC7D88" w:rsidR="7ABC7D88">
        <w:rPr>
          <w:rFonts w:ascii="Verdana" w:hAnsi="Verdana" w:eastAsia="Verdana" w:cs="Verdana"/>
          <w:sz w:val="18"/>
          <w:szCs w:val="18"/>
        </w:rPr>
        <w:t xml:space="preserve"> (</w:t>
      </w:r>
      <w:r w:rsidRPr="7ABC7D88" w:rsidR="7ABC7D88">
        <w:rPr>
          <w:rFonts w:ascii="Verdana" w:hAnsi="Verdana" w:eastAsia="Verdana" w:cs="Verdana"/>
          <w:i w:val="1"/>
          <w:iCs w:val="1"/>
          <w:sz w:val="18"/>
          <w:szCs w:val="18"/>
        </w:rPr>
        <w:t xml:space="preserve">Montreal </w:t>
      </w:r>
      <w:proofErr w:type="spellStart"/>
      <w:r w:rsidRPr="7ABC7D88" w:rsidR="7ABC7D88">
        <w:rPr>
          <w:rFonts w:ascii="Verdana" w:hAnsi="Verdana" w:eastAsia="Verdana" w:cs="Verdana"/>
          <w:i w:val="1"/>
          <w:iCs w:val="1"/>
          <w:sz w:val="18"/>
          <w:szCs w:val="18"/>
        </w:rPr>
        <w:t>Cognitive</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Assessment</w:t>
      </w:r>
      <w:proofErr w:type="spellEnd"/>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BOMC (</w:t>
      </w:r>
      <w:proofErr w:type="spellStart"/>
      <w:r w:rsidRPr="7ABC7D88" w:rsidR="7ABC7D88">
        <w:rPr>
          <w:rFonts w:ascii="Verdana" w:hAnsi="Verdana" w:eastAsia="Verdana" w:cs="Verdana"/>
          <w:i w:val="1"/>
          <w:iCs w:val="1"/>
          <w:sz w:val="18"/>
          <w:szCs w:val="18"/>
        </w:rPr>
        <w:t>Blessed</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Orientation-Memory-Concentration</w:t>
      </w:r>
      <w:proofErr w:type="spellEnd"/>
      <w:r w:rsidRPr="7ABC7D88" w:rsidR="7ABC7D88">
        <w:rPr>
          <w:rFonts w:ascii="Verdana" w:hAnsi="Verdana" w:eastAsia="Verdana" w:cs="Verdana"/>
          <w:i w:val="1"/>
          <w:iCs w:val="1"/>
          <w:sz w:val="18"/>
          <w:szCs w:val="18"/>
        </w:rPr>
        <w:t xml:space="preserve"> Test</w:t>
      </w:r>
      <w:r w:rsidRPr="7ABC7D88" w:rsidR="7ABC7D88">
        <w:rPr>
          <w:rFonts w:ascii="Verdana" w:hAnsi="Verdana" w:eastAsia="Verdana" w:cs="Verdana"/>
          <w:sz w:val="18"/>
          <w:szCs w:val="18"/>
        </w:rPr>
        <w:t>), CASI (</w:t>
      </w:r>
      <w:proofErr w:type="spellStart"/>
      <w:r w:rsidRPr="7ABC7D88" w:rsidR="7ABC7D88">
        <w:rPr>
          <w:rFonts w:ascii="Verdana" w:hAnsi="Verdana" w:eastAsia="Verdana" w:cs="Verdana"/>
          <w:i w:val="1"/>
          <w:iCs w:val="1"/>
          <w:sz w:val="18"/>
          <w:szCs w:val="18"/>
        </w:rPr>
        <w:t>Cognitive</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Assessment</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Screening</w:t>
      </w:r>
      <w:proofErr w:type="spellEnd"/>
      <w:r w:rsidRPr="7ABC7D88" w:rsidR="7ABC7D88">
        <w:rPr>
          <w:rFonts w:ascii="Verdana" w:hAnsi="Verdana" w:eastAsia="Verdana" w:cs="Verdana"/>
          <w:i w:val="1"/>
          <w:iCs w:val="1"/>
          <w:sz w:val="18"/>
          <w:szCs w:val="18"/>
        </w:rPr>
        <w:t xml:space="preserve"> Instrument</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MiniCOG</w:t>
      </w:r>
      <w:proofErr w:type="spellEnd"/>
      <w:r w:rsidRPr="7ABC7D88" w:rsidR="7ABC7D88">
        <w:rPr>
          <w:rFonts w:ascii="Verdana" w:hAnsi="Verdana" w:eastAsia="Verdana" w:cs="Verdana"/>
          <w:sz w:val="18"/>
          <w:szCs w:val="18"/>
        </w:rPr>
        <w:t xml:space="preserve"> </w:t>
      </w:r>
      <w:r w:rsidRPr="7ABC7D88" w:rsidR="7ABC7D88">
        <w:rPr>
          <w:rFonts w:ascii="Verdana" w:hAnsi="Verdana" w:eastAsia="Verdana" w:cs="Verdana"/>
          <w:b w:val="0"/>
          <w:bCs w:val="0"/>
          <w:color w:val="auto"/>
          <w:sz w:val="18"/>
          <w:szCs w:val="18"/>
        </w:rPr>
        <w:t>(</w:t>
      </w:r>
      <w:proofErr w:type="spellStart"/>
      <w:r w:rsidRPr="7ABC7D88" w:rsidR="7ABC7D88">
        <w:rPr>
          <w:rFonts w:ascii="Verdana" w:hAnsi="Verdana" w:eastAsia="Verdana" w:cs="Verdana"/>
          <w:b w:val="0"/>
          <w:bCs w:val="0"/>
          <w:i w:val="1"/>
          <w:iCs w:val="1"/>
          <w:color w:val="auto"/>
          <w:sz w:val="18"/>
          <w:szCs w:val="18"/>
        </w:rPr>
        <w:t>Mental</w:t>
      </w:r>
      <w:proofErr w:type="spellEnd"/>
      <w:r w:rsidRPr="7ABC7D88" w:rsidR="7ABC7D88">
        <w:rPr>
          <w:rFonts w:ascii="Verdana" w:hAnsi="Verdana" w:eastAsia="Verdana" w:cs="Verdana"/>
          <w:b w:val="0"/>
          <w:bCs w:val="0"/>
          <w:i w:val="1"/>
          <w:iCs w:val="1"/>
          <w:color w:val="auto"/>
          <w:sz w:val="18"/>
          <w:szCs w:val="18"/>
        </w:rPr>
        <w:t xml:space="preserve"> </w:t>
      </w:r>
      <w:proofErr w:type="spellStart"/>
      <w:r w:rsidRPr="7ABC7D88" w:rsidR="7ABC7D88">
        <w:rPr>
          <w:rFonts w:ascii="Verdana" w:hAnsi="Verdana" w:eastAsia="Verdana" w:cs="Verdana"/>
          <w:b w:val="0"/>
          <w:bCs w:val="0"/>
          <w:i w:val="1"/>
          <w:iCs w:val="1"/>
          <w:color w:val="auto"/>
          <w:sz w:val="18"/>
          <w:szCs w:val="18"/>
        </w:rPr>
        <w:t>Status</w:t>
      </w:r>
      <w:proofErr w:type="spellEnd"/>
      <w:r w:rsidRPr="7ABC7D88" w:rsidR="7ABC7D88">
        <w:rPr>
          <w:rFonts w:ascii="Verdana" w:hAnsi="Verdana" w:eastAsia="Verdana" w:cs="Verdana"/>
          <w:b w:val="0"/>
          <w:bCs w:val="0"/>
          <w:i w:val="1"/>
          <w:iCs w:val="1"/>
          <w:color w:val="auto"/>
          <w:sz w:val="18"/>
          <w:szCs w:val="18"/>
        </w:rPr>
        <w:t xml:space="preserve"> </w:t>
      </w:r>
      <w:proofErr w:type="spellStart"/>
      <w:r w:rsidRPr="7ABC7D88" w:rsidR="7ABC7D88">
        <w:rPr>
          <w:rFonts w:ascii="Verdana" w:hAnsi="Verdana" w:eastAsia="Verdana" w:cs="Verdana"/>
          <w:b w:val="0"/>
          <w:bCs w:val="0"/>
          <w:i w:val="1"/>
          <w:iCs w:val="1"/>
          <w:color w:val="auto"/>
          <w:sz w:val="18"/>
          <w:szCs w:val="18"/>
        </w:rPr>
        <w:t>Assessment</w:t>
      </w:r>
      <w:proofErr w:type="spellEnd"/>
      <w:r w:rsidRPr="7ABC7D88" w:rsidR="7ABC7D88">
        <w:rPr>
          <w:rFonts w:ascii="Verdana" w:hAnsi="Verdana" w:eastAsia="Verdana" w:cs="Verdana"/>
          <w:b w:val="0"/>
          <w:bCs w:val="0"/>
          <w:i w:val="1"/>
          <w:iCs w:val="1"/>
          <w:color w:val="auto"/>
          <w:sz w:val="18"/>
          <w:szCs w:val="18"/>
        </w:rPr>
        <w:t xml:space="preserve"> of </w:t>
      </w:r>
      <w:proofErr w:type="spellStart"/>
      <w:r w:rsidRPr="7ABC7D88" w:rsidR="7ABC7D88">
        <w:rPr>
          <w:rFonts w:ascii="Verdana" w:hAnsi="Verdana" w:eastAsia="Verdana" w:cs="Verdana"/>
          <w:b w:val="0"/>
          <w:bCs w:val="0"/>
          <w:i w:val="1"/>
          <w:iCs w:val="1"/>
          <w:color w:val="auto"/>
          <w:sz w:val="18"/>
          <w:szCs w:val="18"/>
        </w:rPr>
        <w:t>Older</w:t>
      </w:r>
      <w:proofErr w:type="spellEnd"/>
      <w:r w:rsidRPr="7ABC7D88" w:rsidR="7ABC7D88">
        <w:rPr>
          <w:rFonts w:ascii="Verdana" w:hAnsi="Verdana" w:eastAsia="Verdana" w:cs="Verdana"/>
          <w:b w:val="0"/>
          <w:bCs w:val="0"/>
          <w:i w:val="1"/>
          <w:iCs w:val="1"/>
          <w:color w:val="auto"/>
          <w:sz w:val="18"/>
          <w:szCs w:val="18"/>
        </w:rPr>
        <w:t xml:space="preserve"> </w:t>
      </w:r>
      <w:proofErr w:type="spellStart"/>
      <w:r w:rsidRPr="7ABC7D88" w:rsidR="7ABC7D88">
        <w:rPr>
          <w:rFonts w:ascii="Verdana" w:hAnsi="Verdana" w:eastAsia="Verdana" w:cs="Verdana"/>
          <w:b w:val="0"/>
          <w:bCs w:val="0"/>
          <w:i w:val="1"/>
          <w:iCs w:val="1"/>
          <w:color w:val="auto"/>
          <w:sz w:val="18"/>
          <w:szCs w:val="18"/>
        </w:rPr>
        <w:t>Adults</w:t>
      </w:r>
      <w:proofErr w:type="spellEnd"/>
      <w:r w:rsidRPr="7ABC7D88" w:rsidR="7ABC7D88">
        <w:rPr>
          <w:rFonts w:ascii="Verdana" w:hAnsi="Verdana" w:eastAsia="Verdana" w:cs="Verdana"/>
          <w:b w:val="0"/>
          <w:bCs w:val="0"/>
          <w:i w:val="1"/>
          <w:iCs w:val="1"/>
          <w:color w:val="auto"/>
          <w:sz w:val="18"/>
          <w:szCs w:val="18"/>
        </w:rPr>
        <w:t xml:space="preserve">: </w:t>
      </w:r>
      <w:proofErr w:type="spellStart"/>
      <w:r w:rsidRPr="7ABC7D88" w:rsidR="7ABC7D88">
        <w:rPr>
          <w:rFonts w:ascii="Verdana" w:hAnsi="Verdana" w:eastAsia="Verdana" w:cs="Verdana"/>
          <w:b w:val="0"/>
          <w:bCs w:val="0"/>
          <w:i w:val="1"/>
          <w:iCs w:val="1"/>
          <w:color w:val="auto"/>
          <w:sz w:val="18"/>
          <w:szCs w:val="18"/>
        </w:rPr>
        <w:t>The</w:t>
      </w:r>
      <w:proofErr w:type="spellEnd"/>
      <w:r w:rsidRPr="7ABC7D88" w:rsidR="7ABC7D88">
        <w:rPr>
          <w:rFonts w:ascii="Verdana" w:hAnsi="Verdana" w:eastAsia="Verdana" w:cs="Verdana"/>
          <w:b w:val="0"/>
          <w:bCs w:val="0"/>
          <w:i w:val="1"/>
          <w:iCs w:val="1"/>
          <w:color w:val="auto"/>
          <w:sz w:val="18"/>
          <w:szCs w:val="18"/>
        </w:rPr>
        <w:t xml:space="preserve"> </w:t>
      </w:r>
      <w:r w:rsidRPr="7ABC7D88" w:rsidR="7ABC7D88">
        <w:rPr>
          <w:rFonts w:ascii="Verdana" w:hAnsi="Verdana" w:eastAsia="Verdana" w:cs="Verdana"/>
          <w:b w:val="0"/>
          <w:bCs w:val="0"/>
          <w:i w:val="1"/>
          <w:iCs w:val="1"/>
          <w:color w:val="auto"/>
          <w:sz w:val="18"/>
          <w:szCs w:val="18"/>
        </w:rPr>
        <w:t>Mini-</w:t>
      </w:r>
      <w:proofErr w:type="spellStart"/>
      <w:r w:rsidRPr="7ABC7D88" w:rsidR="7ABC7D88">
        <w:rPr>
          <w:rFonts w:ascii="Verdana" w:hAnsi="Verdana" w:eastAsia="Verdana" w:cs="Verdana"/>
          <w:b w:val="0"/>
          <w:bCs w:val="0"/>
          <w:i w:val="1"/>
          <w:iCs w:val="1"/>
          <w:color w:val="auto"/>
          <w:sz w:val="18"/>
          <w:szCs w:val="18"/>
        </w:rPr>
        <w:t>Cog</w:t>
      </w:r>
      <w:proofErr w:type="spellEnd"/>
      <w:r w:rsidRPr="7ABC7D88" w:rsidR="7ABC7D88">
        <w:rPr>
          <w:rFonts w:ascii="Verdana" w:hAnsi="Verdana" w:eastAsia="Verdana" w:cs="Verdana"/>
          <w:b w:val="0"/>
          <w:bCs w:val="0"/>
          <w:color w:val="auto"/>
          <w:sz w:val="18"/>
          <w:szCs w:val="18"/>
        </w:rPr>
        <w:t>)</w:t>
      </w:r>
      <w:r w:rsidRPr="7ABC7D88" w:rsidR="7ABC7D88">
        <w:rPr>
          <w:rFonts w:ascii="Verdana" w:hAnsi="Verdana" w:eastAsia="Verdana" w:cs="Verdana"/>
          <w:sz w:val="18"/>
          <w:szCs w:val="18"/>
        </w:rPr>
        <w:t>, SLUMS (</w:t>
      </w:r>
      <w:r w:rsidRPr="7ABC7D88" w:rsidR="7ABC7D88">
        <w:rPr>
          <w:rFonts w:ascii="Verdana" w:hAnsi="Verdana" w:eastAsia="Verdana" w:cs="Verdana"/>
          <w:i w:val="1"/>
          <w:iCs w:val="1"/>
          <w:sz w:val="18"/>
          <w:szCs w:val="18"/>
        </w:rPr>
        <w:t xml:space="preserve">St. Louis </w:t>
      </w:r>
      <w:proofErr w:type="spellStart"/>
      <w:r w:rsidRPr="7ABC7D88" w:rsidR="7ABC7D88">
        <w:rPr>
          <w:rFonts w:ascii="Verdana" w:hAnsi="Verdana" w:eastAsia="Verdana" w:cs="Verdana"/>
          <w:i w:val="1"/>
          <w:iCs w:val="1"/>
          <w:sz w:val="18"/>
          <w:szCs w:val="18"/>
        </w:rPr>
        <w:t>University</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Mental</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Status</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Examination</w:t>
      </w:r>
      <w:proofErr w:type="spellEnd"/>
      <w:r w:rsidRPr="7ABC7D88" w:rsidR="7ABC7D88">
        <w:rPr>
          <w:rFonts w:ascii="Verdana" w:hAnsi="Verdana" w:eastAsia="Verdana" w:cs="Verdana"/>
          <w:sz w:val="18"/>
          <w:szCs w:val="18"/>
        </w:rPr>
        <w:t>)</w:t>
      </w:r>
      <w:r w:rsidRPr="7ABC7D88" w:rsidR="7ABC7D88">
        <w:rPr>
          <w:rFonts w:ascii="Verdana" w:hAnsi="Verdana" w:eastAsia="Verdana" w:cs="Verdana"/>
          <w:sz w:val="18"/>
          <w:szCs w:val="18"/>
        </w:rPr>
        <w:t>, 6-</w:t>
      </w:r>
      <w:r w:rsidRPr="7ABC7D88" w:rsidR="7ABC7D88">
        <w:rPr>
          <w:rFonts w:ascii="Verdana" w:hAnsi="Verdana" w:eastAsia="Verdana" w:cs="Verdana"/>
          <w:sz w:val="18"/>
          <w:szCs w:val="18"/>
        </w:rPr>
        <w:t>CIT (</w:t>
      </w:r>
      <w:r w:rsidRPr="7ABC7D88" w:rsidR="7ABC7D88">
        <w:rPr>
          <w:rFonts w:ascii="Verdana" w:hAnsi="Verdana" w:eastAsia="Verdana" w:cs="Verdana"/>
          <w:i w:val="1"/>
          <w:iCs w:val="1"/>
          <w:sz w:val="18"/>
          <w:szCs w:val="18"/>
        </w:rPr>
        <w:t>6-item</w:t>
      </w:r>
      <w:r w:rsidRPr="7ABC7D88" w:rsidR="7ABC7D88">
        <w:rPr>
          <w:rFonts w:ascii="Verdana" w:hAnsi="Verdana" w:eastAsia="Verdana" w:cs="Verdana"/>
          <w:i w:val="1"/>
          <w:iCs w:val="1"/>
          <w:sz w:val="18"/>
          <w:szCs w:val="18"/>
        </w:rPr>
        <w:t>Cognitive</w:t>
      </w:r>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Impairment</w:t>
      </w:r>
      <w:proofErr w:type="spellEnd"/>
      <w:r w:rsidRPr="7ABC7D88" w:rsidR="7ABC7D88">
        <w:rPr>
          <w:rFonts w:ascii="Verdana" w:hAnsi="Verdana" w:eastAsia="Verdana" w:cs="Verdana"/>
          <w:i w:val="1"/>
          <w:iCs w:val="1"/>
          <w:sz w:val="18"/>
          <w:szCs w:val="18"/>
        </w:rPr>
        <w:t xml:space="preserve"> Test</w:t>
      </w:r>
      <w:r w:rsidRPr="7ABC7D88" w:rsidR="7ABC7D88">
        <w:rPr>
          <w:rFonts w:ascii="Verdana" w:hAnsi="Verdana" w:eastAsia="Verdana" w:cs="Verdana"/>
          <w:i w:val="1"/>
          <w:iCs w:val="1"/>
          <w:sz w:val="18"/>
          <w:szCs w:val="18"/>
        </w:rPr>
        <w:t xml:space="preserve">), </w:t>
      </w:r>
      <w:r w:rsidRPr="7ABC7D88" w:rsidR="7ABC7D88">
        <w:rPr>
          <w:rFonts w:ascii="Verdana" w:hAnsi="Verdana" w:eastAsia="Verdana" w:cs="Verdana"/>
          <w:i w:val="1"/>
          <w:iCs w:val="1"/>
          <w:sz w:val="18"/>
          <w:szCs w:val="18"/>
        </w:rPr>
        <w:t>GPCOG (</w:t>
      </w:r>
      <w:proofErr w:type="spellStart"/>
      <w:r w:rsidRPr="7ABC7D88" w:rsidR="7ABC7D88">
        <w:rPr>
          <w:rFonts w:ascii="Verdana" w:hAnsi="Verdana" w:eastAsia="Verdana" w:cs="Verdana"/>
          <w:i w:val="1"/>
          <w:iCs w:val="1"/>
          <w:sz w:val="18"/>
          <w:szCs w:val="18"/>
        </w:rPr>
        <w:t>the</w:t>
      </w:r>
      <w:proofErr w:type="spellEnd"/>
      <w:r w:rsidRPr="7ABC7D88" w:rsidR="7ABC7D88">
        <w:rPr>
          <w:rFonts w:ascii="Verdana" w:hAnsi="Verdana" w:eastAsia="Verdana" w:cs="Verdana"/>
          <w:i w:val="1"/>
          <w:iCs w:val="1"/>
          <w:sz w:val="18"/>
          <w:szCs w:val="18"/>
        </w:rPr>
        <w:t xml:space="preserve"> General </w:t>
      </w:r>
      <w:proofErr w:type="spellStart"/>
      <w:r w:rsidRPr="7ABC7D88" w:rsidR="7ABC7D88">
        <w:rPr>
          <w:rFonts w:ascii="Verdana" w:hAnsi="Verdana" w:eastAsia="Verdana" w:cs="Verdana"/>
          <w:i w:val="1"/>
          <w:iCs w:val="1"/>
          <w:sz w:val="18"/>
          <w:szCs w:val="18"/>
        </w:rPr>
        <w:t>Practitioner</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Assessment</w:t>
      </w:r>
      <w:proofErr w:type="spellEnd"/>
      <w:r w:rsidRPr="7ABC7D88" w:rsidR="7ABC7D88">
        <w:rPr>
          <w:rFonts w:ascii="Verdana" w:hAnsi="Verdana" w:eastAsia="Verdana" w:cs="Verdana"/>
          <w:i w:val="1"/>
          <w:iCs w:val="1"/>
          <w:sz w:val="18"/>
          <w:szCs w:val="18"/>
        </w:rPr>
        <w:t xml:space="preserve"> of </w:t>
      </w:r>
      <w:proofErr w:type="spellStart"/>
      <w:r w:rsidRPr="7ABC7D88" w:rsidR="7ABC7D88">
        <w:rPr>
          <w:rFonts w:ascii="Verdana" w:hAnsi="Verdana" w:eastAsia="Verdana" w:cs="Verdana"/>
          <w:i w:val="1"/>
          <w:iCs w:val="1"/>
          <w:sz w:val="18"/>
          <w:szCs w:val="18"/>
        </w:rPr>
        <w:t>Cognition</w:t>
      </w:r>
      <w:proofErr w:type="spellEnd"/>
      <w:r w:rsidRPr="7ABC7D88" w:rsidR="7ABC7D88">
        <w:rPr>
          <w:rFonts w:ascii="Verdana" w:hAnsi="Verdana" w:eastAsia="Verdana" w:cs="Verdana"/>
          <w:i w:val="1"/>
          <w:iCs w:val="1"/>
          <w:sz w:val="18"/>
          <w:szCs w:val="18"/>
        </w:rPr>
        <w:t>)</w:t>
      </w:r>
      <w:r w:rsidRPr="7ABC7D88" w:rsidR="7ABC7D88">
        <w:rPr>
          <w:rFonts w:ascii="Verdana" w:hAnsi="Verdana" w:eastAsia="Verdana" w:cs="Verdana"/>
          <w:i w:val="1"/>
          <w:iCs w:val="1"/>
          <w:sz w:val="18"/>
          <w:szCs w:val="18"/>
        </w:rPr>
        <w:t>, jne</w:t>
      </w:r>
      <w:r w:rsidRPr="7ABC7D88" w:rsidR="7ABC7D88">
        <w:rPr>
          <w:rFonts w:ascii="Verdana" w:hAnsi="Verdana" w:eastAsia="Verdana" w:cs="Verdana"/>
          <w:i w:val="1"/>
          <w:iCs w:val="1"/>
          <w:sz w:val="18"/>
          <w:szCs w:val="18"/>
        </w:rPr>
        <w:t xml:space="preserve">. </w:t>
      </w:r>
      <w:r w:rsidRPr="7ABC7D88" w:rsidR="7ABC7D88">
        <w:rPr>
          <w:rFonts w:ascii="Verdana" w:hAnsi="Verdana" w:eastAsia="Verdana" w:cs="Verdana"/>
          <w:sz w:val="18"/>
          <w:szCs w:val="18"/>
        </w:rPr>
        <w:t xml:space="preserve">(1, 5, </w:t>
      </w:r>
      <w:r w:rsidRPr="7ABC7D88" w:rsidR="7ABC7D88">
        <w:rPr>
          <w:rFonts w:ascii="Verdana" w:hAnsi="Verdana" w:eastAsia="Verdana" w:cs="Verdana"/>
          <w:sz w:val="18"/>
          <w:szCs w:val="18"/>
        </w:rPr>
        <w:t>6</w:t>
      </w:r>
      <w:r w:rsidRPr="7ABC7D88" w:rsidR="7ABC7D88">
        <w:rPr>
          <w:rFonts w:ascii="Verdana" w:hAnsi="Verdana" w:eastAsia="Verdana" w:cs="Verdana"/>
          <w:sz w:val="18"/>
          <w:szCs w:val="18"/>
        </w:rPr>
        <w:t xml:space="preserve">). </w:t>
      </w:r>
    </w:p>
    <w:p xmlns:wp14="http://schemas.microsoft.com/office/word/2010/wordml" w:rsidRPr="002D065A" w:rsidR="003B0510" w:rsidP="2E9C8D5A" w:rsidRDefault="00042FF2" w14:paraId="216C6781" wp14:textId="43BAE88A">
      <w:pPr>
        <w:pStyle w:val="Normaallaad"/>
        <w:jc w:val="both"/>
      </w:pPr>
      <w:proofErr w:type="spellStart"/>
      <w:r w:rsidRPr="348EA9F5" w:rsidR="348EA9F5">
        <w:rPr>
          <w:rFonts w:ascii="Verdana" w:hAnsi="Verdana" w:eastAsia="Verdana" w:cs="Verdana"/>
          <w:sz w:val="18"/>
          <w:szCs w:val="18"/>
        </w:rPr>
        <w:t>Kognitsiooni</w:t>
      </w:r>
      <w:proofErr w:type="spellEnd"/>
      <w:r w:rsidRPr="348EA9F5" w:rsidR="348EA9F5">
        <w:rPr>
          <w:rFonts w:ascii="Verdana" w:hAnsi="Verdana" w:eastAsia="Verdana" w:cs="Verdana"/>
          <w:sz w:val="18"/>
          <w:szCs w:val="18"/>
        </w:rPr>
        <w:t xml:space="preserve"> hindamine tuleks läbi viia iga 6 kuu </w:t>
      </w:r>
      <w:r w:rsidRPr="348EA9F5" w:rsidR="348EA9F5">
        <w:rPr>
          <w:rFonts w:ascii="Verdana" w:hAnsi="Verdana" w:eastAsia="Verdana" w:cs="Verdana"/>
          <w:sz w:val="18"/>
          <w:szCs w:val="18"/>
        </w:rPr>
        <w:t>taga</w:t>
      </w:r>
      <w:r w:rsidRPr="348EA9F5" w:rsidR="348EA9F5">
        <w:rPr>
          <w:rFonts w:ascii="Verdana" w:hAnsi="Verdana" w:eastAsia="Verdana" w:cs="Verdana"/>
          <w:sz w:val="18"/>
          <w:szCs w:val="18"/>
        </w:rPr>
        <w:t>n</w:t>
      </w:r>
      <w:r w:rsidRPr="348EA9F5" w:rsidR="348EA9F5">
        <w:rPr>
          <w:rFonts w:ascii="Verdana" w:hAnsi="Verdana" w:eastAsia="Verdana" w:cs="Verdana"/>
          <w:sz w:val="18"/>
          <w:szCs w:val="18"/>
        </w:rPr>
        <w:t>t</w:t>
      </w:r>
      <w:r w:rsidRPr="348EA9F5" w:rsidR="348EA9F5">
        <w:rPr>
          <w:rFonts w:ascii="Verdana" w:hAnsi="Verdana" w:eastAsia="Verdana" w:cs="Verdana"/>
          <w:sz w:val="18"/>
          <w:szCs w:val="18"/>
        </w:rPr>
        <w:t xml:space="preserve">. Juhul, kui tekib järsk </w:t>
      </w:r>
      <w:proofErr w:type="spellStart"/>
      <w:r w:rsidRPr="348EA9F5" w:rsidR="348EA9F5">
        <w:rPr>
          <w:rFonts w:ascii="Verdana" w:hAnsi="Verdana" w:eastAsia="Verdana" w:cs="Verdana"/>
          <w:sz w:val="18"/>
          <w:szCs w:val="18"/>
        </w:rPr>
        <w:t>kognitsiooni</w:t>
      </w:r>
      <w:proofErr w:type="spellEnd"/>
      <w:r w:rsidRPr="348EA9F5" w:rsidR="348EA9F5">
        <w:rPr>
          <w:rFonts w:ascii="Verdana" w:hAnsi="Verdana" w:eastAsia="Verdana" w:cs="Verdana"/>
          <w:sz w:val="18"/>
          <w:szCs w:val="18"/>
        </w:rPr>
        <w:t xml:space="preserve"> langus, äkilised muutused käitumises, jm</w:t>
      </w:r>
      <w:r w:rsidRPr="348EA9F5" w:rsidR="348EA9F5">
        <w:rPr>
          <w:rFonts w:ascii="Verdana" w:hAnsi="Verdana" w:eastAsia="Verdana" w:cs="Verdana"/>
          <w:sz w:val="18"/>
          <w:szCs w:val="18"/>
        </w:rPr>
        <w:t>.</w:t>
      </w:r>
      <w:r w:rsidRPr="348EA9F5" w:rsidR="348EA9F5">
        <w:rPr>
          <w:rFonts w:ascii="Verdana" w:hAnsi="Verdana" w:eastAsia="Verdana" w:cs="Verdana"/>
          <w:sz w:val="18"/>
          <w:szCs w:val="18"/>
        </w:rPr>
        <w:t>, siis ka tihedamini (6).</w:t>
      </w:r>
    </w:p>
    <w:p xmlns:wp14="http://schemas.microsoft.com/office/word/2010/wordml" w:rsidRPr="002D065A" w:rsidR="003B0510" w:rsidP="2E9C8D5A" w:rsidRDefault="00042FF2" w14:paraId="288D7CFF" wp14:textId="6673B910">
      <w:pPr>
        <w:pStyle w:val="Normaallaad"/>
        <w:jc w:val="both"/>
      </w:pPr>
      <w:r w:rsidRPr="348EA9F5" w:rsidR="348EA9F5">
        <w:rPr>
          <w:rFonts w:ascii="Verdana" w:hAnsi="Verdana" w:eastAsia="Verdana" w:cs="Verdana"/>
          <w:sz w:val="18"/>
          <w:szCs w:val="18"/>
        </w:rPr>
        <w:t>Dementsuse diagnoos on kliiniline ja enamasti võimalik anamneesi, objektiivse leiu ja skriiningtestide abiga. Juhul, kui tekivad diagnostilised raskused (kerge dementsus või küsitav dementsussündroom)</w:t>
      </w:r>
      <w:r w:rsidRPr="348EA9F5" w:rsidR="348EA9F5">
        <w:rPr>
          <w:rFonts w:ascii="Verdana" w:hAnsi="Verdana" w:eastAsia="Verdana" w:cs="Verdana"/>
          <w:sz w:val="18"/>
          <w:szCs w:val="18"/>
        </w:rPr>
        <w:t xml:space="preserve">, on soovitav </w:t>
      </w:r>
      <w:proofErr w:type="spellStart"/>
      <w:r w:rsidRPr="348EA9F5" w:rsidR="348EA9F5">
        <w:rPr>
          <w:rFonts w:ascii="Verdana" w:hAnsi="Verdana" w:eastAsia="Verdana" w:cs="Verdana"/>
          <w:sz w:val="18"/>
          <w:szCs w:val="18"/>
        </w:rPr>
        <w:t>neuropsühhiaatriliste</w:t>
      </w:r>
      <w:proofErr w:type="spellEnd"/>
      <w:r w:rsidRPr="348EA9F5" w:rsidR="348EA9F5">
        <w:rPr>
          <w:rFonts w:ascii="Verdana" w:hAnsi="Verdana" w:eastAsia="Verdana" w:cs="Verdana"/>
          <w:sz w:val="18"/>
          <w:szCs w:val="18"/>
        </w:rPr>
        <w:t xml:space="preserve"> testide tegemine</w:t>
      </w:r>
      <w:r w:rsidRPr="348EA9F5" w:rsidR="348EA9F5">
        <w:rPr>
          <w:rFonts w:ascii="Verdana" w:hAnsi="Verdana" w:eastAsia="Verdana" w:cs="Verdana"/>
          <w:sz w:val="18"/>
          <w:szCs w:val="18"/>
        </w:rPr>
        <w:t xml:space="preserve"> (4, 5, 7).</w:t>
      </w:r>
    </w:p>
    <w:p xmlns:wp14="http://schemas.microsoft.com/office/word/2010/wordml" w:rsidRPr="002D065A" w:rsidR="003B0510" w:rsidP="2E9C8D5A" w:rsidRDefault="00042FF2" w14:paraId="5D6183EA" wp14:textId="3A37182A">
      <w:pPr>
        <w:pStyle w:val="Normaallaad"/>
        <w:jc w:val="both"/>
      </w:pPr>
      <w:proofErr w:type="spellStart"/>
      <w:r w:rsidRPr="348EA9F5" w:rsidR="348EA9F5">
        <w:rPr>
          <w:rFonts w:ascii="Verdana,Arial" w:hAnsi="Verdana,Arial" w:eastAsia="Verdana,Arial" w:cs="Verdana,Arial"/>
          <w:b w:val="1"/>
          <w:bCs w:val="1"/>
          <w:color w:val="000080"/>
          <w:sz w:val="18"/>
          <w:szCs w:val="18"/>
          <w:lang w:val="fi-FI"/>
        </w:rPr>
        <w:t>Soovitused</w:t>
      </w:r>
      <w:proofErr w:type="spellEnd"/>
      <w:r w:rsidRPr="348EA9F5" w:rsidR="348EA9F5">
        <w:rPr>
          <w:rFonts w:ascii="Verdana,Arial" w:hAnsi="Verdana,Arial" w:eastAsia="Verdana,Arial" w:cs="Verdana,Arial"/>
          <w:b w:val="1"/>
          <w:bCs w:val="1"/>
          <w:color w:val="000080"/>
          <w:sz w:val="18"/>
          <w:szCs w:val="18"/>
          <w:lang w:val="fi-FI"/>
        </w:rPr>
        <w:t>:</w:t>
      </w:r>
      <w:r w:rsidRPr="348EA9F5" w:rsidR="348EA9F5">
        <w:rPr>
          <w:rFonts w:ascii="Verdana,Arial" w:hAnsi="Verdana,Arial" w:eastAsia="Verdana,Arial" w:cs="Verdana,Arial"/>
          <w:b w:val="1"/>
          <w:bCs w:val="1"/>
          <w:color w:val="000080"/>
          <w:sz w:val="18"/>
          <w:szCs w:val="18"/>
          <w:lang w:val="fi-FI"/>
        </w:rPr>
        <w:t xml:space="preserve"> </w:t>
      </w:r>
    </w:p>
    <w:p w:rsidR="348EA9F5" w:rsidP="348EA9F5" w:rsidRDefault="348EA9F5" w14:noSpellErr="1" w14:paraId="1F96B444" w14:textId="6E14787C">
      <w:pPr>
        <w:pStyle w:val="Loendilik"/>
        <w:numPr>
          <w:ilvl w:val="0"/>
          <w:numId w:val="21"/>
        </w:numPr>
        <w:ind w:left="360"/>
        <w:jc w:val="both"/>
        <w:rPr>
          <w:rFonts w:ascii="Times New Roman" w:hAnsi="Times New Roman" w:eastAsia="Times New Roman" w:cs="Times New Roman"/>
          <w:sz w:val="24"/>
          <w:szCs w:val="24"/>
        </w:rPr>
      </w:pPr>
      <w:r w:rsidRPr="348EA9F5" w:rsidR="348EA9F5">
        <w:rPr>
          <w:rFonts w:ascii="Verdana" w:hAnsi="Verdana" w:eastAsia="Verdana" w:cs="Verdana"/>
          <w:sz w:val="18"/>
          <w:szCs w:val="18"/>
          <w:lang w:val="et-EE"/>
        </w:rPr>
        <w:t>Dementsuss</w:t>
      </w:r>
      <w:r w:rsidRPr="348EA9F5" w:rsidR="348EA9F5">
        <w:rPr>
          <w:rFonts w:ascii="Verdana" w:hAnsi="Verdana" w:eastAsia="Verdana" w:cs="Verdana"/>
          <w:sz w:val="18"/>
          <w:szCs w:val="18"/>
          <w:lang w:val="et-EE"/>
        </w:rPr>
        <w:t>ündroomi</w:t>
      </w:r>
      <w:r w:rsidRPr="348EA9F5" w:rsidR="348EA9F5">
        <w:rPr>
          <w:rFonts w:ascii="Verdana" w:hAnsi="Verdana" w:eastAsia="Verdana" w:cs="Verdana"/>
          <w:sz w:val="18"/>
          <w:szCs w:val="18"/>
          <w:lang w:val="et-EE"/>
        </w:rPr>
        <w:t xml:space="preserve"> kahtlusel tuleb võtta põhjalik anamnees nii patsiendilt kui ka tema hooldajalt/lähedaselt</w:t>
      </w:r>
      <w:r w:rsidRPr="348EA9F5" w:rsidR="348EA9F5">
        <w:rPr>
          <w:rFonts w:ascii="Verdana" w:hAnsi="Verdana" w:eastAsia="Verdana" w:cs="Verdana"/>
          <w:sz w:val="18"/>
          <w:szCs w:val="18"/>
        </w:rPr>
        <w:t xml:space="preserve"> </w:t>
      </w:r>
    </w:p>
    <w:p w:rsidR="348EA9F5" w:rsidP="348EA9F5" w:rsidRDefault="348EA9F5" w14:paraId="6D24D688" w14:textId="6E7975CF">
      <w:pPr>
        <w:pStyle w:val="Loendilik"/>
        <w:numPr>
          <w:ilvl w:val="0"/>
          <w:numId w:val="21"/>
        </w:numPr>
        <w:ind w:left="360"/>
        <w:jc w:val="both"/>
        <w:rPr>
          <w:rFonts w:ascii="Times New Roman" w:hAnsi="Times New Roman" w:eastAsia="Times New Roman" w:cs="Times New Roman"/>
          <w:sz w:val="24"/>
          <w:szCs w:val="24"/>
        </w:rPr>
      </w:pPr>
      <w:r w:rsidRPr="348EA9F5" w:rsidR="348EA9F5">
        <w:rPr>
          <w:rFonts w:ascii="Verdana" w:hAnsi="Verdana" w:eastAsia="Verdana" w:cs="Verdana"/>
          <w:sz w:val="18"/>
          <w:szCs w:val="18"/>
          <w:lang w:val="et-EE"/>
        </w:rPr>
        <w:t>Dementsuss</w:t>
      </w:r>
      <w:r w:rsidRPr="348EA9F5" w:rsidR="348EA9F5">
        <w:rPr>
          <w:rFonts w:ascii="Verdana" w:hAnsi="Verdana" w:eastAsia="Verdana" w:cs="Verdana"/>
          <w:sz w:val="18"/>
          <w:szCs w:val="18"/>
          <w:lang w:val="et-EE"/>
        </w:rPr>
        <w:t>ündroomi</w:t>
      </w:r>
      <w:r w:rsidRPr="348EA9F5" w:rsidR="348EA9F5">
        <w:rPr>
          <w:rFonts w:ascii="Verdana" w:hAnsi="Verdana" w:eastAsia="Verdana" w:cs="Verdana"/>
          <w:sz w:val="18"/>
          <w:szCs w:val="18"/>
          <w:lang w:val="et-EE"/>
        </w:rPr>
        <w:t xml:space="preserve"> kahtlusel tuleb läbi viia objektiivne uurimine, välistamaks </w:t>
      </w:r>
      <w:proofErr w:type="spellStart"/>
      <w:r w:rsidRPr="348EA9F5" w:rsidR="348EA9F5">
        <w:rPr>
          <w:rFonts w:ascii="Verdana" w:hAnsi="Verdana" w:eastAsia="Verdana" w:cs="Verdana"/>
          <w:sz w:val="18"/>
          <w:szCs w:val="18"/>
          <w:lang w:val="et-EE"/>
        </w:rPr>
        <w:t>kognitsioonhäire</w:t>
      </w:r>
      <w:proofErr w:type="spellEnd"/>
      <w:r w:rsidRPr="348EA9F5" w:rsidR="348EA9F5">
        <w:rPr>
          <w:rFonts w:ascii="Verdana" w:hAnsi="Verdana" w:eastAsia="Verdana" w:cs="Verdana"/>
          <w:sz w:val="18"/>
          <w:szCs w:val="18"/>
          <w:lang w:val="et-EE"/>
        </w:rPr>
        <w:t xml:space="preserve"> põhjuseks olevad muud haigused (neuroloogilised, psühhiaatrilised, jne?)</w:t>
      </w:r>
      <w:r w:rsidRPr="348EA9F5" w:rsidR="348EA9F5">
        <w:rPr>
          <w:rFonts w:ascii="Verdana" w:hAnsi="Verdana" w:eastAsia="Verdana" w:cs="Verdana"/>
          <w:sz w:val="18"/>
          <w:szCs w:val="18"/>
        </w:rPr>
        <w:t xml:space="preserve"> </w:t>
      </w:r>
    </w:p>
    <w:p w:rsidR="348EA9F5" w:rsidP="348EA9F5" w:rsidRDefault="348EA9F5" w14:paraId="50E70886" w14:textId="198DDD89">
      <w:pPr>
        <w:pStyle w:val="Loendilik"/>
        <w:numPr>
          <w:ilvl w:val="0"/>
          <w:numId w:val="21"/>
        </w:numPr>
        <w:ind w:left="360"/>
        <w:jc w:val="both"/>
        <w:rPr>
          <w:rFonts w:ascii="Times New Roman" w:hAnsi="Times New Roman" w:eastAsia="Times New Roman" w:cs="Times New Roman"/>
          <w:sz w:val="24"/>
          <w:szCs w:val="24"/>
        </w:rPr>
      </w:pPr>
      <w:r w:rsidRPr="348EA9F5" w:rsidR="348EA9F5">
        <w:rPr>
          <w:rFonts w:ascii="Verdana" w:hAnsi="Verdana" w:eastAsia="Verdana" w:cs="Verdana"/>
          <w:sz w:val="18"/>
          <w:szCs w:val="18"/>
          <w:lang w:val="et-EE"/>
        </w:rPr>
        <w:t>K</w:t>
      </w:r>
      <w:r w:rsidRPr="348EA9F5" w:rsidR="348EA9F5">
        <w:rPr>
          <w:rFonts w:ascii="Verdana" w:hAnsi="Verdana" w:eastAsia="Verdana" w:cs="Verdana"/>
          <w:sz w:val="18"/>
          <w:szCs w:val="18"/>
          <w:lang w:val="et-EE"/>
        </w:rPr>
        <w:t>õigil</w:t>
      </w:r>
      <w:r w:rsidRPr="348EA9F5" w:rsidR="348EA9F5">
        <w:rPr>
          <w:rFonts w:ascii="Verdana" w:hAnsi="Verdana" w:eastAsia="Verdana" w:cs="Verdana"/>
          <w:sz w:val="18"/>
          <w:szCs w:val="18"/>
          <w:lang w:val="et-EE"/>
        </w:rPr>
        <w:t xml:space="preserve"> </w:t>
      </w:r>
      <w:proofErr w:type="spellStart"/>
      <w:r w:rsidRPr="348EA9F5" w:rsidR="348EA9F5">
        <w:rPr>
          <w:rFonts w:ascii="Verdana" w:hAnsi="Verdana" w:eastAsia="Verdana" w:cs="Verdana"/>
          <w:sz w:val="18"/>
          <w:szCs w:val="18"/>
          <w:lang w:val="et-EE"/>
        </w:rPr>
        <w:t>kognitsioonihäire</w:t>
      </w:r>
      <w:proofErr w:type="spellEnd"/>
      <w:r w:rsidRPr="348EA9F5" w:rsidR="348EA9F5">
        <w:rPr>
          <w:rFonts w:ascii="Verdana" w:hAnsi="Verdana" w:eastAsia="Verdana" w:cs="Verdana"/>
          <w:sz w:val="18"/>
          <w:szCs w:val="18"/>
          <w:lang w:val="et-EE"/>
        </w:rPr>
        <w:t xml:space="preserve"> kahtlusega patsientidel tuleks esmatasandil läbi viia sõeltestimine </w:t>
      </w:r>
      <w:proofErr w:type="spellStart"/>
      <w:r w:rsidRPr="348EA9F5" w:rsidR="348EA9F5">
        <w:rPr>
          <w:rFonts w:ascii="Verdana" w:hAnsi="Verdana" w:eastAsia="Verdana" w:cs="Verdana"/>
          <w:sz w:val="18"/>
          <w:szCs w:val="18"/>
          <w:lang w:val="et-EE"/>
        </w:rPr>
        <w:t>valideeeritud</w:t>
      </w:r>
      <w:proofErr w:type="spellEnd"/>
      <w:r w:rsidRPr="348EA9F5" w:rsidR="348EA9F5">
        <w:rPr>
          <w:rFonts w:ascii="Verdana" w:hAnsi="Verdana" w:eastAsia="Verdana" w:cs="Verdana"/>
          <w:sz w:val="18"/>
          <w:szCs w:val="18"/>
          <w:lang w:val="et-EE"/>
        </w:rPr>
        <w:t xml:space="preserve"> instrumendi abil (näiteks MMSE – </w:t>
      </w:r>
      <w:r w:rsidRPr="348EA9F5" w:rsidR="348EA9F5">
        <w:rPr>
          <w:rFonts w:ascii="Verdana" w:hAnsi="Verdana" w:eastAsia="Verdana" w:cs="Verdana"/>
          <w:i w:val="1"/>
          <w:iCs w:val="1"/>
          <w:sz w:val="18"/>
          <w:szCs w:val="18"/>
          <w:lang w:val="et-EE"/>
        </w:rPr>
        <w:t xml:space="preserve">Mini </w:t>
      </w:r>
      <w:proofErr w:type="spellStart"/>
      <w:r w:rsidRPr="348EA9F5" w:rsidR="348EA9F5">
        <w:rPr>
          <w:rFonts w:ascii="Verdana" w:hAnsi="Verdana" w:eastAsia="Verdana" w:cs="Verdana"/>
          <w:i w:val="1"/>
          <w:iCs w:val="1"/>
          <w:sz w:val="18"/>
          <w:szCs w:val="18"/>
          <w:lang w:val="et-EE"/>
        </w:rPr>
        <w:t>Mental</w:t>
      </w:r>
      <w:proofErr w:type="spellEnd"/>
      <w:r w:rsidRPr="348EA9F5" w:rsidR="348EA9F5">
        <w:rPr>
          <w:rFonts w:ascii="Verdana" w:hAnsi="Verdana" w:eastAsia="Verdana" w:cs="Verdana"/>
          <w:i w:val="1"/>
          <w:iCs w:val="1"/>
          <w:sz w:val="18"/>
          <w:szCs w:val="18"/>
          <w:lang w:val="et-EE"/>
        </w:rPr>
        <w:t xml:space="preserve"> </w:t>
      </w:r>
      <w:proofErr w:type="spellStart"/>
      <w:r w:rsidRPr="348EA9F5" w:rsidR="348EA9F5">
        <w:rPr>
          <w:rFonts w:ascii="Verdana" w:hAnsi="Verdana" w:eastAsia="Verdana" w:cs="Verdana"/>
          <w:i w:val="1"/>
          <w:iCs w:val="1"/>
          <w:sz w:val="18"/>
          <w:szCs w:val="18"/>
          <w:lang w:val="et-EE"/>
        </w:rPr>
        <w:t>State</w:t>
      </w:r>
      <w:proofErr w:type="spellEnd"/>
      <w:r w:rsidRPr="348EA9F5" w:rsidR="348EA9F5">
        <w:rPr>
          <w:rFonts w:ascii="Verdana" w:hAnsi="Verdana" w:eastAsia="Verdana" w:cs="Verdana"/>
          <w:i w:val="1"/>
          <w:iCs w:val="1"/>
          <w:sz w:val="18"/>
          <w:szCs w:val="18"/>
          <w:lang w:val="et-EE"/>
        </w:rPr>
        <w:t xml:space="preserve"> </w:t>
      </w:r>
      <w:proofErr w:type="spellStart"/>
      <w:r w:rsidRPr="348EA9F5" w:rsidR="348EA9F5">
        <w:rPr>
          <w:rFonts w:ascii="Verdana" w:hAnsi="Verdana" w:eastAsia="Verdana" w:cs="Verdana"/>
          <w:i w:val="1"/>
          <w:iCs w:val="1"/>
          <w:sz w:val="18"/>
          <w:szCs w:val="18"/>
          <w:lang w:val="et-EE"/>
        </w:rPr>
        <w:t>Examination</w:t>
      </w:r>
      <w:proofErr w:type="spellEnd"/>
      <w:r w:rsidRPr="348EA9F5" w:rsidR="348EA9F5">
        <w:rPr>
          <w:rFonts w:ascii="Verdana" w:hAnsi="Verdana" w:eastAsia="Verdana" w:cs="Verdana"/>
          <w:sz w:val="18"/>
          <w:szCs w:val="18"/>
          <w:lang w:val="et-EE"/>
        </w:rPr>
        <w:t xml:space="preserve">; </w:t>
      </w:r>
      <w:proofErr w:type="spellStart"/>
      <w:r w:rsidRPr="348EA9F5" w:rsidR="348EA9F5">
        <w:rPr>
          <w:rFonts w:ascii="Verdana" w:hAnsi="Verdana" w:eastAsia="Verdana" w:cs="Verdana"/>
          <w:sz w:val="18"/>
          <w:szCs w:val="18"/>
          <w:lang w:val="et-EE"/>
        </w:rPr>
        <w:t>MoCA</w:t>
      </w:r>
      <w:proofErr w:type="spellEnd"/>
      <w:r w:rsidRPr="348EA9F5" w:rsidR="348EA9F5">
        <w:rPr>
          <w:rFonts w:ascii="Verdana" w:hAnsi="Verdana" w:eastAsia="Verdana" w:cs="Verdana"/>
          <w:sz w:val="18"/>
          <w:szCs w:val="18"/>
          <w:lang w:val="et-EE"/>
        </w:rPr>
        <w:t xml:space="preserve"> – </w:t>
      </w:r>
      <w:r w:rsidRPr="348EA9F5" w:rsidR="348EA9F5">
        <w:rPr>
          <w:rFonts w:ascii="Verdana" w:hAnsi="Verdana" w:eastAsia="Verdana" w:cs="Verdana"/>
          <w:i w:val="1"/>
          <w:iCs w:val="1"/>
          <w:sz w:val="18"/>
          <w:szCs w:val="18"/>
          <w:lang w:val="et-EE"/>
        </w:rPr>
        <w:t xml:space="preserve">Montreal </w:t>
      </w:r>
      <w:proofErr w:type="spellStart"/>
      <w:r w:rsidRPr="348EA9F5" w:rsidR="348EA9F5">
        <w:rPr>
          <w:rFonts w:ascii="Verdana" w:hAnsi="Verdana" w:eastAsia="Verdana" w:cs="Verdana"/>
          <w:i w:val="1"/>
          <w:iCs w:val="1"/>
          <w:sz w:val="18"/>
          <w:szCs w:val="18"/>
          <w:lang w:val="et-EE"/>
        </w:rPr>
        <w:t>Cognitive</w:t>
      </w:r>
      <w:proofErr w:type="spellEnd"/>
      <w:r w:rsidRPr="348EA9F5" w:rsidR="348EA9F5">
        <w:rPr>
          <w:rFonts w:ascii="Verdana" w:hAnsi="Verdana" w:eastAsia="Verdana" w:cs="Verdana"/>
          <w:i w:val="1"/>
          <w:iCs w:val="1"/>
          <w:sz w:val="18"/>
          <w:szCs w:val="18"/>
          <w:lang w:val="et-EE"/>
        </w:rPr>
        <w:t xml:space="preserve"> </w:t>
      </w:r>
      <w:proofErr w:type="spellStart"/>
      <w:r w:rsidRPr="348EA9F5" w:rsidR="348EA9F5">
        <w:rPr>
          <w:rFonts w:ascii="Verdana" w:hAnsi="Verdana" w:eastAsia="Verdana" w:cs="Verdana"/>
          <w:i w:val="1"/>
          <w:iCs w:val="1"/>
          <w:sz w:val="18"/>
          <w:szCs w:val="18"/>
          <w:lang w:val="et-EE"/>
        </w:rPr>
        <w:t>Assessment</w:t>
      </w:r>
      <w:proofErr w:type="spellEnd"/>
      <w:r w:rsidRPr="348EA9F5" w:rsidR="348EA9F5">
        <w:rPr>
          <w:rFonts w:ascii="Verdana" w:hAnsi="Verdana" w:eastAsia="Verdana" w:cs="Verdana"/>
          <w:sz w:val="18"/>
          <w:szCs w:val="18"/>
          <w:lang w:val="et-EE"/>
        </w:rPr>
        <w:t>)</w:t>
      </w:r>
    </w:p>
    <w:p xmlns:wp14="http://schemas.microsoft.com/office/word/2010/wordml" w:rsidRPr="002D065A" w:rsidR="003B0510" w:rsidP="2E9C8D5A" w:rsidRDefault="00042FF2" w14:paraId="45EECC61" wp14:textId="7AE7DF4F">
      <w:pPr>
        <w:pStyle w:val="Normaallaad"/>
        <w:jc w:val="both"/>
        <w:rPr>
          <w:rFonts w:ascii="Verdana" w:hAnsi="Verdana" w:cs="Arial"/>
          <w:b/>
          <w:color w:val="000080"/>
          <w:sz w:val="18"/>
          <w:szCs w:val="18"/>
          <w:lang w:val="fi-FI"/>
        </w:rPr>
      </w:pPr>
      <w:r>
        <w:br/>
      </w:r>
      <w:proofErr w:type="spellStart"/>
      <w:r w:rsidRPr="2E9C8D5A" w:rsidR="2E9C8D5A">
        <w:rPr>
          <w:rFonts w:ascii="Verdana,Arial" w:hAnsi="Verdana,Arial" w:eastAsia="Verdana,Arial" w:cs="Verdana,Arial"/>
          <w:b w:val="1"/>
          <w:bCs w:val="1"/>
          <w:color w:val="000080"/>
          <w:sz w:val="18"/>
          <w:szCs w:val="18"/>
          <w:lang w:val="fi-FI"/>
        </w:rPr>
        <w:t>Süstemaatilised</w:t>
      </w:r>
      <w:proofErr w:type="spellEnd"/>
      <w:r w:rsidRPr="2E9C8D5A" w:rsidR="2E9C8D5A">
        <w:rPr>
          <w:rFonts w:ascii="Verdana,Arial" w:hAnsi="Verdana,Arial" w:eastAsia="Verdana,Arial" w:cs="Verdana,Arial"/>
          <w:b w:val="1"/>
          <w:bCs w:val="1"/>
          <w:color w:val="000080"/>
          <w:sz w:val="18"/>
          <w:szCs w:val="18"/>
          <w:lang w:val="fi-FI"/>
        </w:rPr>
        <w:t xml:space="preserve"> </w:t>
      </w:r>
      <w:proofErr w:type="spellStart"/>
      <w:r w:rsidRPr="2E9C8D5A" w:rsidR="2E9C8D5A">
        <w:rPr>
          <w:rFonts w:ascii="Verdana,Arial" w:hAnsi="Verdana,Arial" w:eastAsia="Verdana,Arial" w:cs="Verdana,Arial"/>
          <w:b w:val="1"/>
          <w:bCs w:val="1"/>
          <w:color w:val="000080"/>
          <w:sz w:val="18"/>
          <w:szCs w:val="18"/>
          <w:lang w:val="fi-FI"/>
        </w:rPr>
        <w:t>ülevaated</w:t>
      </w:r>
      <w:proofErr w:type="spellEnd"/>
    </w:p>
    <w:p w:rsidR="2E9C8D5A" w:rsidP="2E9C8D5A" w:rsidRDefault="2E9C8D5A" w14:paraId="6D620C0F" w14:textId="21864995">
      <w:pPr>
        <w:pStyle w:val="Normaallaad"/>
        <w:jc w:val="both"/>
      </w:pPr>
      <w:r w:rsidRPr="2E9C8D5A" w:rsidR="2E9C8D5A">
        <w:rPr>
          <w:rFonts w:ascii="Verdana,Arial" w:hAnsi="Verdana,Arial" w:eastAsia="Verdana,Arial" w:cs="Verdana,Arial"/>
          <w:b w:val="1"/>
          <w:bCs w:val="1"/>
          <w:color w:val="auto"/>
          <w:sz w:val="18"/>
          <w:szCs w:val="18"/>
          <w:u w:val="single"/>
          <w:lang w:val="fi-FI"/>
        </w:rPr>
        <w:t>1.</w:t>
      </w:r>
      <w:r w:rsidRPr="2E9C8D5A" w:rsidR="2E9C8D5A">
        <w:rPr>
          <w:rFonts w:ascii="Verdana" w:hAnsi="Verdana" w:eastAsia="Verdana" w:cs="Verdana"/>
          <w:b w:val="1"/>
          <w:bCs w:val="1"/>
          <w:color w:val="auto"/>
          <w:sz w:val="18"/>
          <w:szCs w:val="18"/>
          <w:u w:val="single"/>
        </w:rPr>
        <w:t xml:space="preserve">McGrory et </w:t>
      </w:r>
      <w:proofErr w:type="spellStart"/>
      <w:r w:rsidRPr="2E9C8D5A" w:rsidR="2E9C8D5A">
        <w:rPr>
          <w:rFonts w:ascii="Verdana" w:hAnsi="Verdana" w:eastAsia="Verdana" w:cs="Verdana"/>
          <w:b w:val="1"/>
          <w:bCs w:val="1"/>
          <w:color w:val="auto"/>
          <w:sz w:val="18"/>
          <w:szCs w:val="18"/>
          <w:u w:val="single"/>
        </w:rPr>
        <w:t>al</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Item</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response</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theory</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analysis</w:t>
      </w:r>
      <w:proofErr w:type="spellEnd"/>
      <w:r w:rsidRPr="2E9C8D5A" w:rsidR="2E9C8D5A">
        <w:rPr>
          <w:rFonts w:ascii="Verdana" w:hAnsi="Verdana" w:eastAsia="Verdana" w:cs="Verdana"/>
          <w:b w:val="1"/>
          <w:bCs w:val="1"/>
          <w:color w:val="auto"/>
          <w:sz w:val="18"/>
          <w:szCs w:val="18"/>
          <w:u w:val="single"/>
        </w:rPr>
        <w:t xml:space="preserve"> of </w:t>
      </w:r>
      <w:proofErr w:type="spellStart"/>
      <w:r w:rsidRPr="2E9C8D5A" w:rsidR="2E9C8D5A">
        <w:rPr>
          <w:rFonts w:ascii="Verdana" w:hAnsi="Verdana" w:eastAsia="Verdana" w:cs="Verdana"/>
          <w:b w:val="1"/>
          <w:bCs w:val="1"/>
          <w:color w:val="auto"/>
          <w:sz w:val="18"/>
          <w:szCs w:val="18"/>
          <w:u w:val="single"/>
        </w:rPr>
        <w:t>cognitive</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tests</w:t>
      </w:r>
      <w:proofErr w:type="spellEnd"/>
      <w:r w:rsidRPr="2E9C8D5A" w:rsidR="2E9C8D5A">
        <w:rPr>
          <w:rFonts w:ascii="Verdana" w:hAnsi="Verdana" w:eastAsia="Verdana" w:cs="Verdana"/>
          <w:b w:val="1"/>
          <w:bCs w:val="1"/>
          <w:color w:val="auto"/>
          <w:sz w:val="18"/>
          <w:szCs w:val="18"/>
          <w:u w:val="single"/>
        </w:rPr>
        <w:t xml:space="preserve"> in </w:t>
      </w:r>
      <w:proofErr w:type="spellStart"/>
      <w:r w:rsidRPr="2E9C8D5A" w:rsidR="2E9C8D5A">
        <w:rPr>
          <w:rFonts w:ascii="Verdana" w:hAnsi="Verdana" w:eastAsia="Verdana" w:cs="Verdana"/>
          <w:b w:val="1"/>
          <w:bCs w:val="1"/>
          <w:color w:val="auto"/>
          <w:sz w:val="18"/>
          <w:szCs w:val="18"/>
          <w:u w:val="single"/>
        </w:rPr>
        <w:t>people</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with</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dementia</w:t>
      </w:r>
      <w:proofErr w:type="spellEnd"/>
      <w:r w:rsidRPr="2E9C8D5A" w:rsidR="2E9C8D5A">
        <w:rPr>
          <w:rFonts w:ascii="Verdana" w:hAnsi="Verdana" w:eastAsia="Verdana" w:cs="Verdana"/>
          <w:b w:val="1"/>
          <w:bCs w:val="1"/>
          <w:color w:val="auto"/>
          <w:sz w:val="18"/>
          <w:szCs w:val="18"/>
          <w:u w:val="single"/>
        </w:rPr>
        <w:t xml:space="preserve">: a </w:t>
      </w:r>
      <w:proofErr w:type="spellStart"/>
      <w:r w:rsidRPr="2E9C8D5A" w:rsidR="2E9C8D5A">
        <w:rPr>
          <w:rFonts w:ascii="Verdana" w:hAnsi="Verdana" w:eastAsia="Verdana" w:cs="Verdana"/>
          <w:b w:val="1"/>
          <w:bCs w:val="1"/>
          <w:color w:val="auto"/>
          <w:sz w:val="18"/>
          <w:szCs w:val="18"/>
          <w:u w:val="single"/>
        </w:rPr>
        <w:t>systematic</w:t>
      </w:r>
      <w:proofErr w:type="spellEnd"/>
      <w:r w:rsidRPr="2E9C8D5A" w:rsidR="2E9C8D5A">
        <w:rPr>
          <w:rFonts w:ascii="Verdana" w:hAnsi="Verdana" w:eastAsia="Verdana" w:cs="Verdana"/>
          <w:b w:val="1"/>
          <w:bCs w:val="1"/>
          <w:color w:val="auto"/>
          <w:sz w:val="18"/>
          <w:szCs w:val="18"/>
          <w:u w:val="single"/>
        </w:rPr>
        <w:t xml:space="preserve"> </w:t>
      </w:r>
      <w:proofErr w:type="spellStart"/>
      <w:r w:rsidRPr="2E9C8D5A" w:rsidR="2E9C8D5A">
        <w:rPr>
          <w:rFonts w:ascii="Verdana" w:hAnsi="Verdana" w:eastAsia="Verdana" w:cs="Verdana"/>
          <w:b w:val="1"/>
          <w:bCs w:val="1"/>
          <w:color w:val="auto"/>
          <w:sz w:val="18"/>
          <w:szCs w:val="18"/>
          <w:u w:val="single"/>
        </w:rPr>
        <w:t>review</w:t>
      </w:r>
      <w:proofErr w:type="spellEnd"/>
      <w:r w:rsidRPr="2E9C8D5A" w:rsidR="2E9C8D5A">
        <w:rPr>
          <w:rFonts w:ascii="Verdana" w:hAnsi="Verdana" w:eastAsia="Verdana" w:cs="Verdana"/>
          <w:b w:val="1"/>
          <w:bCs w:val="1"/>
          <w:color w:val="auto"/>
          <w:sz w:val="18"/>
          <w:szCs w:val="18"/>
          <w:u w:val="single"/>
        </w:rPr>
        <w:t xml:space="preserve">. </w:t>
      </w:r>
      <w:r w:rsidRPr="2E9C8D5A" w:rsidR="2E9C8D5A">
        <w:rPr>
          <w:rFonts w:ascii="Verdana" w:hAnsi="Verdana" w:eastAsia="Verdana" w:cs="Verdana"/>
          <w:b w:val="1"/>
          <w:bCs w:val="1"/>
          <w:color w:val="auto"/>
          <w:sz w:val="18"/>
          <w:szCs w:val="18"/>
          <w:u w:val="single"/>
        </w:rPr>
        <w:t xml:space="preserve">BMC </w:t>
      </w:r>
      <w:proofErr w:type="spellStart"/>
      <w:r w:rsidRPr="2E9C8D5A" w:rsidR="2E9C8D5A">
        <w:rPr>
          <w:rFonts w:ascii="Verdana" w:hAnsi="Verdana" w:eastAsia="Verdana" w:cs="Verdana"/>
          <w:b w:val="1"/>
          <w:bCs w:val="1"/>
          <w:color w:val="auto"/>
          <w:sz w:val="18"/>
          <w:szCs w:val="18"/>
          <w:u w:val="single"/>
        </w:rPr>
        <w:t>Psychiatry</w:t>
      </w:r>
      <w:proofErr w:type="spellEnd"/>
      <w:r w:rsidRPr="2E9C8D5A" w:rsidR="2E9C8D5A">
        <w:rPr>
          <w:rFonts w:ascii="Verdana" w:hAnsi="Verdana" w:eastAsia="Verdana" w:cs="Verdana"/>
          <w:b w:val="1"/>
          <w:bCs w:val="1"/>
          <w:color w:val="auto"/>
          <w:sz w:val="18"/>
          <w:szCs w:val="18"/>
          <w:u w:val="single"/>
        </w:rPr>
        <w:t xml:space="preserve"> 2014, 14:47.</w:t>
      </w:r>
      <w:r w:rsidRPr="2E9C8D5A" w:rsidR="2E9C8D5A">
        <w:rPr>
          <w:rFonts w:ascii="Verdana" w:hAnsi="Verdana" w:eastAsia="Verdana" w:cs="Verdana"/>
          <w:b w:val="1"/>
          <w:bCs w:val="1"/>
          <w:color w:val="auto"/>
          <w:sz w:val="18"/>
          <w:szCs w:val="18"/>
        </w:rPr>
        <w:t xml:space="preserve"> </w:t>
      </w:r>
    </w:p>
    <w:p w:rsidR="2E9C8D5A" w:rsidP="2E9C8D5A" w:rsidRDefault="2E9C8D5A" w14:noSpellErr="1" w14:paraId="49CAD263" w14:textId="11A327EF">
      <w:pPr>
        <w:pStyle w:val="Normaallaad"/>
        <w:jc w:val="both"/>
      </w:pPr>
      <w:r w:rsidRPr="2E9C8D5A" w:rsidR="2E9C8D5A">
        <w:rPr>
          <w:rFonts w:ascii="Verdana" w:hAnsi="Verdana" w:eastAsia="Verdana" w:cs="Verdana"/>
          <w:b w:val="0"/>
          <w:bCs w:val="0"/>
          <w:color w:val="auto"/>
          <w:sz w:val="18"/>
          <w:szCs w:val="18"/>
        </w:rPr>
        <w:t>AMSTAR: 10/11</w:t>
      </w:r>
    </w:p>
    <w:p w:rsidR="2E9C8D5A" w:rsidP="2E9C8D5A" w:rsidRDefault="2E9C8D5A" w14:paraId="22B3F282" w14:textId="52DD44A4">
      <w:pPr>
        <w:jc w:val="both"/>
      </w:pPr>
      <w:r w:rsidRPr="2E9C8D5A" w:rsidR="2E9C8D5A">
        <w:rPr>
          <w:rFonts w:ascii="Verdana" w:hAnsi="Verdana" w:eastAsia="Verdana" w:cs="Verdana"/>
          <w:sz w:val="18"/>
          <w:szCs w:val="18"/>
        </w:rPr>
        <w:t xml:space="preserve">Kognitiivse funktsiooni määramine on oluline dementsuse diagnoosiks, </w:t>
      </w:r>
      <w:r w:rsidRPr="2E9C8D5A" w:rsidR="2E9C8D5A">
        <w:rPr>
          <w:rFonts w:ascii="Verdana" w:hAnsi="Verdana" w:eastAsia="Verdana" w:cs="Verdana"/>
          <w:sz w:val="18"/>
          <w:szCs w:val="18"/>
        </w:rPr>
        <w:t>funktsionaalse</w:t>
      </w:r>
      <w:r w:rsidRPr="2E9C8D5A" w:rsidR="2E9C8D5A">
        <w:rPr>
          <w:rFonts w:ascii="Verdana" w:hAnsi="Verdana" w:eastAsia="Verdana" w:cs="Verdana"/>
          <w:sz w:val="18"/>
          <w:szCs w:val="18"/>
        </w:rPr>
        <w:t xml:space="preserve"> tagasilanguse ja haiguse kulu hindamiseks. </w:t>
      </w:r>
      <w:proofErr w:type="spellStart"/>
      <w:r w:rsidRPr="2E9C8D5A" w:rsidR="2E9C8D5A">
        <w:rPr>
          <w:rFonts w:ascii="Verdana" w:hAnsi="Verdana" w:eastAsia="Verdana" w:cs="Verdana"/>
          <w:sz w:val="18"/>
          <w:szCs w:val="18"/>
        </w:rPr>
        <w:t>Kognitsioonitestid</w:t>
      </w:r>
      <w:proofErr w:type="spellEnd"/>
      <w:r w:rsidRPr="2E9C8D5A" w:rsidR="2E9C8D5A">
        <w:rPr>
          <w:rFonts w:ascii="Verdana" w:hAnsi="Verdana" w:eastAsia="Verdana" w:cs="Verdana"/>
          <w:sz w:val="18"/>
          <w:szCs w:val="18"/>
        </w:rPr>
        <w:t xml:space="preserve"> peaksid olema võimelised avastama haiguse varajases sta</w:t>
      </w:r>
      <w:r w:rsidRPr="2E9C8D5A" w:rsidR="2E9C8D5A">
        <w:rPr>
          <w:rFonts w:ascii="Verdana" w:hAnsi="Verdana" w:eastAsia="Verdana" w:cs="Verdana"/>
          <w:sz w:val="18"/>
          <w:szCs w:val="18"/>
        </w:rPr>
        <w:t xml:space="preserve">adiumis ja hindama haiguse raskusastet. </w:t>
      </w:r>
    </w:p>
    <w:p w:rsidR="2E9C8D5A" w:rsidP="2E9C8D5A" w:rsidRDefault="2E9C8D5A" w14:paraId="39ADA8DB" w14:textId="189E2FF1">
      <w:pPr>
        <w:jc w:val="both"/>
      </w:pPr>
      <w:r w:rsidRPr="7ABC7D88" w:rsidR="7ABC7D88">
        <w:rPr>
          <w:rFonts w:ascii="Verdana" w:hAnsi="Verdana" w:eastAsia="Verdana" w:cs="Verdana"/>
          <w:sz w:val="18"/>
          <w:szCs w:val="18"/>
        </w:rPr>
        <w:t xml:space="preserve">Sama MMSE skoor võidakse saavutada erinevate vastusemustrite abiga. Näiteks 2 </w:t>
      </w:r>
      <w:r w:rsidRPr="7ABC7D88" w:rsidR="7ABC7D88">
        <w:rPr>
          <w:rFonts w:ascii="Verdana" w:hAnsi="Verdana" w:eastAsia="Verdana" w:cs="Verdana"/>
          <w:sz w:val="18"/>
          <w:szCs w:val="18"/>
        </w:rPr>
        <w:t>i</w:t>
      </w:r>
      <w:r w:rsidRPr="7ABC7D88" w:rsidR="7ABC7D88">
        <w:rPr>
          <w:rFonts w:ascii="Verdana" w:hAnsi="Verdana" w:eastAsia="Verdana" w:cs="Verdana"/>
          <w:sz w:val="18"/>
          <w:szCs w:val="18"/>
        </w:rPr>
        <w:t>nim</w:t>
      </w:r>
      <w:r w:rsidRPr="7ABC7D88" w:rsidR="7ABC7D88">
        <w:rPr>
          <w:rFonts w:ascii="Verdana" w:hAnsi="Verdana" w:eastAsia="Verdana" w:cs="Verdana"/>
          <w:sz w:val="18"/>
          <w:szCs w:val="18"/>
        </w:rPr>
        <w:t>est</w:t>
      </w:r>
      <w:r w:rsidRPr="7ABC7D88" w:rsidR="7ABC7D88">
        <w:rPr>
          <w:rFonts w:ascii="Verdana" w:hAnsi="Verdana" w:eastAsia="Verdana" w:cs="Verdana"/>
          <w:sz w:val="18"/>
          <w:szCs w:val="18"/>
        </w:rPr>
        <w:t>, kes saavad 20 punkti, võisid õigesti või valesti vastata hoopis erinevatele küsimustele. Samuti, kui MMSE skoor enne ja pärast ravi alustamist on sama, kuid vastuste muster on erinev, ei tähenda see, et vastus ravile puudub. Seetõttu tuleb vaadata skoorist kaugemale ja uurida vastuste mustrit, m</w:t>
      </w:r>
      <w:r w:rsidRPr="7ABC7D88" w:rsidR="7ABC7D88">
        <w:rPr>
          <w:rFonts w:ascii="Verdana" w:hAnsi="Verdana" w:eastAsia="Verdana" w:cs="Verdana"/>
          <w:sz w:val="18"/>
          <w:szCs w:val="18"/>
        </w:rPr>
        <w:t>eetodi abil IRT (</w:t>
      </w:r>
      <w:proofErr w:type="spellStart"/>
      <w:r w:rsidRPr="7ABC7D88" w:rsidR="7ABC7D88">
        <w:rPr>
          <w:rFonts w:ascii="Verdana" w:hAnsi="Verdana" w:eastAsia="Verdana" w:cs="Verdana"/>
          <w:i w:val="1"/>
          <w:iCs w:val="1"/>
          <w:sz w:val="18"/>
          <w:szCs w:val="18"/>
        </w:rPr>
        <w:t>item</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response</w:t>
      </w:r>
      <w:proofErr w:type="spellEnd"/>
      <w:r w:rsidRPr="7ABC7D88" w:rsidR="7ABC7D88">
        <w:rPr>
          <w:rFonts w:ascii="Verdana" w:hAnsi="Verdana" w:eastAsia="Verdana" w:cs="Verdana"/>
          <w:i w:val="1"/>
          <w:iCs w:val="1"/>
          <w:sz w:val="18"/>
          <w:szCs w:val="18"/>
        </w:rPr>
        <w:t xml:space="preserve"> </w:t>
      </w:r>
      <w:proofErr w:type="spellStart"/>
      <w:r w:rsidRPr="7ABC7D88" w:rsidR="7ABC7D88">
        <w:rPr>
          <w:rFonts w:ascii="Verdana" w:hAnsi="Verdana" w:eastAsia="Verdana" w:cs="Verdana"/>
          <w:i w:val="1"/>
          <w:iCs w:val="1"/>
          <w:sz w:val="18"/>
          <w:szCs w:val="18"/>
        </w:rPr>
        <w:t>theory</w:t>
      </w:r>
      <w:proofErr w:type="spellEnd"/>
      <w:r w:rsidRPr="7ABC7D88" w:rsidR="7ABC7D88">
        <w:rPr>
          <w:rFonts w:ascii="Verdana" w:hAnsi="Verdana" w:eastAsia="Verdana" w:cs="Verdana"/>
          <w:sz w:val="18"/>
          <w:szCs w:val="18"/>
        </w:rPr>
        <w:t xml:space="preserve">). </w:t>
      </w:r>
    </w:p>
    <w:p w:rsidR="2E9C8D5A" w:rsidP="2E9C8D5A" w:rsidRDefault="2E9C8D5A" w14:paraId="74E0EECF" w14:textId="1B60A7C9">
      <w:pPr>
        <w:pStyle w:val="Normaallaad"/>
        <w:jc w:val="both"/>
      </w:pPr>
      <w:r w:rsidRPr="2E9C8D5A" w:rsidR="2E9C8D5A">
        <w:rPr>
          <w:rFonts w:ascii="Verdana" w:hAnsi="Verdana" w:eastAsia="Verdana" w:cs="Verdana"/>
          <w:sz w:val="18"/>
          <w:szCs w:val="18"/>
        </w:rPr>
        <w:t xml:space="preserve">Tulemused: </w:t>
      </w:r>
      <w:r w:rsidRPr="2E9C8D5A" w:rsidR="2E9C8D5A">
        <w:rPr>
          <w:rFonts w:ascii="Verdana" w:hAnsi="Verdana" w:eastAsia="Verdana" w:cs="Verdana"/>
          <w:sz w:val="18"/>
          <w:szCs w:val="18"/>
        </w:rPr>
        <w:t xml:space="preserve">Kõige raskemad ülesanded MMSE-s UK patsientidel: "Ei </w:t>
      </w:r>
      <w:proofErr w:type="spellStart"/>
      <w:r w:rsidRPr="2E9C8D5A" w:rsidR="2E9C8D5A">
        <w:rPr>
          <w:rFonts w:ascii="Verdana" w:hAnsi="Verdana" w:eastAsia="Verdana" w:cs="Verdana"/>
          <w:sz w:val="18"/>
          <w:szCs w:val="18"/>
        </w:rPr>
        <w:t>kuisid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jaasid</w:t>
      </w:r>
      <w:proofErr w:type="spellEnd"/>
      <w:r w:rsidRPr="2E9C8D5A" w:rsidR="2E9C8D5A">
        <w:rPr>
          <w:rFonts w:ascii="Verdana" w:hAnsi="Verdana" w:eastAsia="Verdana" w:cs="Verdana"/>
          <w:sz w:val="18"/>
          <w:szCs w:val="18"/>
        </w:rPr>
        <w:t xml:space="preserve"> ega agasid", nimisõnade </w:t>
      </w:r>
      <w:proofErr w:type="spellStart"/>
      <w:r w:rsidRPr="2E9C8D5A" w:rsidR="2E9C8D5A">
        <w:rPr>
          <w:rFonts w:ascii="Verdana" w:hAnsi="Verdana" w:eastAsia="Verdana" w:cs="Verdana"/>
          <w:sz w:val="18"/>
          <w:szCs w:val="18"/>
        </w:rPr>
        <w:t>meeldetuletamine</w:t>
      </w:r>
      <w:proofErr w:type="spellEnd"/>
      <w:r w:rsidRPr="2E9C8D5A" w:rsidR="2E9C8D5A">
        <w:rPr>
          <w:rFonts w:ascii="Verdana" w:hAnsi="Verdana" w:eastAsia="Verdana" w:cs="Verdana"/>
          <w:sz w:val="18"/>
          <w:szCs w:val="18"/>
        </w:rPr>
        <w:t xml:space="preserve">, USA patsientidel kuupäeva nimetamine ja "Ei </w:t>
      </w:r>
      <w:proofErr w:type="spellStart"/>
      <w:r w:rsidRPr="2E9C8D5A" w:rsidR="2E9C8D5A">
        <w:rPr>
          <w:rFonts w:ascii="Verdana" w:hAnsi="Verdana" w:eastAsia="Verdana" w:cs="Verdana"/>
          <w:sz w:val="18"/>
          <w:szCs w:val="18"/>
        </w:rPr>
        <w:t>kuisid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jaasid</w:t>
      </w:r>
      <w:proofErr w:type="spellEnd"/>
      <w:r w:rsidRPr="2E9C8D5A" w:rsidR="2E9C8D5A">
        <w:rPr>
          <w:rFonts w:ascii="Verdana" w:hAnsi="Verdana" w:eastAsia="Verdana" w:cs="Verdana"/>
          <w:sz w:val="18"/>
          <w:szCs w:val="18"/>
        </w:rPr>
        <w:t xml:space="preserve"> ega agasid". Raske oli ka 7-tega lahutamine. </w:t>
      </w:r>
      <w:r w:rsidRPr="2E9C8D5A" w:rsidR="2E9C8D5A">
        <w:rPr>
          <w:rFonts w:ascii="Verdana" w:hAnsi="Verdana" w:eastAsia="Verdana" w:cs="Verdana"/>
          <w:sz w:val="18"/>
          <w:szCs w:val="18"/>
        </w:rPr>
        <w:t xml:space="preserve">Kõige lihtsamad testid UK: "Sulgege silmad" ja objektide nimetamine, USAs nimisõnade kordamine, "sulgege silmad" ja objektide nimetamine. </w:t>
      </w:r>
    </w:p>
    <w:p w:rsidR="2E9C8D5A" w:rsidP="2E9C8D5A" w:rsidRDefault="2E9C8D5A" w14:paraId="2DB1EE68" w14:textId="7C70D881">
      <w:pPr>
        <w:pStyle w:val="Normaallaad"/>
        <w:jc w:val="both"/>
      </w:pPr>
      <w:r w:rsidRPr="2E9C8D5A" w:rsidR="2E9C8D5A">
        <w:rPr>
          <w:rFonts w:ascii="Verdana" w:hAnsi="Verdana" w:eastAsia="Verdana" w:cs="Verdana"/>
          <w:sz w:val="18"/>
          <w:szCs w:val="18"/>
        </w:rPr>
        <w:t xml:space="preserve">Kui raskemate ülesannetega saab patsient hakkama, siis ilmselt ei ole tal probleeme lihtsamate ülesannetega. Ja vastupidi: patsient, kes ei saa hakkama lihtsamate ülesannetega, on ilmselt kimpus ka raskematega ja </w:t>
      </w:r>
      <w:proofErr w:type="spellStart"/>
      <w:r w:rsidRPr="2E9C8D5A" w:rsidR="2E9C8D5A">
        <w:rPr>
          <w:rFonts w:ascii="Verdana" w:hAnsi="Verdana" w:eastAsia="Verdana" w:cs="Verdana"/>
          <w:sz w:val="18"/>
          <w:szCs w:val="18"/>
        </w:rPr>
        <w:t>kognitsioonihäire</w:t>
      </w:r>
      <w:proofErr w:type="spellEnd"/>
      <w:r w:rsidRPr="2E9C8D5A" w:rsidR="2E9C8D5A">
        <w:rPr>
          <w:rFonts w:ascii="Verdana" w:hAnsi="Verdana" w:eastAsia="Verdana" w:cs="Verdana"/>
          <w:sz w:val="18"/>
          <w:szCs w:val="18"/>
        </w:rPr>
        <w:t xml:space="preserve"> on sügavam. IRT abiga saab klinitsist kiiresti infot patsient funktsioneerimise tasemest, nt. Valides raskeimad ülesanded, saab varakult tervete eakate hulgast välja sõeluda potentsiaalselt </w:t>
      </w:r>
      <w:proofErr w:type="spellStart"/>
      <w:r w:rsidRPr="2E9C8D5A" w:rsidR="2E9C8D5A">
        <w:rPr>
          <w:rFonts w:ascii="Verdana" w:hAnsi="Verdana" w:eastAsia="Verdana" w:cs="Verdana"/>
          <w:sz w:val="18"/>
          <w:szCs w:val="18"/>
        </w:rPr>
        <w:t>kognitsioonihäirega</w:t>
      </w:r>
      <w:proofErr w:type="spellEnd"/>
      <w:r w:rsidRPr="2E9C8D5A" w:rsidR="2E9C8D5A">
        <w:rPr>
          <w:rFonts w:ascii="Verdana" w:hAnsi="Verdana" w:eastAsia="Verdana" w:cs="Verdana"/>
          <w:sz w:val="18"/>
          <w:szCs w:val="18"/>
        </w:rPr>
        <w:t xml:space="preserve"> inimese. </w:t>
      </w:r>
    </w:p>
    <w:p w:rsidR="2E9C8D5A" w:rsidP="2E9C8D5A" w:rsidRDefault="2E9C8D5A" w14:paraId="794BDE28" w14:textId="598C5C5F">
      <w:pPr>
        <w:shd w:val="clear" w:color="auto" w:fill="FFFFFF" w:themeFill="background1"/>
        <w:ind w:right="240"/>
        <w:jc w:val="both"/>
      </w:pPr>
      <w:r w:rsidRPr="2E9C8D5A" w:rsidR="2E9C8D5A">
        <w:rPr>
          <w:rFonts w:ascii="Verdana" w:hAnsi="Verdana" w:eastAsia="Verdana" w:cs="Verdana"/>
          <w:b w:val="1"/>
          <w:bCs w:val="1"/>
          <w:sz w:val="18"/>
          <w:szCs w:val="18"/>
          <w:u w:val="single"/>
        </w:rPr>
        <w:t>2.</w:t>
      </w:r>
      <w:r w:rsidRPr="2E9C8D5A" w:rsidR="2E9C8D5A">
        <w:rPr>
          <w:rFonts w:ascii="Verdana" w:hAnsi="Verdana" w:eastAsia="Verdana" w:cs="Verdana"/>
          <w:b w:val="1"/>
          <w:bCs w:val="1"/>
          <w:sz w:val="18"/>
          <w:szCs w:val="18"/>
          <w:u w:val="single"/>
        </w:rPr>
        <w:t>Olazar</w:t>
      </w:r>
      <w:proofErr w:type="spellStart"/>
      <w:r w:rsidRPr="2E9C8D5A" w:rsidR="2E9C8D5A">
        <w:rPr>
          <w:rFonts w:ascii="Verdana" w:hAnsi="Verdana" w:eastAsia="Verdana" w:cs="Verdana"/>
          <w:b w:val="1"/>
          <w:bCs w:val="1"/>
          <w:sz w:val="18"/>
          <w:szCs w:val="18"/>
          <w:u w:val="single"/>
        </w:rPr>
        <w:t>án</w:t>
      </w:r>
      <w:proofErr w:type="spellEnd"/>
      <w:r w:rsidRPr="2E9C8D5A" w:rsidR="2E9C8D5A">
        <w:rPr>
          <w:rFonts w:ascii="Verdana" w:hAnsi="Verdana" w:eastAsia="Verdana" w:cs="Verdana"/>
          <w:b w:val="1"/>
          <w:bCs w:val="1"/>
          <w:sz w:val="18"/>
          <w:szCs w:val="18"/>
          <w:u w:val="single"/>
        </w:rPr>
        <w:t xml:space="preserve"> J, </w:t>
      </w:r>
      <w:proofErr w:type="spellStart"/>
      <w:r w:rsidRPr="2E9C8D5A" w:rsidR="2E9C8D5A">
        <w:rPr>
          <w:rFonts w:ascii="Verdana" w:hAnsi="Verdana" w:eastAsia="Verdana" w:cs="Verdana"/>
          <w:b w:val="1"/>
          <w:bCs w:val="1"/>
          <w:sz w:val="18"/>
          <w:szCs w:val="18"/>
          <w:u w:val="single"/>
        </w:rPr>
        <w:t>Hoyos-Alonso</w:t>
      </w:r>
      <w:proofErr w:type="spellEnd"/>
      <w:r w:rsidRPr="2E9C8D5A" w:rsidR="2E9C8D5A">
        <w:rPr>
          <w:rFonts w:ascii="Verdana" w:hAnsi="Verdana" w:eastAsia="Verdana" w:cs="Verdana"/>
          <w:b w:val="1"/>
          <w:bCs w:val="1"/>
          <w:sz w:val="18"/>
          <w:szCs w:val="18"/>
          <w:u w:val="single"/>
        </w:rPr>
        <w:t xml:space="preserve"> MC, </w:t>
      </w:r>
      <w:proofErr w:type="spellStart"/>
      <w:r w:rsidRPr="2E9C8D5A" w:rsidR="2E9C8D5A">
        <w:rPr>
          <w:rFonts w:ascii="Verdana" w:hAnsi="Verdana" w:eastAsia="Verdana" w:cs="Verdana"/>
          <w:b w:val="1"/>
          <w:bCs w:val="1"/>
          <w:sz w:val="18"/>
          <w:szCs w:val="18"/>
          <w:u w:val="single"/>
        </w:rPr>
        <w:t>del</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Ser</w:t>
      </w:r>
      <w:proofErr w:type="spellEnd"/>
      <w:r w:rsidRPr="2E9C8D5A" w:rsidR="2E9C8D5A">
        <w:rPr>
          <w:rFonts w:ascii="Verdana" w:hAnsi="Verdana" w:eastAsia="Verdana" w:cs="Verdana"/>
          <w:b w:val="1"/>
          <w:bCs w:val="1"/>
          <w:sz w:val="18"/>
          <w:szCs w:val="18"/>
          <w:u w:val="single"/>
        </w:rPr>
        <w:t xml:space="preserve"> T, </w:t>
      </w:r>
      <w:proofErr w:type="spellStart"/>
      <w:r w:rsidRPr="2E9C8D5A" w:rsidR="2E9C8D5A">
        <w:rPr>
          <w:rFonts w:ascii="Verdana" w:hAnsi="Verdana" w:eastAsia="Verdana" w:cs="Verdana"/>
          <w:b w:val="1"/>
          <w:bCs w:val="1"/>
          <w:sz w:val="18"/>
          <w:szCs w:val="18"/>
          <w:u w:val="single"/>
        </w:rPr>
        <w:t>Garrido</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Barral</w:t>
      </w:r>
      <w:proofErr w:type="spellEnd"/>
      <w:r w:rsidRPr="2E9C8D5A" w:rsidR="2E9C8D5A">
        <w:rPr>
          <w:rFonts w:ascii="Verdana" w:hAnsi="Verdana" w:eastAsia="Verdana" w:cs="Verdana"/>
          <w:b w:val="1"/>
          <w:bCs w:val="1"/>
          <w:sz w:val="18"/>
          <w:szCs w:val="18"/>
          <w:u w:val="single"/>
        </w:rPr>
        <w:t xml:space="preserve"> A, </w:t>
      </w:r>
      <w:proofErr w:type="spellStart"/>
      <w:r w:rsidRPr="2E9C8D5A" w:rsidR="2E9C8D5A">
        <w:rPr>
          <w:rFonts w:ascii="Verdana" w:hAnsi="Verdana" w:eastAsia="Verdana" w:cs="Verdana"/>
          <w:b w:val="1"/>
          <w:bCs w:val="1"/>
          <w:sz w:val="18"/>
          <w:szCs w:val="18"/>
          <w:u w:val="single"/>
        </w:rPr>
        <w:t>Conde</w:t>
      </w:r>
      <w:proofErr w:type="spellEnd"/>
      <w:r w:rsidRPr="2E9C8D5A" w:rsidR="2E9C8D5A">
        <w:rPr>
          <w:rFonts w:ascii="Verdana" w:hAnsi="Verdana" w:eastAsia="Verdana" w:cs="Verdana"/>
          <w:b w:val="1"/>
          <w:bCs w:val="1"/>
          <w:sz w:val="18"/>
          <w:szCs w:val="18"/>
          <w:u w:val="single"/>
        </w:rPr>
        <w:t xml:space="preserve">-Sala JL, </w:t>
      </w:r>
      <w:proofErr w:type="spellStart"/>
      <w:r w:rsidRPr="2E9C8D5A" w:rsidR="2E9C8D5A">
        <w:rPr>
          <w:rFonts w:ascii="Verdana" w:hAnsi="Verdana" w:eastAsia="Verdana" w:cs="Verdana"/>
          <w:b w:val="1"/>
          <w:bCs w:val="1"/>
          <w:sz w:val="18"/>
          <w:szCs w:val="18"/>
          <w:u w:val="single"/>
        </w:rPr>
        <w:t>Bermejo-Pareja</w:t>
      </w:r>
      <w:proofErr w:type="spellEnd"/>
      <w:r w:rsidRPr="2E9C8D5A" w:rsidR="2E9C8D5A">
        <w:rPr>
          <w:rFonts w:ascii="Verdana" w:hAnsi="Verdana" w:eastAsia="Verdana" w:cs="Verdana"/>
          <w:b w:val="1"/>
          <w:bCs w:val="1"/>
          <w:sz w:val="18"/>
          <w:szCs w:val="18"/>
          <w:u w:val="single"/>
        </w:rPr>
        <w:t xml:space="preserve"> F, et </w:t>
      </w:r>
      <w:proofErr w:type="spellStart"/>
      <w:r w:rsidRPr="2E9C8D5A" w:rsidR="2E9C8D5A">
        <w:rPr>
          <w:rFonts w:ascii="Verdana" w:hAnsi="Verdana" w:eastAsia="Verdana" w:cs="Verdana"/>
          <w:b w:val="1"/>
          <w:bCs w:val="1"/>
          <w:sz w:val="18"/>
          <w:szCs w:val="18"/>
          <w:u w:val="single"/>
        </w:rPr>
        <w:t>al</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Practical</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application</w:t>
      </w:r>
      <w:proofErr w:type="spellEnd"/>
      <w:r w:rsidRPr="2E9C8D5A" w:rsidR="2E9C8D5A">
        <w:rPr>
          <w:rFonts w:ascii="Verdana" w:hAnsi="Verdana" w:eastAsia="Verdana" w:cs="Verdana"/>
          <w:b w:val="1"/>
          <w:bCs w:val="1"/>
          <w:sz w:val="18"/>
          <w:szCs w:val="18"/>
          <w:u w:val="single"/>
        </w:rPr>
        <w:t xml:space="preserve"> of </w:t>
      </w:r>
      <w:proofErr w:type="spellStart"/>
      <w:r w:rsidRPr="2E9C8D5A" w:rsidR="2E9C8D5A">
        <w:rPr>
          <w:rFonts w:ascii="Verdana" w:hAnsi="Verdana" w:eastAsia="Verdana" w:cs="Verdana"/>
          <w:b w:val="1"/>
          <w:bCs w:val="1"/>
          <w:sz w:val="18"/>
          <w:szCs w:val="18"/>
          <w:u w:val="single"/>
        </w:rPr>
        <w:t>brief</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cognitive</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tests</w:t>
      </w:r>
      <w:proofErr w:type="spellEnd"/>
      <w:r w:rsidRPr="2E9C8D5A" w:rsidR="2E9C8D5A">
        <w:rPr>
          <w:rFonts w:ascii="Verdana" w:hAnsi="Verdana" w:eastAsia="Verdana" w:cs="Verdana"/>
          <w:b w:val="1"/>
          <w:bCs w:val="1"/>
          <w:sz w:val="18"/>
          <w:szCs w:val="18"/>
          <w:u w:val="single"/>
        </w:rPr>
        <w:t xml:space="preserve">. </w:t>
      </w:r>
      <w:proofErr w:type="spellStart"/>
      <w:r w:rsidRPr="2E9C8D5A" w:rsidR="2E9C8D5A">
        <w:rPr>
          <w:rFonts w:ascii="Verdana" w:hAnsi="Verdana" w:eastAsia="Verdana" w:cs="Verdana"/>
          <w:b w:val="1"/>
          <w:bCs w:val="1"/>
          <w:sz w:val="18"/>
          <w:szCs w:val="18"/>
          <w:u w:val="single"/>
        </w:rPr>
        <w:t>Neurología</w:t>
      </w:r>
      <w:proofErr w:type="spellEnd"/>
      <w:r w:rsidRPr="2E9C8D5A" w:rsidR="2E9C8D5A">
        <w:rPr>
          <w:rFonts w:ascii="Verdana" w:hAnsi="Verdana" w:eastAsia="Verdana" w:cs="Verdana"/>
          <w:b w:val="1"/>
          <w:bCs w:val="1"/>
          <w:sz w:val="18"/>
          <w:szCs w:val="18"/>
          <w:u w:val="single"/>
        </w:rPr>
        <w:t>. 2016;31:183—194</w:t>
      </w:r>
    </w:p>
    <w:p w:rsidR="2E9C8D5A" w:rsidP="2E9C8D5A" w:rsidRDefault="2E9C8D5A" w14:noSpellErr="1" w14:paraId="4BFD033A" w14:textId="199D63D0">
      <w:pPr>
        <w:pStyle w:val="Normaallaad"/>
        <w:shd w:val="clear" w:color="auto" w:fill="FFFFFF" w:themeFill="background1"/>
        <w:ind w:right="240"/>
        <w:jc w:val="both"/>
      </w:pPr>
      <w:r w:rsidRPr="2E9C8D5A" w:rsidR="2E9C8D5A">
        <w:rPr>
          <w:rFonts w:ascii="Verdana" w:hAnsi="Verdana" w:eastAsia="Verdana" w:cs="Verdana"/>
          <w:sz w:val="18"/>
          <w:szCs w:val="18"/>
        </w:rPr>
        <w:t xml:space="preserve">Ülevaateartikkel, AMSTAR ei ole kohaldatav. Vaatleb võimalikke skriiningteste varase dementsuse avastamiseks. </w:t>
      </w:r>
    </w:p>
    <w:p w:rsidR="2E9C8D5A" w:rsidP="2E9C8D5A" w:rsidRDefault="2E9C8D5A" w14:paraId="794C9738" w14:textId="4E58E3C8">
      <w:pPr>
        <w:pStyle w:val="Normaallaad"/>
        <w:shd w:val="clear" w:color="auto" w:fill="FFFFFF" w:themeFill="background1"/>
        <w:ind w:right="240"/>
        <w:jc w:val="both"/>
      </w:pPr>
      <w:proofErr w:type="spellStart"/>
      <w:r w:rsidRPr="2E9C8D5A" w:rsidR="2E9C8D5A">
        <w:rPr>
          <w:rFonts w:ascii="Verdana" w:hAnsi="Verdana" w:eastAsia="Verdana" w:cs="Verdana"/>
          <w:sz w:val="18"/>
          <w:szCs w:val="18"/>
        </w:rPr>
        <w:t>Brief</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test(BCT) – </w:t>
      </w:r>
      <w:proofErr w:type="spellStart"/>
      <w:r w:rsidRPr="2E9C8D5A" w:rsidR="2E9C8D5A">
        <w:rPr>
          <w:rFonts w:ascii="Verdana" w:hAnsi="Verdana" w:eastAsia="Verdana" w:cs="Verdana"/>
          <w:sz w:val="18"/>
          <w:szCs w:val="18"/>
        </w:rPr>
        <w:t>kognitsiooni</w:t>
      </w:r>
      <w:proofErr w:type="spellEnd"/>
      <w:r w:rsidRPr="2E9C8D5A" w:rsidR="2E9C8D5A">
        <w:rPr>
          <w:rFonts w:ascii="Verdana" w:hAnsi="Verdana" w:eastAsia="Verdana" w:cs="Verdana"/>
          <w:sz w:val="18"/>
          <w:szCs w:val="18"/>
        </w:rPr>
        <w:t xml:space="preserve"> hindav test, mis võtab aega alla 20 minuti. Rõhutatakse, et esmatasandil võiks toimuda anamneesi + objektiivse leiu fikseerimine ja esmase </w:t>
      </w:r>
      <w:proofErr w:type="spellStart"/>
      <w:r w:rsidRPr="2E9C8D5A" w:rsidR="2E9C8D5A">
        <w:rPr>
          <w:rFonts w:ascii="Verdana" w:hAnsi="Verdana" w:eastAsia="Verdana" w:cs="Verdana"/>
          <w:sz w:val="18"/>
          <w:szCs w:val="18"/>
        </w:rPr>
        <w:t>kognitsioonitesti</w:t>
      </w:r>
      <w:proofErr w:type="spellEnd"/>
      <w:r w:rsidRPr="2E9C8D5A" w:rsidR="2E9C8D5A">
        <w:rPr>
          <w:rFonts w:ascii="Verdana" w:hAnsi="Verdana" w:eastAsia="Verdana" w:cs="Verdana"/>
          <w:sz w:val="18"/>
          <w:szCs w:val="18"/>
        </w:rPr>
        <w:t xml:space="preserve"> tegemine. Spetsialisti rolliks jääb diagnoosi kinnitamine, spetsiifilise dementsuse tüübi defineerimine, vajadusel lisauuringute tegemine ja spetsiifilise ravi alustamine (vt. Joonis). </w:t>
      </w:r>
    </w:p>
    <w:p w:rsidR="2E9C8D5A" w:rsidP="2E9C8D5A" w:rsidRDefault="2E9C8D5A" w14:noSpellErr="1" w14:paraId="6B34F84A" w14:textId="3BCE97D2">
      <w:pPr>
        <w:pStyle w:val="Normaallaad"/>
        <w:shd w:val="clear" w:color="auto" w:fill="FFFFFF" w:themeFill="background1"/>
        <w:ind w:right="240"/>
        <w:jc w:val="both"/>
      </w:pPr>
      <w:r>
        <w:drawing>
          <wp:inline wp14:editId="3C6ED355" wp14:anchorId="2538C138">
            <wp:extent cx="6096000" cy="2552700"/>
            <wp:effectExtent l="0" t="0" r="0" b="0"/>
            <wp:docPr id="512960750" name="picture" title=""/>
            <wp:cNvGraphicFramePr>
              <a:graphicFrameLocks noChangeAspect="1"/>
            </wp:cNvGraphicFramePr>
            <a:graphic>
              <a:graphicData uri="http://schemas.openxmlformats.org/drawingml/2006/picture">
                <pic:pic>
                  <pic:nvPicPr>
                    <pic:cNvPr id="0" name="picture"/>
                    <pic:cNvPicPr/>
                  </pic:nvPicPr>
                  <pic:blipFill>
                    <a:blip r:embed="R39ce8a0bdd144ed7">
                      <a:extLst>
                        <a:ext xmlns:a="http://schemas.openxmlformats.org/drawingml/2006/main" uri="{28A0092B-C50C-407E-A947-70E740481C1C}">
                          <a14:useLocalDpi val="0"/>
                        </a:ext>
                      </a:extLst>
                    </a:blip>
                    <a:stretch>
                      <a:fillRect/>
                    </a:stretch>
                  </pic:blipFill>
                  <pic:spPr>
                    <a:xfrm>
                      <a:off x="0" y="0"/>
                      <a:ext cx="6096000" cy="2552700"/>
                    </a:xfrm>
                    <a:prstGeom prst="rect">
                      <a:avLst/>
                    </a:prstGeom>
                  </pic:spPr>
                </pic:pic>
              </a:graphicData>
            </a:graphic>
          </wp:inline>
        </w:drawing>
      </w:r>
      <w:r w:rsidRPr="2E9C8D5A" w:rsidR="2E9C8D5A">
        <w:rPr>
          <w:rFonts w:ascii="Verdana" w:hAnsi="Verdana" w:eastAsia="Verdana" w:cs="Verdana"/>
          <w:sz w:val="18"/>
          <w:szCs w:val="18"/>
        </w:rPr>
        <w:t xml:space="preserve"> </w:t>
      </w:r>
    </w:p>
    <w:p w:rsidR="2E9C8D5A" w:rsidP="2E9C8D5A" w:rsidRDefault="2E9C8D5A" w14:paraId="2BA7E89C" w14:textId="73289888">
      <w:pPr>
        <w:pStyle w:val="Normaallaad"/>
        <w:shd w:val="clear" w:color="auto" w:fill="FFFFFF" w:themeFill="background1"/>
        <w:ind w:right="240"/>
        <w:jc w:val="both"/>
      </w:pPr>
      <w:r w:rsidRPr="2E9C8D5A" w:rsidR="2E9C8D5A">
        <w:rPr>
          <w:rFonts w:ascii="Verdana" w:hAnsi="Verdana" w:eastAsia="Verdana" w:cs="Verdana"/>
          <w:sz w:val="18"/>
          <w:szCs w:val="18"/>
        </w:rPr>
        <w:t xml:space="preserve">Toodud on välja erinevaid BCT: </w:t>
      </w:r>
      <w:r w:rsidRPr="2E9C8D5A" w:rsidR="2E9C8D5A">
        <w:rPr>
          <w:rFonts w:ascii="Verdana" w:hAnsi="Verdana" w:eastAsia="Verdana" w:cs="Verdana"/>
          <w:sz w:val="18"/>
          <w:szCs w:val="18"/>
        </w:rPr>
        <w:t>ACE-III (</w:t>
      </w:r>
      <w:proofErr w:type="spellStart"/>
      <w:r w:rsidRPr="2E9C8D5A" w:rsidR="2E9C8D5A">
        <w:rPr>
          <w:rFonts w:ascii="Verdana" w:hAnsi="Verdana" w:eastAsia="Verdana" w:cs="Verdana"/>
          <w:sz w:val="18"/>
          <w:szCs w:val="18"/>
        </w:rPr>
        <w:t>Addenbrooke’s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(3rd </w:t>
      </w:r>
      <w:proofErr w:type="spellStart"/>
      <w:r w:rsidRPr="2E9C8D5A" w:rsidR="2E9C8D5A">
        <w:rPr>
          <w:rFonts w:ascii="Verdana" w:hAnsi="Verdana" w:eastAsia="Verdana" w:cs="Verdana"/>
          <w:sz w:val="18"/>
          <w:szCs w:val="18"/>
        </w:rPr>
        <w:t>version</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MIS (</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Impairment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Screen</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 MMSE (</w:t>
      </w:r>
      <w:r w:rsidRPr="2E9C8D5A" w:rsidR="2E9C8D5A">
        <w:rPr>
          <w:rFonts w:ascii="Verdana" w:hAnsi="Verdana" w:eastAsia="Verdana" w:cs="Verdana"/>
          <w:sz w:val="18"/>
          <w:szCs w:val="18"/>
        </w:rPr>
        <w:t>Mini-</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State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MoCA</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Montreal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RUDAS (</w:t>
      </w:r>
      <w:proofErr w:type="spellStart"/>
      <w:r w:rsidRPr="2E9C8D5A" w:rsidR="2E9C8D5A">
        <w:rPr>
          <w:rFonts w:ascii="Verdana" w:hAnsi="Verdana" w:eastAsia="Verdana" w:cs="Verdana"/>
          <w:sz w:val="18"/>
          <w:szCs w:val="18"/>
        </w:rPr>
        <w:t>Rowland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Universal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w:t>
      </w:r>
      <w:r w:rsidRPr="2E9C8D5A" w:rsidR="2E9C8D5A">
        <w:rPr>
          <w:rFonts w:ascii="Verdana" w:hAnsi="Verdana" w:eastAsia="Verdana" w:cs="Verdana"/>
          <w:sz w:val="18"/>
          <w:szCs w:val="18"/>
        </w:rPr>
        <w:t xml:space="preserve"> T@M (</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alteration</w:t>
      </w:r>
      <w:proofErr w:type="spellEnd"/>
      <w:r w:rsidRPr="2E9C8D5A" w:rsidR="2E9C8D5A">
        <w:rPr>
          <w:rFonts w:ascii="Verdana" w:hAnsi="Verdana" w:eastAsia="Verdana" w:cs="Verdana"/>
          <w:sz w:val="18"/>
          <w:szCs w:val="18"/>
        </w:rPr>
        <w:t xml:space="preserve"> test),</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GIT (</w:t>
      </w:r>
      <w:proofErr w:type="spellStart"/>
      <w:r w:rsidRPr="2E9C8D5A" w:rsidR="2E9C8D5A">
        <w:rPr>
          <w:rFonts w:ascii="Verdana" w:hAnsi="Verdana" w:eastAsia="Verdana" w:cs="Verdana"/>
          <w:sz w:val="18"/>
          <w:szCs w:val="18"/>
        </w:rPr>
        <w:t>general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information</w:t>
      </w:r>
      <w:proofErr w:type="spellEnd"/>
      <w:r w:rsidRPr="2E9C8D5A" w:rsidR="2E9C8D5A">
        <w:rPr>
          <w:rFonts w:ascii="Verdana" w:hAnsi="Verdana" w:eastAsia="Verdana" w:cs="Verdana"/>
          <w:sz w:val="18"/>
          <w:szCs w:val="18"/>
        </w:rPr>
        <w:t xml:space="preserve"> test),</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Fototest, kella joonistamise test, Mini-</w:t>
      </w:r>
      <w:proofErr w:type="spellStart"/>
      <w:r w:rsidRPr="2E9C8D5A" w:rsidR="2E9C8D5A">
        <w:rPr>
          <w:rFonts w:ascii="Verdana" w:hAnsi="Verdana" w:eastAsia="Verdana" w:cs="Verdana"/>
          <w:sz w:val="18"/>
          <w:szCs w:val="18"/>
        </w:rPr>
        <w:t>Cog</w:t>
      </w:r>
      <w:proofErr w:type="spellEnd"/>
      <w:r w:rsidRPr="2E9C8D5A" w:rsidR="2E9C8D5A">
        <w:rPr>
          <w:rFonts w:ascii="Verdana" w:hAnsi="Verdana" w:eastAsia="Verdana" w:cs="Verdana"/>
          <w:sz w:val="18"/>
          <w:szCs w:val="18"/>
        </w:rPr>
        <w:t xml:space="preserve">, verbaalse </w:t>
      </w:r>
      <w:proofErr w:type="spellStart"/>
      <w:r w:rsidRPr="2E9C8D5A" w:rsidR="2E9C8D5A">
        <w:rPr>
          <w:rFonts w:ascii="Verdana" w:hAnsi="Verdana" w:eastAsia="Verdana" w:cs="Verdana"/>
          <w:sz w:val="18"/>
          <w:szCs w:val="18"/>
        </w:rPr>
        <w:t>voolavuse</w:t>
      </w:r>
      <w:proofErr w:type="spellEnd"/>
      <w:r w:rsidRPr="2E9C8D5A" w:rsidR="2E9C8D5A">
        <w:rPr>
          <w:rFonts w:ascii="Verdana" w:hAnsi="Verdana" w:eastAsia="Verdana" w:cs="Verdana"/>
          <w:sz w:val="18"/>
          <w:szCs w:val="18"/>
        </w:rPr>
        <w:t xml:space="preserve"> test (</w:t>
      </w:r>
      <w:proofErr w:type="spellStart"/>
      <w:r w:rsidRPr="2E9C8D5A" w:rsidR="2E9C8D5A">
        <w:rPr>
          <w:rFonts w:ascii="Verdana" w:hAnsi="Verdana" w:eastAsia="Verdana" w:cs="Verdana"/>
          <w:sz w:val="18"/>
          <w:szCs w:val="18"/>
        </w:rPr>
        <w:t>verbal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fluency</w:t>
      </w:r>
      <w:proofErr w:type="spellEnd"/>
      <w:r w:rsidRPr="2E9C8D5A" w:rsidR="2E9C8D5A">
        <w:rPr>
          <w:rFonts w:ascii="Verdana" w:hAnsi="Verdana" w:eastAsia="Verdana" w:cs="Verdana"/>
          <w:sz w:val="18"/>
          <w:szCs w:val="18"/>
        </w:rPr>
        <w:t xml:space="preserve"> test - </w:t>
      </w:r>
      <w:proofErr w:type="spellStart"/>
      <w:r w:rsidRPr="2E9C8D5A" w:rsidR="2E9C8D5A">
        <w:rPr>
          <w:rFonts w:ascii="Verdana" w:hAnsi="Verdana" w:eastAsia="Verdana" w:cs="Verdana"/>
          <w:sz w:val="18"/>
          <w:szCs w:val="18"/>
        </w:rPr>
        <w:t>animals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words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beginning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‘p’),</w:t>
      </w:r>
      <w:r w:rsidRPr="2E9C8D5A" w:rsidR="2E9C8D5A">
        <w:rPr>
          <w:rFonts w:ascii="Verdana" w:hAnsi="Verdana" w:eastAsia="Verdana" w:cs="Verdana"/>
          <w:sz w:val="18"/>
          <w:szCs w:val="18"/>
        </w:rPr>
        <w:t xml:space="preserve"> 7 minuti test</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w:t>
      </w:r>
      <w:r w:rsidRPr="2E9C8D5A" w:rsidR="2E9C8D5A">
        <w:rPr>
          <w:rFonts w:ascii="Verdana" w:hAnsi="Verdana" w:eastAsia="Verdana" w:cs="Verdana"/>
          <w:sz w:val="18"/>
          <w:szCs w:val="18"/>
        </w:rPr>
        <w:t xml:space="preserve">7 </w:t>
      </w:r>
      <w:proofErr w:type="spellStart"/>
      <w:r w:rsidRPr="2E9C8D5A" w:rsidR="2E9C8D5A">
        <w:rPr>
          <w:rFonts w:ascii="Verdana" w:hAnsi="Verdana" w:eastAsia="Verdana" w:cs="Verdana"/>
          <w:sz w:val="18"/>
          <w:szCs w:val="18"/>
        </w:rPr>
        <w:t>Minute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Screen</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AMT (</w:t>
      </w:r>
      <w:proofErr w:type="spellStart"/>
      <w:r w:rsidRPr="2E9C8D5A" w:rsidR="2E9C8D5A">
        <w:rPr>
          <w:rFonts w:ascii="Verdana" w:hAnsi="Verdana" w:eastAsia="Verdana" w:cs="Verdana"/>
          <w:sz w:val="18"/>
          <w:szCs w:val="18"/>
        </w:rPr>
        <w:t>Abbreviated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Test), </w:t>
      </w:r>
      <w:r w:rsidRPr="2E9C8D5A" w:rsidR="2E9C8D5A">
        <w:rPr>
          <w:rFonts w:ascii="Verdana" w:hAnsi="Verdana" w:eastAsia="Verdana" w:cs="Verdana"/>
          <w:sz w:val="18"/>
          <w:szCs w:val="18"/>
        </w:rPr>
        <w:t>LCT (</w:t>
      </w:r>
      <w:proofErr w:type="spellStart"/>
      <w:r w:rsidRPr="2E9C8D5A" w:rsidR="2E9C8D5A">
        <w:rPr>
          <w:rFonts w:ascii="Verdana" w:hAnsi="Verdana" w:eastAsia="Verdana" w:cs="Verdana"/>
          <w:sz w:val="18"/>
          <w:szCs w:val="18"/>
        </w:rPr>
        <w:t>Leganés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test), </w:t>
      </w:r>
      <w:r w:rsidRPr="2E9C8D5A" w:rsidR="2E9C8D5A">
        <w:rPr>
          <w:rFonts w:ascii="Verdana" w:hAnsi="Verdana" w:eastAsia="Verdana" w:cs="Verdana"/>
          <w:sz w:val="18"/>
          <w:szCs w:val="18"/>
        </w:rPr>
        <w:t>SPMSQ (</w:t>
      </w:r>
      <w:proofErr w:type="spellStart"/>
      <w:r w:rsidRPr="2E9C8D5A" w:rsidR="2E9C8D5A">
        <w:rPr>
          <w:rFonts w:ascii="Verdana" w:hAnsi="Verdana" w:eastAsia="Verdana" w:cs="Verdana"/>
          <w:sz w:val="18"/>
          <w:szCs w:val="18"/>
        </w:rPr>
        <w:t>Short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Portable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Status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Questionnaire</w:t>
      </w:r>
      <w:proofErr w:type="spellEnd"/>
      <w:r w:rsidRPr="2E9C8D5A" w:rsidR="2E9C8D5A">
        <w:rPr>
          <w:rFonts w:ascii="Verdana" w:hAnsi="Verdana" w:eastAsia="Verdana" w:cs="Verdana"/>
          <w:sz w:val="18"/>
          <w:szCs w:val="18"/>
        </w:rPr>
        <w:t>).</w:t>
      </w:r>
    </w:p>
    <w:p w:rsidR="2E9C8D5A" w:rsidP="2E9C8D5A" w:rsidRDefault="2E9C8D5A" w14:noSpellErr="1" w14:paraId="7DE5B8A6" w14:textId="7DE2308F">
      <w:pPr>
        <w:pStyle w:val="Normaallaad"/>
        <w:shd w:val="clear" w:color="auto" w:fill="FFFFFF" w:themeFill="background1"/>
        <w:ind w:right="240"/>
        <w:jc w:val="both"/>
      </w:pPr>
      <w:r w:rsidRPr="2E9C8D5A" w:rsidR="2E9C8D5A">
        <w:rPr>
          <w:rFonts w:ascii="Verdana" w:hAnsi="Verdana" w:eastAsia="Verdana" w:cs="Verdana"/>
          <w:sz w:val="18"/>
          <w:szCs w:val="18"/>
        </w:rPr>
        <w:t>Mõned testid:</w:t>
      </w:r>
    </w:p>
    <w:p w:rsidR="2E9C8D5A" w:rsidP="2E9C8D5A" w:rsidRDefault="2E9C8D5A" w14:paraId="116CD365" w14:textId="61765A37">
      <w:pPr>
        <w:pStyle w:val="Normaallaad"/>
        <w:shd w:val="clear" w:color="auto" w:fill="FFFFFF" w:themeFill="background1"/>
        <w:ind w:right="240"/>
        <w:jc w:val="both"/>
      </w:pPr>
      <w:r w:rsidRPr="2E9C8D5A" w:rsidR="2E9C8D5A">
        <w:rPr>
          <w:rFonts w:ascii="Verdana" w:hAnsi="Verdana" w:eastAsia="Verdana" w:cs="Verdana"/>
          <w:sz w:val="18"/>
          <w:szCs w:val="18"/>
          <w:u w:val="single"/>
        </w:rPr>
        <w:t>MMSE</w:t>
      </w:r>
      <w:r w:rsidRPr="2E9C8D5A" w:rsidR="2E9C8D5A">
        <w:rPr>
          <w:rFonts w:ascii="Verdana" w:hAnsi="Verdana" w:eastAsia="Verdana" w:cs="Verdana"/>
          <w:sz w:val="18"/>
          <w:szCs w:val="18"/>
        </w:rPr>
        <w:t xml:space="preserve"> (</w:t>
      </w:r>
      <w:r w:rsidRPr="2E9C8D5A" w:rsidR="2E9C8D5A">
        <w:rPr>
          <w:rFonts w:ascii="Verdana" w:hAnsi="Verdana" w:eastAsia="Verdana" w:cs="Verdana"/>
          <w:i w:val="1"/>
          <w:iCs w:val="1"/>
          <w:sz w:val="18"/>
          <w:szCs w:val="18"/>
        </w:rPr>
        <w:t>Mini-</w:t>
      </w:r>
      <w:proofErr w:type="spellStart"/>
      <w:r w:rsidRPr="2E9C8D5A" w:rsidR="2E9C8D5A">
        <w:rPr>
          <w:rFonts w:ascii="Verdana" w:hAnsi="Verdana" w:eastAsia="Verdana" w:cs="Verdana"/>
          <w:i w:val="1"/>
          <w:iCs w:val="1"/>
          <w:sz w:val="18"/>
          <w:szCs w:val="18"/>
        </w:rPr>
        <w:t>Mental</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State</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Exam</w:t>
      </w:r>
      <w:proofErr w:type="spellEnd"/>
      <w:r w:rsidRPr="2E9C8D5A" w:rsidR="2E9C8D5A">
        <w:rPr>
          <w:rFonts w:ascii="Verdana" w:hAnsi="Verdana" w:eastAsia="Verdana" w:cs="Verdana"/>
          <w:sz w:val="18"/>
          <w:szCs w:val="18"/>
        </w:rPr>
        <w:t xml:space="preserve">) -kõige laialt kasutatud BCT maailmas, nii esmatasandil kui ka spetsialisti vastuvõtul. Puudused: eksisteerib mitmeid versioone, ei ole selgeid ühiseid juhiseid, ei hinda täidesaatvaid funktsioone, kaitstud </w:t>
      </w:r>
      <w:proofErr w:type="spellStart"/>
      <w:r w:rsidRPr="2E9C8D5A" w:rsidR="2E9C8D5A">
        <w:rPr>
          <w:rFonts w:ascii="Verdana" w:hAnsi="Verdana" w:eastAsia="Verdana" w:cs="Verdana"/>
          <w:sz w:val="18"/>
          <w:szCs w:val="18"/>
        </w:rPr>
        <w:t>copy</w:t>
      </w:r>
      <w:proofErr w:type="spellEnd"/>
      <w:r w:rsidRPr="2E9C8D5A" w:rsidR="2E9C8D5A">
        <w:rPr>
          <w:rFonts w:ascii="Verdana" w:hAnsi="Verdana" w:eastAsia="Verdana" w:cs="Verdana"/>
          <w:sz w:val="18"/>
          <w:szCs w:val="18"/>
        </w:rPr>
        <w:t>-</w:t>
      </w:r>
      <w:proofErr w:type="spellStart"/>
      <w:r w:rsidRPr="2E9C8D5A" w:rsidR="2E9C8D5A">
        <w:rPr>
          <w:rFonts w:ascii="Verdana" w:hAnsi="Verdana" w:eastAsia="Verdana" w:cs="Verdana"/>
          <w:sz w:val="18"/>
          <w:szCs w:val="18"/>
        </w:rPr>
        <w:t>right</w:t>
      </w:r>
      <w:proofErr w:type="spellEnd"/>
      <w:r w:rsidRPr="2E9C8D5A" w:rsidR="2E9C8D5A">
        <w:rPr>
          <w:rFonts w:ascii="Verdana" w:hAnsi="Verdana" w:eastAsia="Verdana" w:cs="Verdana"/>
          <w:sz w:val="18"/>
          <w:szCs w:val="18"/>
        </w:rPr>
        <w:t>-iga. Sobib hästi tüüpilise AT haige diagnoosiks ja ravi jälgimiseks. Peab arvesse võtma patsiendi vanust, haridustaset.</w:t>
      </w:r>
    </w:p>
    <w:p w:rsidR="2E9C8D5A" w:rsidP="2E9C8D5A" w:rsidRDefault="2E9C8D5A" w14:paraId="47874964" w14:textId="73D0BD39">
      <w:pPr>
        <w:pStyle w:val="Normaallaad"/>
        <w:shd w:val="clear" w:color="auto" w:fill="FFFFFF" w:themeFill="background1"/>
        <w:ind w:right="240"/>
        <w:jc w:val="both"/>
      </w:pPr>
      <w:r w:rsidRPr="2E9C8D5A" w:rsidR="2E9C8D5A">
        <w:rPr>
          <w:rFonts w:ascii="Verdana" w:hAnsi="Verdana" w:eastAsia="Verdana" w:cs="Verdana"/>
          <w:sz w:val="18"/>
          <w:szCs w:val="18"/>
          <w:u w:val="single"/>
        </w:rPr>
        <w:t>Kellatest</w:t>
      </w:r>
      <w:r w:rsidRPr="2E9C8D5A" w:rsidR="2E9C8D5A">
        <w:rPr>
          <w:rFonts w:ascii="Verdana" w:hAnsi="Verdana" w:eastAsia="Verdana" w:cs="Verdana"/>
          <w:sz w:val="18"/>
          <w:szCs w:val="18"/>
        </w:rPr>
        <w:t xml:space="preserve"> hindab </w:t>
      </w:r>
      <w:proofErr w:type="spellStart"/>
      <w:r w:rsidRPr="2E9C8D5A" w:rsidR="2E9C8D5A">
        <w:rPr>
          <w:rFonts w:ascii="Verdana" w:hAnsi="Verdana" w:eastAsia="Verdana" w:cs="Verdana"/>
          <w:sz w:val="18"/>
          <w:szCs w:val="18"/>
        </w:rPr>
        <w:t>visuaalruumilisi</w:t>
      </w:r>
      <w:proofErr w:type="spellEnd"/>
      <w:r w:rsidRPr="2E9C8D5A" w:rsidR="2E9C8D5A">
        <w:rPr>
          <w:rFonts w:ascii="Verdana" w:hAnsi="Verdana" w:eastAsia="Verdana" w:cs="Verdana"/>
          <w:sz w:val="18"/>
          <w:szCs w:val="18"/>
        </w:rPr>
        <w:t xml:space="preserve"> võimeid, täidesaatvaid funktsioone. Kuigi ta on lihtne ja ei võta kaua aega, siis ei ole see piisav, et esmatasandil dementsussündroomi kinnitada. On tundlik parema </w:t>
      </w:r>
      <w:proofErr w:type="spellStart"/>
      <w:r w:rsidRPr="2E9C8D5A" w:rsidR="2E9C8D5A">
        <w:rPr>
          <w:rFonts w:ascii="Verdana" w:hAnsi="Verdana" w:eastAsia="Verdana" w:cs="Verdana"/>
          <w:sz w:val="18"/>
          <w:szCs w:val="18"/>
        </w:rPr>
        <w:t>parietaalsagara</w:t>
      </w:r>
      <w:proofErr w:type="spellEnd"/>
      <w:r w:rsidRPr="2E9C8D5A" w:rsidR="2E9C8D5A">
        <w:rPr>
          <w:rFonts w:ascii="Verdana" w:hAnsi="Verdana" w:eastAsia="Verdana" w:cs="Verdana"/>
          <w:sz w:val="18"/>
          <w:szCs w:val="18"/>
        </w:rPr>
        <w:t xml:space="preserve"> kahjustusele. </w:t>
      </w:r>
    </w:p>
    <w:p w:rsidR="2E9C8D5A" w:rsidP="2E9C8D5A" w:rsidRDefault="2E9C8D5A" w14:paraId="314030D7" w14:textId="0A9E1B9B">
      <w:pPr>
        <w:pStyle w:val="Normaallaad"/>
        <w:shd w:val="clear" w:color="auto" w:fill="FFFFFF" w:themeFill="background1"/>
        <w:ind w:right="240"/>
        <w:jc w:val="both"/>
      </w:pPr>
      <w:r w:rsidRPr="2E9C8D5A" w:rsidR="2E9C8D5A">
        <w:rPr>
          <w:rFonts w:ascii="Verdana" w:hAnsi="Verdana" w:eastAsia="Verdana" w:cs="Verdana"/>
          <w:sz w:val="18"/>
          <w:szCs w:val="18"/>
          <w:u w:val="single"/>
        </w:rPr>
        <w:t xml:space="preserve">Verbaalse </w:t>
      </w:r>
      <w:proofErr w:type="spellStart"/>
      <w:r w:rsidRPr="2E9C8D5A" w:rsidR="2E9C8D5A">
        <w:rPr>
          <w:rFonts w:ascii="Verdana" w:hAnsi="Verdana" w:eastAsia="Verdana" w:cs="Verdana"/>
          <w:sz w:val="18"/>
          <w:szCs w:val="18"/>
          <w:u w:val="single"/>
        </w:rPr>
        <w:t>voolavuse</w:t>
      </w:r>
      <w:proofErr w:type="spellEnd"/>
      <w:r w:rsidRPr="2E9C8D5A" w:rsidR="2E9C8D5A">
        <w:rPr>
          <w:rFonts w:ascii="Verdana" w:hAnsi="Verdana" w:eastAsia="Verdana" w:cs="Verdana"/>
          <w:sz w:val="18"/>
          <w:szCs w:val="18"/>
          <w:u w:val="single"/>
        </w:rPr>
        <w:t xml:space="preserve"> test</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i w:val="1"/>
          <w:iCs w:val="1"/>
          <w:sz w:val="18"/>
          <w:szCs w:val="18"/>
        </w:rPr>
        <w:t>verbal</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fluency</w:t>
      </w:r>
      <w:proofErr w:type="spellEnd"/>
      <w:r w:rsidRPr="2E9C8D5A" w:rsidR="2E9C8D5A">
        <w:rPr>
          <w:rFonts w:ascii="Verdana" w:hAnsi="Verdana" w:eastAsia="Verdana" w:cs="Verdana"/>
          <w:i w:val="1"/>
          <w:iCs w:val="1"/>
          <w:sz w:val="18"/>
          <w:szCs w:val="18"/>
        </w:rPr>
        <w:t xml:space="preserve"> test</w:t>
      </w:r>
      <w:r w:rsidRPr="2E9C8D5A" w:rsidR="2E9C8D5A">
        <w:rPr>
          <w:rFonts w:ascii="Verdana" w:hAnsi="Verdana" w:eastAsia="Verdana" w:cs="Verdana"/>
          <w:sz w:val="18"/>
          <w:szCs w:val="18"/>
        </w:rPr>
        <w:t xml:space="preserve">): 1 minuti jooksul peab patsient nii palju loomi või p- tähega algavaid sõnu, kui ta suudab. Hindab keelt ja täidesaatvaid funktsioone. On soovitatud skriiningtestina, sest on palju uuritud. Tuleb hinnata kliinilises kontekstis. </w:t>
      </w:r>
    </w:p>
    <w:p w:rsidR="2E9C8D5A" w:rsidP="2E9C8D5A" w:rsidRDefault="2E9C8D5A" w14:paraId="1B315D4D" w14:textId="285ACE2A">
      <w:pPr>
        <w:pStyle w:val="Normaallaad"/>
        <w:shd w:val="clear" w:color="auto" w:fill="FFFFFF" w:themeFill="background1"/>
        <w:ind w:right="240"/>
        <w:jc w:val="both"/>
      </w:pPr>
      <w:r w:rsidRPr="2E9C8D5A" w:rsidR="2E9C8D5A">
        <w:rPr>
          <w:rFonts w:ascii="Verdana" w:hAnsi="Verdana" w:eastAsia="Verdana" w:cs="Verdana"/>
          <w:sz w:val="18"/>
          <w:szCs w:val="18"/>
          <w:u w:val="single"/>
        </w:rPr>
        <w:t>Mini-</w:t>
      </w:r>
      <w:proofErr w:type="spellStart"/>
      <w:r w:rsidRPr="2E9C8D5A" w:rsidR="2E9C8D5A">
        <w:rPr>
          <w:rFonts w:ascii="Verdana" w:hAnsi="Verdana" w:eastAsia="Verdana" w:cs="Verdana"/>
          <w:sz w:val="18"/>
          <w:szCs w:val="18"/>
          <w:u w:val="single"/>
        </w:rPr>
        <w:t>Cog</w:t>
      </w:r>
      <w:proofErr w:type="spellEnd"/>
      <w:r w:rsidRPr="2E9C8D5A" w:rsidR="2E9C8D5A">
        <w:rPr>
          <w:rFonts w:ascii="Verdana" w:hAnsi="Verdana" w:eastAsia="Verdana" w:cs="Verdana"/>
          <w:sz w:val="18"/>
          <w:szCs w:val="18"/>
        </w:rPr>
        <w:t xml:space="preserve"> – 3 sõna </w:t>
      </w:r>
      <w:proofErr w:type="spellStart"/>
      <w:r w:rsidRPr="2E9C8D5A" w:rsidR="2E9C8D5A">
        <w:rPr>
          <w:rFonts w:ascii="Verdana" w:hAnsi="Verdana" w:eastAsia="Verdana" w:cs="Verdana"/>
          <w:sz w:val="18"/>
          <w:szCs w:val="18"/>
        </w:rPr>
        <w:t>meeldetuletamine</w:t>
      </w:r>
      <w:proofErr w:type="spellEnd"/>
      <w:r w:rsidRPr="2E9C8D5A" w:rsidR="2E9C8D5A">
        <w:rPr>
          <w:rFonts w:ascii="Verdana" w:hAnsi="Verdana" w:eastAsia="Verdana" w:cs="Verdana"/>
          <w:sz w:val="18"/>
          <w:szCs w:val="18"/>
        </w:rPr>
        <w:t xml:space="preserve">, kella joonistamine. Kasulik vaid kliiniliselt selgetel juhtudel. Väike sensitiivsus diagnoosimisel ja jälgimisel. </w:t>
      </w:r>
    </w:p>
    <w:p w:rsidR="2E9C8D5A" w:rsidP="2E9C8D5A" w:rsidRDefault="2E9C8D5A" w14:paraId="6BF88442" w14:textId="1617C4C2">
      <w:pPr>
        <w:pStyle w:val="Normaallaad"/>
        <w:shd w:val="clear" w:color="auto" w:fill="FFFFFF" w:themeFill="background1"/>
        <w:ind w:right="240"/>
        <w:jc w:val="both"/>
      </w:pPr>
      <w:r w:rsidRPr="2E9C8D5A" w:rsidR="2E9C8D5A">
        <w:rPr>
          <w:rFonts w:ascii="Verdana" w:hAnsi="Verdana" w:eastAsia="Verdana" w:cs="Verdana"/>
          <w:sz w:val="18"/>
          <w:szCs w:val="18"/>
          <w:u w:val="single"/>
        </w:rPr>
        <w:t>Fototest</w:t>
      </w:r>
      <w:r w:rsidRPr="2E9C8D5A" w:rsidR="2E9C8D5A">
        <w:rPr>
          <w:rFonts w:ascii="Verdana" w:hAnsi="Verdana" w:eastAsia="Verdana" w:cs="Verdana"/>
          <w:sz w:val="18"/>
          <w:szCs w:val="18"/>
        </w:rPr>
        <w:t xml:space="preserve"> – visuaal-verbaalne nimetamise ülesanne (6 fotot objektidega): keel, keele </w:t>
      </w:r>
      <w:proofErr w:type="spellStart"/>
      <w:r w:rsidRPr="2E9C8D5A" w:rsidR="2E9C8D5A">
        <w:rPr>
          <w:rFonts w:ascii="Verdana" w:hAnsi="Verdana" w:eastAsia="Verdana" w:cs="Verdana"/>
          <w:sz w:val="18"/>
          <w:szCs w:val="18"/>
        </w:rPr>
        <w:t>voolavus</w:t>
      </w:r>
      <w:proofErr w:type="spellEnd"/>
      <w:r w:rsidRPr="2E9C8D5A" w:rsidR="2E9C8D5A">
        <w:rPr>
          <w:rFonts w:ascii="Verdana" w:hAnsi="Verdana" w:eastAsia="Verdana" w:cs="Verdana"/>
          <w:sz w:val="18"/>
          <w:szCs w:val="18"/>
        </w:rPr>
        <w:t>, sõnade meelde tuletamine. Laialt kasutusel ja efektiivne. Parem kulu-efektiivsus kui MMSE-l. Erinevaid pilte on palju, väldib haiguse jälgimise ja korduval kasutamisel</w:t>
      </w:r>
      <w:r w:rsidRPr="2E9C8D5A" w:rsidR="2E9C8D5A">
        <w:rPr>
          <w:rFonts w:ascii="Verdana" w:hAnsi="Verdana" w:eastAsia="Verdana" w:cs="Verdana"/>
          <w:sz w:val="18"/>
          <w:szCs w:val="18"/>
        </w:rPr>
        <w:t xml:space="preserve"> tekkivat "õppimise efekti". </w:t>
      </w:r>
    </w:p>
    <w:p w:rsidR="2E9C8D5A" w:rsidP="2E9C8D5A" w:rsidRDefault="2E9C8D5A" w14:paraId="71AED95E" w14:textId="47136B0D">
      <w:pPr>
        <w:pStyle w:val="Normaallaad"/>
        <w:shd w:val="clear" w:color="auto" w:fill="FFFFFF" w:themeFill="background1"/>
        <w:ind w:right="240"/>
        <w:jc w:val="both"/>
      </w:pPr>
      <w:r w:rsidRPr="2E9C8D5A" w:rsidR="2E9C8D5A">
        <w:rPr>
          <w:rFonts w:ascii="Verdana" w:hAnsi="Verdana" w:eastAsia="Verdana" w:cs="Verdana"/>
          <w:sz w:val="18"/>
          <w:szCs w:val="18"/>
          <w:u w:val="single"/>
        </w:rPr>
        <w:t>MIS</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Impairment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Screen</w:t>
      </w:r>
      <w:proofErr w:type="spellEnd"/>
      <w:r w:rsidRPr="2E9C8D5A" w:rsidR="2E9C8D5A">
        <w:rPr>
          <w:rFonts w:ascii="Verdana" w:hAnsi="Verdana" w:eastAsia="Verdana" w:cs="Verdana"/>
          <w:sz w:val="18"/>
          <w:szCs w:val="18"/>
        </w:rPr>
        <w:t xml:space="preserve">) - loetakse ja tuletatakse meelde 4 sõna. AT korral leitud häid tulemusi. Näitas head </w:t>
      </w:r>
      <w:proofErr w:type="spellStart"/>
      <w:r w:rsidRPr="2E9C8D5A" w:rsidR="2E9C8D5A">
        <w:rPr>
          <w:rFonts w:ascii="Verdana" w:hAnsi="Verdana" w:eastAsia="Verdana" w:cs="Verdana"/>
          <w:sz w:val="18"/>
          <w:szCs w:val="18"/>
        </w:rPr>
        <w:t>korrellatsiooni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hippokampuse</w:t>
      </w:r>
      <w:proofErr w:type="spellEnd"/>
      <w:r w:rsidRPr="2E9C8D5A" w:rsidR="2E9C8D5A">
        <w:rPr>
          <w:rFonts w:ascii="Verdana" w:hAnsi="Verdana" w:eastAsia="Verdana" w:cs="Verdana"/>
          <w:sz w:val="18"/>
          <w:szCs w:val="18"/>
        </w:rPr>
        <w:t xml:space="preserve"> ja </w:t>
      </w:r>
      <w:proofErr w:type="spellStart"/>
      <w:r w:rsidRPr="2E9C8D5A" w:rsidR="2E9C8D5A">
        <w:rPr>
          <w:rFonts w:ascii="Verdana" w:hAnsi="Verdana" w:eastAsia="Verdana" w:cs="Verdana"/>
          <w:sz w:val="18"/>
          <w:szCs w:val="18"/>
        </w:rPr>
        <w:t>entorinaalse</w:t>
      </w:r>
      <w:proofErr w:type="spellEnd"/>
      <w:r w:rsidRPr="2E9C8D5A" w:rsidR="2E9C8D5A">
        <w:rPr>
          <w:rFonts w:ascii="Verdana" w:hAnsi="Verdana" w:eastAsia="Verdana" w:cs="Verdana"/>
          <w:sz w:val="18"/>
          <w:szCs w:val="18"/>
        </w:rPr>
        <w:t xml:space="preserve"> koore mahuga (varajane haiguse avastamine)</w:t>
      </w:r>
    </w:p>
    <w:p w:rsidR="2E9C8D5A" w:rsidP="2E9C8D5A" w:rsidRDefault="2E9C8D5A" w14:paraId="2921CBFB" w14:textId="23B43EB2">
      <w:pPr>
        <w:pStyle w:val="Normaallaad"/>
        <w:shd w:val="clear" w:color="auto" w:fill="FFFFFF" w:themeFill="background1"/>
        <w:ind w:right="240"/>
        <w:jc w:val="both"/>
      </w:pPr>
      <w:r w:rsidRPr="2E9C8D5A" w:rsidR="2E9C8D5A">
        <w:rPr>
          <w:rFonts w:ascii="Verdana" w:hAnsi="Verdana" w:eastAsia="Verdana" w:cs="Verdana"/>
          <w:sz w:val="18"/>
          <w:szCs w:val="18"/>
          <w:u w:val="single"/>
        </w:rPr>
        <w:t>M@T</w:t>
      </w:r>
      <w:r w:rsidRPr="2E9C8D5A" w:rsidR="2E9C8D5A">
        <w:rPr>
          <w:rFonts w:ascii="Verdana" w:hAnsi="Verdana" w:eastAsia="Verdana" w:cs="Verdana"/>
          <w:sz w:val="18"/>
          <w:szCs w:val="18"/>
        </w:rPr>
        <w:t>(</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alteration</w:t>
      </w:r>
      <w:proofErr w:type="spellEnd"/>
      <w:r w:rsidRPr="2E9C8D5A" w:rsidR="2E9C8D5A">
        <w:rPr>
          <w:rFonts w:ascii="Verdana" w:hAnsi="Verdana" w:eastAsia="Verdana" w:cs="Verdana"/>
          <w:sz w:val="18"/>
          <w:szCs w:val="18"/>
        </w:rPr>
        <w:t xml:space="preserve"> tes</w:t>
      </w:r>
      <w:r w:rsidRPr="2E9C8D5A" w:rsidR="2E9C8D5A">
        <w:rPr>
          <w:rFonts w:ascii="Verdana" w:hAnsi="Verdana" w:eastAsia="Verdana" w:cs="Verdana"/>
          <w:sz w:val="18"/>
          <w:szCs w:val="18"/>
        </w:rPr>
        <w:t xml:space="preserve">t) - vabas vormis ja järjekorras sõnade </w:t>
      </w:r>
      <w:proofErr w:type="spellStart"/>
      <w:r w:rsidRPr="2E9C8D5A" w:rsidR="2E9C8D5A">
        <w:rPr>
          <w:rFonts w:ascii="Verdana" w:hAnsi="Verdana" w:eastAsia="Verdana" w:cs="Verdana"/>
          <w:sz w:val="18"/>
          <w:szCs w:val="18"/>
        </w:rPr>
        <w:t>meeldetuletamine</w:t>
      </w:r>
      <w:proofErr w:type="spellEnd"/>
      <w:r w:rsidRPr="2E9C8D5A" w:rsidR="2E9C8D5A">
        <w:rPr>
          <w:rFonts w:ascii="Verdana" w:hAnsi="Verdana" w:eastAsia="Verdana" w:cs="Verdana"/>
          <w:sz w:val="18"/>
          <w:szCs w:val="18"/>
        </w:rPr>
        <w:t xml:space="preserve">, ajas orienteerunud. </w:t>
      </w:r>
      <w:proofErr w:type="spellStart"/>
      <w:r w:rsidRPr="2E9C8D5A" w:rsidR="2E9C8D5A">
        <w:rPr>
          <w:rFonts w:ascii="Verdana" w:hAnsi="Verdana" w:eastAsia="Verdana" w:cs="Verdana"/>
          <w:sz w:val="18"/>
          <w:szCs w:val="18"/>
        </w:rPr>
        <w:t>VArajane</w:t>
      </w:r>
      <w:proofErr w:type="spellEnd"/>
      <w:r w:rsidRPr="2E9C8D5A" w:rsidR="2E9C8D5A">
        <w:rPr>
          <w:rFonts w:ascii="Verdana" w:hAnsi="Verdana" w:eastAsia="Verdana" w:cs="Verdana"/>
          <w:sz w:val="18"/>
          <w:szCs w:val="18"/>
        </w:rPr>
        <w:t xml:space="preserve"> tüüpiline AT. Pigem kasutada spetsialistide poolt. </w:t>
      </w:r>
    </w:p>
    <w:p w:rsidR="2E9C8D5A" w:rsidP="2E9C8D5A" w:rsidRDefault="2E9C8D5A" w14:noSpellErr="1" w14:paraId="419C0866" w14:textId="13AF538E">
      <w:pPr>
        <w:pStyle w:val="Normaallaad"/>
        <w:shd w:val="clear" w:color="auto" w:fill="FFFFFF" w:themeFill="background1"/>
        <w:ind w:right="240"/>
        <w:jc w:val="both"/>
      </w:pPr>
      <w:r w:rsidRPr="2E9C8D5A" w:rsidR="2E9C8D5A">
        <w:rPr>
          <w:rFonts w:ascii="Verdana" w:hAnsi="Verdana" w:eastAsia="Verdana" w:cs="Verdana"/>
          <w:sz w:val="18"/>
          <w:szCs w:val="18"/>
          <w:u w:val="single"/>
        </w:rPr>
        <w:t>Eurotest</w:t>
      </w:r>
      <w:r w:rsidRPr="2E9C8D5A" w:rsidR="2E9C8D5A">
        <w:rPr>
          <w:rFonts w:ascii="Verdana" w:hAnsi="Verdana" w:eastAsia="Verdana" w:cs="Verdana"/>
          <w:sz w:val="18"/>
          <w:szCs w:val="18"/>
        </w:rPr>
        <w:t xml:space="preserve"> – kasutab münte: müntide teadmine, müntidega arvutamine ja meenutamine, milliseid münte kasutati. Kas patsient saab raha käsitlemisega hakkama? Sobib ka keeleoskamatutele patsientidele. </w:t>
      </w:r>
    </w:p>
    <w:p w:rsidR="2E9C8D5A" w:rsidP="2E9C8D5A" w:rsidRDefault="2E9C8D5A" w14:paraId="2272E111" w14:textId="648C22C3">
      <w:pPr>
        <w:pStyle w:val="Normaallaad"/>
        <w:shd w:val="clear" w:color="auto" w:fill="FFFFFF" w:themeFill="background1"/>
        <w:ind w:right="240"/>
        <w:jc w:val="both"/>
      </w:pPr>
      <w:proofErr w:type="spellStart"/>
      <w:r w:rsidRPr="2E9C8D5A" w:rsidR="2E9C8D5A">
        <w:rPr>
          <w:rFonts w:ascii="Verdana" w:hAnsi="Verdana" w:eastAsia="Verdana" w:cs="Verdana"/>
          <w:sz w:val="18"/>
          <w:szCs w:val="18"/>
          <w:u w:val="single"/>
        </w:rPr>
        <w:t>MoCA</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Montreal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 tähelepanu, 5 sõna meenutamine, sarnasused, arvutamine, raja tõmbamise test (</w:t>
      </w:r>
      <w:proofErr w:type="spellStart"/>
      <w:r w:rsidRPr="2E9C8D5A" w:rsidR="2E9C8D5A">
        <w:rPr>
          <w:rFonts w:ascii="Verdana" w:hAnsi="Verdana" w:eastAsia="Verdana" w:cs="Verdana"/>
          <w:sz w:val="18"/>
          <w:szCs w:val="18"/>
        </w:rPr>
        <w:t>Trail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Making</w:t>
      </w:r>
      <w:proofErr w:type="spellEnd"/>
      <w:r w:rsidRPr="2E9C8D5A" w:rsidR="2E9C8D5A">
        <w:rPr>
          <w:rFonts w:ascii="Verdana" w:hAnsi="Verdana" w:eastAsia="Verdana" w:cs="Verdana"/>
          <w:sz w:val="18"/>
          <w:szCs w:val="18"/>
        </w:rPr>
        <w:t xml:space="preserve"> Test), kuubi kopeerimine, keel, orientatsioon. Haridustase mängib olulist rolli. </w:t>
      </w:r>
    </w:p>
    <w:p w:rsidR="2E9C8D5A" w:rsidP="2E9C8D5A" w:rsidRDefault="2E9C8D5A" w14:paraId="63D9D357" w14:textId="412E7B2F">
      <w:pPr>
        <w:jc w:val="both"/>
      </w:pPr>
      <w:r w:rsidRPr="2E9C8D5A" w:rsidR="2E9C8D5A">
        <w:rPr>
          <w:rFonts w:ascii="Verdana" w:hAnsi="Verdana" w:eastAsia="Verdana" w:cs="Verdana"/>
          <w:sz w:val="18"/>
          <w:szCs w:val="18"/>
          <w:u w:val="single"/>
        </w:rPr>
        <w:t>RUDAS</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i w:val="1"/>
          <w:iCs w:val="1"/>
          <w:sz w:val="18"/>
          <w:szCs w:val="18"/>
          <w:u w:val="none"/>
        </w:rPr>
        <w:t>Rowland</w:t>
      </w:r>
      <w:proofErr w:type="spellEnd"/>
      <w:r w:rsidRPr="2E9C8D5A" w:rsidR="2E9C8D5A">
        <w:rPr>
          <w:rFonts w:ascii="Verdana" w:hAnsi="Verdana" w:eastAsia="Verdana" w:cs="Verdana"/>
          <w:i w:val="1"/>
          <w:iCs w:val="1"/>
          <w:sz w:val="18"/>
          <w:szCs w:val="18"/>
          <w:u w:val="none"/>
        </w:rPr>
        <w:t xml:space="preserve"> </w:t>
      </w:r>
      <w:proofErr w:type="spellStart"/>
      <w:r w:rsidRPr="2E9C8D5A" w:rsidR="2E9C8D5A">
        <w:rPr>
          <w:rFonts w:ascii="Verdana" w:hAnsi="Verdana" w:eastAsia="Verdana" w:cs="Verdana"/>
          <w:i w:val="1"/>
          <w:iCs w:val="1"/>
          <w:sz w:val="18"/>
          <w:szCs w:val="18"/>
          <w:u w:val="none"/>
        </w:rPr>
        <w:t>Universal</w:t>
      </w:r>
      <w:proofErr w:type="spellEnd"/>
      <w:r w:rsidRPr="2E9C8D5A" w:rsidR="2E9C8D5A">
        <w:rPr>
          <w:rFonts w:ascii="Verdana" w:hAnsi="Verdana" w:eastAsia="Verdana" w:cs="Verdana"/>
          <w:i w:val="1"/>
          <w:iCs w:val="1"/>
          <w:sz w:val="18"/>
          <w:szCs w:val="18"/>
          <w:u w:val="none"/>
        </w:rPr>
        <w:t xml:space="preserve"> </w:t>
      </w:r>
      <w:proofErr w:type="spellStart"/>
      <w:r w:rsidRPr="2E9C8D5A" w:rsidR="2E9C8D5A">
        <w:rPr>
          <w:rFonts w:ascii="Verdana" w:hAnsi="Verdana" w:eastAsia="Verdana" w:cs="Verdana"/>
          <w:i w:val="1"/>
          <w:iCs w:val="1"/>
          <w:sz w:val="18"/>
          <w:szCs w:val="18"/>
          <w:u w:val="none"/>
        </w:rPr>
        <w:t>Dementia</w:t>
      </w:r>
      <w:proofErr w:type="spellEnd"/>
      <w:r w:rsidRPr="2E9C8D5A" w:rsidR="2E9C8D5A">
        <w:rPr>
          <w:rFonts w:ascii="Verdana" w:hAnsi="Verdana" w:eastAsia="Verdana" w:cs="Verdana"/>
          <w:i w:val="1"/>
          <w:iCs w:val="1"/>
          <w:sz w:val="18"/>
          <w:szCs w:val="18"/>
          <w:u w:val="none"/>
        </w:rPr>
        <w:t xml:space="preserve"> </w:t>
      </w:r>
      <w:proofErr w:type="spellStart"/>
      <w:r w:rsidRPr="2E9C8D5A" w:rsidR="2E9C8D5A">
        <w:rPr>
          <w:rFonts w:ascii="Verdana" w:hAnsi="Verdana" w:eastAsia="Verdana" w:cs="Verdana"/>
          <w:i w:val="1"/>
          <w:iCs w:val="1"/>
          <w:sz w:val="18"/>
          <w:szCs w:val="18"/>
          <w:u w:val="none"/>
        </w:rPr>
        <w:t>Assessment</w:t>
      </w:r>
      <w:proofErr w:type="spellEnd"/>
      <w:r w:rsidRPr="2E9C8D5A" w:rsidR="2E9C8D5A">
        <w:rPr>
          <w:rFonts w:ascii="Verdana" w:hAnsi="Verdana" w:eastAsia="Verdana" w:cs="Verdana"/>
          <w:sz w:val="18"/>
          <w:szCs w:val="18"/>
        </w:rPr>
        <w:t xml:space="preserve">) - kehaosad, kuubi joonistamine, jne. Sobib kirjaosakamatutele. </w:t>
      </w:r>
    </w:p>
    <w:p w:rsidR="2E9C8D5A" w:rsidP="2E9C8D5A" w:rsidRDefault="2E9C8D5A" w14:paraId="08B83195" w14:textId="385646E3">
      <w:pPr>
        <w:jc w:val="both"/>
      </w:pPr>
      <w:r w:rsidRPr="2E9C8D5A" w:rsidR="2E9C8D5A">
        <w:rPr>
          <w:rFonts w:ascii="Verdana" w:hAnsi="Verdana" w:eastAsia="Verdana" w:cs="Verdana"/>
          <w:sz w:val="18"/>
          <w:szCs w:val="18"/>
          <w:u w:val="single"/>
        </w:rPr>
        <w:t>7 minuti test</w:t>
      </w:r>
      <w:r w:rsidRPr="2E9C8D5A" w:rsidR="2E9C8D5A">
        <w:rPr>
          <w:rFonts w:ascii="Verdana" w:hAnsi="Verdana" w:eastAsia="Verdana" w:cs="Verdana"/>
          <w:sz w:val="18"/>
          <w:szCs w:val="18"/>
        </w:rPr>
        <w:t xml:space="preserve"> – kompleksne testipatarei, 16 ülesannet ja </w:t>
      </w:r>
      <w:proofErr w:type="spellStart"/>
      <w:r w:rsidRPr="2E9C8D5A" w:rsidR="2E9C8D5A">
        <w:rPr>
          <w:rFonts w:ascii="Verdana" w:hAnsi="Verdana" w:eastAsia="Verdana" w:cs="Verdana"/>
          <w:sz w:val="18"/>
          <w:szCs w:val="18"/>
        </w:rPr>
        <w:t>skooring</w:t>
      </w:r>
      <w:proofErr w:type="spellEnd"/>
      <w:r w:rsidRPr="2E9C8D5A" w:rsidR="2E9C8D5A">
        <w:rPr>
          <w:rFonts w:ascii="Verdana" w:hAnsi="Verdana" w:eastAsia="Verdana" w:cs="Verdana"/>
          <w:sz w:val="18"/>
          <w:szCs w:val="18"/>
        </w:rPr>
        <w:t xml:space="preserve">-süsteem on keeruline. Vaheetapp tavalise skriiningtesti ja </w:t>
      </w:r>
      <w:proofErr w:type="spellStart"/>
      <w:r w:rsidRPr="2E9C8D5A" w:rsidR="2E9C8D5A">
        <w:rPr>
          <w:rFonts w:ascii="Verdana" w:hAnsi="Verdana" w:eastAsia="Verdana" w:cs="Verdana"/>
          <w:sz w:val="18"/>
          <w:szCs w:val="18"/>
        </w:rPr>
        <w:t>neuropsühholoogilise</w:t>
      </w:r>
      <w:proofErr w:type="spellEnd"/>
      <w:r w:rsidRPr="2E9C8D5A" w:rsidR="2E9C8D5A">
        <w:rPr>
          <w:rFonts w:ascii="Verdana" w:hAnsi="Verdana" w:eastAsia="Verdana" w:cs="Verdana"/>
          <w:sz w:val="18"/>
          <w:szCs w:val="18"/>
        </w:rPr>
        <w:t xml:space="preserve"> testi vahel. Dementsuse tuvastamisel head tulemused.</w:t>
      </w:r>
    </w:p>
    <w:p w:rsidR="2E9C8D5A" w:rsidP="2E9C8D5A" w:rsidRDefault="2E9C8D5A" w14:paraId="6D7B80E5" w14:textId="65C2A7A8">
      <w:pPr>
        <w:pStyle w:val="Normaallaad"/>
        <w:jc w:val="both"/>
      </w:pPr>
      <w:r w:rsidRPr="2E9C8D5A" w:rsidR="2E9C8D5A">
        <w:rPr>
          <w:rFonts w:ascii="Verdana" w:hAnsi="Verdana" w:eastAsia="Verdana" w:cs="Verdana"/>
          <w:sz w:val="18"/>
          <w:szCs w:val="18"/>
          <w:u w:val="single"/>
        </w:rPr>
        <w:t>ACE</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Addenbrooke’s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 MMSE edasiarendus. Aitab eristada eri </w:t>
      </w:r>
      <w:proofErr w:type="spellStart"/>
      <w:r w:rsidRPr="2E9C8D5A" w:rsidR="2E9C8D5A">
        <w:rPr>
          <w:rFonts w:ascii="Verdana" w:hAnsi="Verdana" w:eastAsia="Verdana" w:cs="Verdana"/>
          <w:sz w:val="18"/>
          <w:szCs w:val="18"/>
        </w:rPr>
        <w:t>demetnsuse</w:t>
      </w:r>
      <w:proofErr w:type="spellEnd"/>
      <w:r w:rsidRPr="2E9C8D5A" w:rsidR="2E9C8D5A">
        <w:rPr>
          <w:rFonts w:ascii="Verdana" w:hAnsi="Verdana" w:eastAsia="Verdana" w:cs="Verdana"/>
          <w:sz w:val="18"/>
          <w:szCs w:val="18"/>
        </w:rPr>
        <w:t xml:space="preserve"> tüüpe. </w:t>
      </w:r>
    </w:p>
    <w:p w:rsidR="2E9C8D5A" w:rsidP="2E9C8D5A" w:rsidRDefault="2E9C8D5A" w14:paraId="74DCB57B" w14:textId="0A98635A">
      <w:pPr>
        <w:pStyle w:val="Normaallaad"/>
        <w:shd w:val="clear" w:color="auto" w:fill="FFFFFF" w:themeFill="background1"/>
        <w:ind w:right="240"/>
        <w:jc w:val="both"/>
      </w:pPr>
      <w:r w:rsidRPr="2E9C8D5A" w:rsidR="2E9C8D5A">
        <w:rPr>
          <w:rFonts w:ascii="Verdana" w:hAnsi="Verdana" w:eastAsia="Verdana" w:cs="Verdana"/>
          <w:sz w:val="18"/>
          <w:szCs w:val="18"/>
        </w:rPr>
        <w:t xml:space="preserve">Kokkuvõtteks on BCT palju puuduseid. Soovitatud kasutada esmatasandil: MIS, MMSE, fototest. Kui negatiivsed tulemused ja kahtlus püsib, võib teha veel kellatesti, verbaalse </w:t>
      </w:r>
      <w:proofErr w:type="spellStart"/>
      <w:r w:rsidRPr="2E9C8D5A" w:rsidR="2E9C8D5A">
        <w:rPr>
          <w:rFonts w:ascii="Verdana" w:hAnsi="Verdana" w:eastAsia="Verdana" w:cs="Verdana"/>
          <w:sz w:val="18"/>
          <w:szCs w:val="18"/>
        </w:rPr>
        <w:t>voolavuse</w:t>
      </w:r>
      <w:proofErr w:type="spellEnd"/>
      <w:r w:rsidRPr="2E9C8D5A" w:rsidR="2E9C8D5A">
        <w:rPr>
          <w:rFonts w:ascii="Verdana" w:hAnsi="Verdana" w:eastAsia="Verdana" w:cs="Verdana"/>
          <w:sz w:val="18"/>
          <w:szCs w:val="18"/>
        </w:rPr>
        <w:t xml:space="preserve"> testi. Spetsialistil tuleks teha </w:t>
      </w:r>
      <w:proofErr w:type="spellStart"/>
      <w:r w:rsidRPr="2E9C8D5A" w:rsidR="2E9C8D5A">
        <w:rPr>
          <w:rFonts w:ascii="Verdana" w:hAnsi="Verdana" w:eastAsia="Verdana" w:cs="Verdana"/>
          <w:sz w:val="18"/>
          <w:szCs w:val="18"/>
        </w:rPr>
        <w:t>MoCA</w:t>
      </w:r>
      <w:proofErr w:type="spellEnd"/>
      <w:r w:rsidRPr="2E9C8D5A" w:rsidR="2E9C8D5A">
        <w:rPr>
          <w:rFonts w:ascii="Verdana" w:hAnsi="Verdana" w:eastAsia="Verdana" w:cs="Verdana"/>
          <w:sz w:val="18"/>
          <w:szCs w:val="18"/>
        </w:rPr>
        <w:t xml:space="preserve">, MMSE, RUDAS või ACE, vajadusel kombineerides teiste testidega ( fototest, MIS, eurotest, jne). Testi valik sõltub patsiendist, arsti kogemusest, ajast. </w:t>
      </w:r>
    </w:p>
    <w:p w:rsidR="1D49354F" w:rsidP="1D49354F" w:rsidRDefault="1D49354F" w14:paraId="5F906B4C" w14:textId="0D8A0B95">
      <w:pPr>
        <w:pStyle w:val="Normaallaad"/>
        <w:shd w:val="clear" w:color="auto" w:fill="FFFFFF" w:themeFill="background1"/>
        <w:ind w:right="240"/>
        <w:jc w:val="both"/>
      </w:pPr>
      <w:r w:rsidRPr="1D49354F" w:rsidR="1D49354F">
        <w:rPr>
          <w:rFonts w:ascii="Verdana" w:hAnsi="Verdana" w:eastAsia="Verdana" w:cs="Verdana"/>
          <w:b w:val="1"/>
          <w:bCs w:val="1"/>
          <w:sz w:val="18"/>
          <w:szCs w:val="18"/>
          <w:u w:val="single"/>
        </w:rPr>
        <w:t xml:space="preserve">3.Cordell et </w:t>
      </w:r>
      <w:proofErr w:type="spellStart"/>
      <w:r w:rsidRPr="1D49354F" w:rsidR="1D49354F">
        <w:rPr>
          <w:rFonts w:ascii="Verdana" w:hAnsi="Verdana" w:eastAsia="Verdana" w:cs="Verdana"/>
          <w:b w:val="1"/>
          <w:bCs w:val="1"/>
          <w:sz w:val="18"/>
          <w:szCs w:val="18"/>
          <w:u w:val="single"/>
        </w:rPr>
        <w:t>al</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Alzheimer’s</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Association</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recommendations</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for</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operationalizing</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the</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detection</w:t>
      </w:r>
      <w:proofErr w:type="spellEnd"/>
      <w:r w:rsidRPr="1D49354F" w:rsidR="1D49354F">
        <w:rPr>
          <w:rFonts w:ascii="Verdana" w:hAnsi="Verdana" w:eastAsia="Verdana" w:cs="Verdana"/>
          <w:b w:val="1"/>
          <w:bCs w:val="1"/>
          <w:sz w:val="18"/>
          <w:szCs w:val="18"/>
          <w:u w:val="single"/>
        </w:rPr>
        <w:t xml:space="preserve"> of </w:t>
      </w:r>
      <w:proofErr w:type="spellStart"/>
      <w:r w:rsidRPr="1D49354F" w:rsidR="1D49354F">
        <w:rPr>
          <w:rFonts w:ascii="Verdana" w:hAnsi="Verdana" w:eastAsia="Verdana" w:cs="Verdana"/>
          <w:b w:val="1"/>
          <w:bCs w:val="1"/>
          <w:sz w:val="18"/>
          <w:szCs w:val="18"/>
          <w:u w:val="single"/>
        </w:rPr>
        <w:t>cognitive</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impairment</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during</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the</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Medicare</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Annual</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Wellness</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Visit</w:t>
      </w:r>
      <w:proofErr w:type="spellEnd"/>
      <w:r w:rsidRPr="1D49354F" w:rsidR="1D49354F">
        <w:rPr>
          <w:rFonts w:ascii="Verdana" w:hAnsi="Verdana" w:eastAsia="Verdana" w:cs="Verdana"/>
          <w:b w:val="1"/>
          <w:bCs w:val="1"/>
          <w:sz w:val="18"/>
          <w:szCs w:val="18"/>
          <w:u w:val="single"/>
        </w:rPr>
        <w:t xml:space="preserve"> in a </w:t>
      </w:r>
      <w:proofErr w:type="spellStart"/>
      <w:r w:rsidRPr="1D49354F" w:rsidR="1D49354F">
        <w:rPr>
          <w:rFonts w:ascii="Verdana" w:hAnsi="Verdana" w:eastAsia="Verdana" w:cs="Verdana"/>
          <w:b w:val="1"/>
          <w:bCs w:val="1"/>
          <w:sz w:val="18"/>
          <w:szCs w:val="18"/>
          <w:u w:val="single"/>
        </w:rPr>
        <w:t>primary</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care</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setting</w:t>
      </w:r>
      <w:proofErr w:type="spellEnd"/>
      <w:r w:rsidRPr="1D49354F" w:rsidR="1D49354F">
        <w:rPr>
          <w:rFonts w:ascii="Verdana" w:hAnsi="Verdana" w:eastAsia="Verdana" w:cs="Verdana"/>
          <w:b w:val="1"/>
          <w:bCs w:val="1"/>
          <w:sz w:val="18"/>
          <w:szCs w:val="18"/>
          <w:u w:val="single"/>
        </w:rPr>
        <w:t xml:space="preserve">. </w:t>
      </w:r>
      <w:proofErr w:type="spellStart"/>
      <w:r w:rsidRPr="1D49354F" w:rsidR="1D49354F">
        <w:rPr>
          <w:rFonts w:ascii="Verdana" w:hAnsi="Verdana" w:eastAsia="Verdana" w:cs="Verdana"/>
          <w:b w:val="1"/>
          <w:bCs w:val="1"/>
          <w:sz w:val="18"/>
          <w:szCs w:val="18"/>
          <w:u w:val="single"/>
        </w:rPr>
        <w:t>Alzheimer’s</w:t>
      </w:r>
      <w:proofErr w:type="spellEnd"/>
      <w:r w:rsidRPr="1D49354F" w:rsidR="1D49354F">
        <w:rPr>
          <w:rFonts w:ascii="Verdana" w:hAnsi="Verdana" w:eastAsia="Verdana" w:cs="Verdana"/>
          <w:b w:val="1"/>
          <w:bCs w:val="1"/>
          <w:sz w:val="18"/>
          <w:szCs w:val="18"/>
          <w:u w:val="single"/>
        </w:rPr>
        <w:t xml:space="preserve"> &amp; </w:t>
      </w:r>
      <w:proofErr w:type="spellStart"/>
      <w:r w:rsidRPr="1D49354F" w:rsidR="1D49354F">
        <w:rPr>
          <w:rFonts w:ascii="Verdana" w:hAnsi="Verdana" w:eastAsia="Verdana" w:cs="Verdana"/>
          <w:b w:val="1"/>
          <w:bCs w:val="1"/>
          <w:sz w:val="18"/>
          <w:szCs w:val="18"/>
          <w:u w:val="single"/>
        </w:rPr>
        <w:t>Dementia</w:t>
      </w:r>
      <w:proofErr w:type="spellEnd"/>
      <w:r w:rsidRPr="1D49354F" w:rsidR="1D49354F">
        <w:rPr>
          <w:rFonts w:ascii="Verdana" w:hAnsi="Verdana" w:eastAsia="Verdana" w:cs="Verdana"/>
          <w:b w:val="1"/>
          <w:bCs w:val="1"/>
          <w:sz w:val="18"/>
          <w:szCs w:val="18"/>
          <w:u w:val="single"/>
        </w:rPr>
        <w:t xml:space="preserve"> 9 (2013) 141–150.</w:t>
      </w:r>
    </w:p>
    <w:p w:rsidR="1D49354F" w:rsidP="1D49354F" w:rsidRDefault="1D49354F" w14:paraId="33EC6E0D" w14:textId="1165A6E7">
      <w:pPr>
        <w:pStyle w:val="Normaallaad"/>
        <w:shd w:val="clear" w:color="auto" w:fill="FFFFFF" w:themeFill="background1"/>
        <w:ind w:right="240"/>
        <w:jc w:val="both"/>
      </w:pPr>
      <w:r w:rsidRPr="7ABC7D88" w:rsidR="7ABC7D88">
        <w:rPr>
          <w:rFonts w:ascii="Verdana" w:hAnsi="Verdana" w:eastAsia="Verdana" w:cs="Verdana"/>
          <w:sz w:val="18"/>
          <w:szCs w:val="18"/>
        </w:rPr>
        <w:t xml:space="preserve">AMSTAR ei ole kohaldatav. Tegemist </w:t>
      </w:r>
      <w:proofErr w:type="spellStart"/>
      <w:r w:rsidRPr="7ABC7D88" w:rsidR="7ABC7D88">
        <w:rPr>
          <w:rFonts w:ascii="Verdana" w:hAnsi="Verdana" w:eastAsia="Verdana" w:cs="Verdana"/>
          <w:sz w:val="18"/>
          <w:szCs w:val="18"/>
        </w:rPr>
        <w:t>Alzheimeri</w:t>
      </w:r>
      <w:proofErr w:type="spellEnd"/>
      <w:r w:rsidRPr="7ABC7D88" w:rsidR="7ABC7D88">
        <w:rPr>
          <w:rFonts w:ascii="Verdana" w:hAnsi="Verdana" w:eastAsia="Verdana" w:cs="Verdana"/>
          <w:sz w:val="18"/>
          <w:szCs w:val="18"/>
        </w:rPr>
        <w:t xml:space="preserve"> assotsiatsiooni soovitustega. </w:t>
      </w:r>
    </w:p>
    <w:p w:rsidR="7ABC7D88" w:rsidP="7ABC7D88" w:rsidRDefault="7ABC7D88" w14:paraId="6BB2F4E9" w14:textId="66722ABD">
      <w:pPr>
        <w:pStyle w:val="Normaallaad"/>
        <w:shd w:val="clear" w:color="auto" w:fill="FFFFFF" w:themeFill="background1"/>
        <w:ind w:right="240"/>
        <w:jc w:val="both"/>
      </w:pPr>
      <w:proofErr w:type="spellStart"/>
      <w:r w:rsidRPr="7ABC7D88" w:rsidR="7ABC7D88">
        <w:rPr>
          <w:rFonts w:ascii="Verdana" w:hAnsi="Verdana" w:eastAsia="Verdana" w:cs="Verdana"/>
          <w:sz w:val="18"/>
          <w:szCs w:val="18"/>
        </w:rPr>
        <w:t>Kognitsioonilanguse</w:t>
      </w:r>
      <w:proofErr w:type="spellEnd"/>
      <w:r w:rsidRPr="7ABC7D88" w:rsidR="7ABC7D88">
        <w:rPr>
          <w:rFonts w:ascii="Verdana" w:hAnsi="Verdana" w:eastAsia="Verdana" w:cs="Verdana"/>
          <w:sz w:val="18"/>
          <w:szCs w:val="18"/>
        </w:rPr>
        <w:t xml:space="preserve"> tuvastamine on astmeline protsess ja ei tohiks toimuda vaid mitteametiliku vaatluse käigus (ilma spetsiifilise kognitiivse hindamiseta). Tuleks küsida otseselt muutuste kohta mälus, keeles ja igapäevatoimetustega hakkama saamises. Kuigi ei ole "kuld standardiks" saanud tööriista, esmane </w:t>
      </w:r>
      <w:r w:rsidRPr="7ABC7D88" w:rsidR="7ABC7D88">
        <w:rPr>
          <w:rFonts w:ascii="Verdana" w:hAnsi="Verdana" w:eastAsia="Verdana" w:cs="Verdana"/>
          <w:sz w:val="18"/>
          <w:szCs w:val="18"/>
        </w:rPr>
        <w:t>skriiningtest</w:t>
      </w:r>
      <w:r w:rsidRPr="7ABC7D88" w:rsidR="7ABC7D88">
        <w:rPr>
          <w:rFonts w:ascii="Verdana" w:hAnsi="Verdana" w:eastAsia="Verdana" w:cs="Verdana"/>
          <w:sz w:val="18"/>
          <w:szCs w:val="18"/>
        </w:rPr>
        <w:t xml:space="preserve"> peaks paika panema baas </w:t>
      </w:r>
      <w:proofErr w:type="spellStart"/>
      <w:r w:rsidRPr="7ABC7D88" w:rsidR="7ABC7D88">
        <w:rPr>
          <w:rFonts w:ascii="Verdana" w:hAnsi="Verdana" w:eastAsia="Verdana" w:cs="Verdana"/>
          <w:sz w:val="18"/>
          <w:szCs w:val="18"/>
        </w:rPr>
        <w:t>kognitsiooni</w:t>
      </w:r>
      <w:proofErr w:type="spellEnd"/>
      <w:r w:rsidRPr="7ABC7D88" w:rsidR="7ABC7D88">
        <w:rPr>
          <w:rFonts w:ascii="Verdana" w:hAnsi="Verdana" w:eastAsia="Verdana" w:cs="Verdana"/>
          <w:sz w:val="18"/>
          <w:szCs w:val="18"/>
        </w:rPr>
        <w:t xml:space="preserve"> taseme ja viitama edasiste uuringute vajadusele. Perekonnaliikmed, hooldajad on oluliseks info allikaks, eriti mis puutub </w:t>
      </w:r>
      <w:proofErr w:type="spellStart"/>
      <w:r w:rsidRPr="7ABC7D88" w:rsidR="7ABC7D88">
        <w:rPr>
          <w:rFonts w:ascii="Verdana" w:hAnsi="Verdana" w:eastAsia="Verdana" w:cs="Verdana"/>
          <w:sz w:val="18"/>
          <w:szCs w:val="18"/>
        </w:rPr>
        <w:t>kognitsiooni</w:t>
      </w:r>
      <w:proofErr w:type="spellEnd"/>
      <w:r w:rsidRPr="7ABC7D88" w:rsidR="7ABC7D88">
        <w:rPr>
          <w:rFonts w:ascii="Verdana" w:hAnsi="Verdana" w:eastAsia="Verdana" w:cs="Verdana"/>
          <w:sz w:val="18"/>
          <w:szCs w:val="18"/>
        </w:rPr>
        <w:t xml:space="preserve"> muutuseid</w:t>
      </w:r>
      <w:r w:rsidRPr="7ABC7D88" w:rsidR="7ABC7D88">
        <w:rPr>
          <w:rFonts w:ascii="Verdana" w:hAnsi="Verdana" w:eastAsia="Verdana" w:cs="Verdana"/>
          <w:sz w:val="18"/>
          <w:szCs w:val="18"/>
        </w:rPr>
        <w:t xml:space="preserve"> ajas. </w:t>
      </w:r>
      <w:proofErr w:type="spellStart"/>
      <w:r w:rsidRPr="7ABC7D88" w:rsidR="7ABC7D88">
        <w:rPr>
          <w:rFonts w:ascii="Verdana" w:hAnsi="Verdana" w:eastAsia="Verdana" w:cs="Verdana"/>
          <w:sz w:val="18"/>
          <w:szCs w:val="18"/>
        </w:rPr>
        <w:t>Kognitsiooni</w:t>
      </w:r>
      <w:proofErr w:type="spellEnd"/>
      <w:r w:rsidRPr="7ABC7D88" w:rsidR="7ABC7D88">
        <w:rPr>
          <w:rFonts w:ascii="Verdana" w:hAnsi="Verdana" w:eastAsia="Verdana" w:cs="Verdana"/>
          <w:sz w:val="18"/>
          <w:szCs w:val="18"/>
        </w:rPr>
        <w:t xml:space="preserve"> hindamise tööriistad peaksid olema lühikesed (5 min), valideeritud, kergesti teostaavad (ka teistel meedikutel peale arsti). Kui peaks tekkima kahtlus, tuleks suunata korduvale esmatasandi meediku vastuvõtule (jälgimine ajas) või spetsialistile. </w:t>
      </w:r>
    </w:p>
    <w:p w:rsidR="7ABC7D88" w:rsidP="7ABC7D88" w:rsidRDefault="7ABC7D88" w14:paraId="5C422EE4" w14:textId="15AE2A07">
      <w:pPr>
        <w:jc w:val="both"/>
      </w:pPr>
      <w:r w:rsidRPr="7ABC7D88" w:rsidR="7ABC7D88">
        <w:rPr>
          <w:rFonts w:ascii="Verdana" w:hAnsi="Verdana" w:eastAsia="Verdana" w:cs="Verdana"/>
          <w:sz w:val="18"/>
          <w:szCs w:val="18"/>
        </w:rPr>
        <w:t xml:space="preserve">Leiti, et esmatasandil on sobivaimateks skriiningtestideks: </w:t>
      </w:r>
      <w:proofErr w:type="spellStart"/>
      <w:r w:rsidRPr="7ABC7D88" w:rsidR="7ABC7D88">
        <w:rPr>
          <w:rFonts w:ascii="Verdana" w:hAnsi="Verdana" w:eastAsia="Verdana" w:cs="Verdana"/>
          <w:sz w:val="18"/>
          <w:szCs w:val="18"/>
        </w:rPr>
        <w:t>Memory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Impairment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w:t>
      </w:r>
      <w:proofErr w:type="spellEnd"/>
      <w:r w:rsidRPr="7ABC7D88" w:rsidR="7ABC7D88">
        <w:rPr>
          <w:rFonts w:ascii="Verdana" w:hAnsi="Verdana" w:eastAsia="Verdana" w:cs="Verdana"/>
          <w:sz w:val="18"/>
          <w:szCs w:val="18"/>
        </w:rPr>
        <w:t xml:space="preserve"> (MIS), </w:t>
      </w:r>
      <w:r w:rsidRPr="7ABC7D88" w:rsidR="7ABC7D88">
        <w:rPr>
          <w:rFonts w:ascii="Verdana" w:hAnsi="Verdana" w:eastAsia="Verdana" w:cs="Verdana"/>
          <w:sz w:val="18"/>
          <w:szCs w:val="18"/>
        </w:rPr>
        <w:t xml:space="preserve"> General </w:t>
      </w:r>
      <w:proofErr w:type="spellStart"/>
      <w:r w:rsidRPr="7ABC7D88" w:rsidR="7ABC7D88">
        <w:rPr>
          <w:rFonts w:ascii="Verdana" w:hAnsi="Verdana" w:eastAsia="Verdana" w:cs="Verdana"/>
          <w:sz w:val="18"/>
          <w:szCs w:val="18"/>
        </w:rPr>
        <w:t>Practitioner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Assessment</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Cognition</w:t>
      </w:r>
      <w:proofErr w:type="spellEnd"/>
      <w:r w:rsidRPr="7ABC7D88" w:rsidR="7ABC7D88">
        <w:rPr>
          <w:rFonts w:ascii="Verdana" w:hAnsi="Verdana" w:eastAsia="Verdana" w:cs="Verdana"/>
          <w:sz w:val="18"/>
          <w:szCs w:val="18"/>
        </w:rPr>
        <w:t xml:space="preserve"> (GPCOG), </w:t>
      </w:r>
      <w:r w:rsidRPr="7ABC7D88" w:rsidR="7ABC7D88">
        <w:rPr>
          <w:rFonts w:ascii="Verdana" w:hAnsi="Verdana" w:eastAsia="Verdana" w:cs="Verdana"/>
          <w:sz w:val="18"/>
          <w:szCs w:val="18"/>
        </w:rPr>
        <w:t>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Sobivad ka MMSE ja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w:t>
      </w:r>
    </w:p>
    <w:p w:rsidR="7ABC7D88" w:rsidP="7ABC7D88" w:rsidRDefault="7ABC7D88" w14:noSpellErr="1" w14:paraId="3CA3E7F7" w14:textId="612A87BD">
      <w:pPr>
        <w:pStyle w:val="Normaallaad"/>
        <w:jc w:val="both"/>
      </w:pPr>
      <w:r w:rsidRPr="7ABC7D88" w:rsidR="7ABC7D88">
        <w:rPr>
          <w:rFonts w:ascii="Verdana" w:hAnsi="Verdana" w:eastAsia="Verdana" w:cs="Verdana"/>
          <w:sz w:val="18"/>
          <w:szCs w:val="18"/>
        </w:rPr>
        <w:t>Toodud välja paljude skriiningtestide negatiivsed ja positiivsed küljed.</w:t>
      </w:r>
    </w:p>
    <w:p w:rsidR="605509CC" w:rsidP="605509CC" w:rsidRDefault="605509CC" w14:paraId="5D2934BC" w14:textId="7766BB2C">
      <w:pPr>
        <w:pStyle w:val="Normaallaad"/>
        <w:shd w:val="clear" w:color="auto" w:fill="FFFFFF" w:themeFill="background1"/>
        <w:ind w:right="240"/>
        <w:jc w:val="both"/>
      </w:pPr>
      <w:r w:rsidRPr="7ABC7D88" w:rsidR="7ABC7D88">
        <w:rPr>
          <w:rFonts w:ascii="Verdana" w:hAnsi="Verdana" w:eastAsia="Verdana" w:cs="Verdana"/>
          <w:b w:val="1"/>
          <w:bCs w:val="1"/>
          <w:sz w:val="18"/>
          <w:szCs w:val="18"/>
          <w:u w:val="single"/>
        </w:rPr>
        <w:t>4.</w:t>
      </w:r>
      <w:r w:rsidRPr="7ABC7D88" w:rsidR="7ABC7D88">
        <w:rPr>
          <w:rFonts w:ascii="Verdana" w:hAnsi="Verdana" w:eastAsia="Verdana" w:cs="Verdana"/>
          <w:b w:val="1"/>
          <w:bCs w:val="1"/>
          <w:sz w:val="18"/>
          <w:szCs w:val="18"/>
          <w:u w:val="single"/>
        </w:rPr>
        <w:t xml:space="preserve">Creavin ST, et </w:t>
      </w:r>
      <w:proofErr w:type="spellStart"/>
      <w:r w:rsidRPr="7ABC7D88" w:rsidR="7ABC7D88">
        <w:rPr>
          <w:rFonts w:ascii="Verdana" w:hAnsi="Verdana" w:eastAsia="Verdana" w:cs="Verdana"/>
          <w:b w:val="1"/>
          <w:bCs w:val="1"/>
          <w:sz w:val="18"/>
          <w:szCs w:val="18"/>
          <w:u w:val="single"/>
        </w:rPr>
        <w:t>al</w:t>
      </w:r>
      <w:proofErr w:type="spellEnd"/>
      <w:r w:rsidRPr="7ABC7D88" w:rsidR="7ABC7D88">
        <w:rPr>
          <w:rFonts w:ascii="Verdana" w:hAnsi="Verdana" w:eastAsia="Verdana" w:cs="Verdana"/>
          <w:b w:val="1"/>
          <w:bCs w:val="1"/>
          <w:sz w:val="18"/>
          <w:szCs w:val="18"/>
          <w:u w:val="single"/>
        </w:rPr>
        <w:t>.</w:t>
      </w:r>
      <w:r w:rsidRPr="7ABC7D88" w:rsidR="7ABC7D88">
        <w:rPr>
          <w:rFonts w:ascii="Verdana" w:hAnsi="Verdana" w:eastAsia="Verdana" w:cs="Verdana"/>
          <w:b w:val="1"/>
          <w:bCs w:val="1"/>
          <w:sz w:val="18"/>
          <w:szCs w:val="18"/>
          <w:u w:val="single"/>
        </w:rPr>
        <w:t xml:space="preserve"> </w:t>
      </w:r>
      <w:r w:rsidRPr="7ABC7D88" w:rsidR="7ABC7D88">
        <w:rPr>
          <w:rFonts w:ascii="Verdana" w:hAnsi="Verdana" w:eastAsia="Verdana" w:cs="Verdana"/>
          <w:b w:val="1"/>
          <w:bCs w:val="1"/>
          <w:sz w:val="18"/>
          <w:szCs w:val="18"/>
          <w:u w:val="single"/>
        </w:rPr>
        <w:t>Mini-</w:t>
      </w:r>
      <w:proofErr w:type="spellStart"/>
      <w:r w:rsidRPr="7ABC7D88" w:rsidR="7ABC7D88">
        <w:rPr>
          <w:rFonts w:ascii="Verdana" w:hAnsi="Verdana" w:eastAsia="Verdana" w:cs="Verdana"/>
          <w:b w:val="1"/>
          <w:bCs w:val="1"/>
          <w:sz w:val="18"/>
          <w:szCs w:val="18"/>
          <w:u w:val="single"/>
        </w:rPr>
        <w:t>Mental</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State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Examination</w:t>
      </w:r>
      <w:proofErr w:type="spellEnd"/>
      <w:r w:rsidRPr="7ABC7D88" w:rsidR="7ABC7D88">
        <w:rPr>
          <w:rFonts w:ascii="Verdana" w:hAnsi="Verdana" w:eastAsia="Verdana" w:cs="Verdana"/>
          <w:b w:val="1"/>
          <w:bCs w:val="1"/>
          <w:sz w:val="18"/>
          <w:szCs w:val="18"/>
          <w:u w:val="single"/>
        </w:rPr>
        <w:t xml:space="preserve"> (MMSE)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detection</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dementia</w:t>
      </w:r>
      <w:proofErr w:type="spellEnd"/>
      <w:r w:rsidRPr="7ABC7D88" w:rsidR="7ABC7D88">
        <w:rPr>
          <w:rFonts w:ascii="Verdana" w:hAnsi="Verdana" w:eastAsia="Verdana" w:cs="Verdana"/>
          <w:b w:val="1"/>
          <w:bCs w:val="1"/>
          <w:sz w:val="18"/>
          <w:szCs w:val="18"/>
          <w:u w:val="single"/>
        </w:rPr>
        <w:t xml:space="preserve"> in </w:t>
      </w:r>
      <w:proofErr w:type="spellStart"/>
      <w:r w:rsidRPr="7ABC7D88" w:rsidR="7ABC7D88">
        <w:rPr>
          <w:rFonts w:ascii="Verdana" w:hAnsi="Verdana" w:eastAsia="Verdana" w:cs="Verdana"/>
          <w:b w:val="1"/>
          <w:bCs w:val="1"/>
          <w:sz w:val="18"/>
          <w:szCs w:val="18"/>
          <w:u w:val="single"/>
        </w:rPr>
        <w:t>clinically</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unevaluated</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people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aged</w:t>
      </w:r>
      <w:proofErr w:type="spellEnd"/>
      <w:r w:rsidRPr="7ABC7D88" w:rsidR="7ABC7D88">
        <w:rPr>
          <w:rFonts w:ascii="Verdana" w:hAnsi="Verdana" w:eastAsia="Verdana" w:cs="Verdana"/>
          <w:b w:val="1"/>
          <w:bCs w:val="1"/>
          <w:sz w:val="18"/>
          <w:szCs w:val="18"/>
          <w:u w:val="single"/>
        </w:rPr>
        <w:t xml:space="preserve"> 65 and </w:t>
      </w:r>
      <w:proofErr w:type="spellStart"/>
      <w:r w:rsidRPr="7ABC7D88" w:rsidR="7ABC7D88">
        <w:rPr>
          <w:rFonts w:ascii="Verdana" w:hAnsi="Verdana" w:eastAsia="Verdana" w:cs="Verdana"/>
          <w:b w:val="1"/>
          <w:bCs w:val="1"/>
          <w:sz w:val="18"/>
          <w:szCs w:val="18"/>
          <w:u w:val="single"/>
        </w:rPr>
        <w:t>over</w:t>
      </w:r>
      <w:proofErr w:type="spellEnd"/>
      <w:r w:rsidRPr="7ABC7D88" w:rsidR="7ABC7D88">
        <w:rPr>
          <w:rFonts w:ascii="Verdana" w:hAnsi="Verdana" w:eastAsia="Verdana" w:cs="Verdana"/>
          <w:b w:val="1"/>
          <w:bCs w:val="1"/>
          <w:sz w:val="18"/>
          <w:szCs w:val="18"/>
          <w:u w:val="single"/>
        </w:rPr>
        <w:t xml:space="preserve"> in </w:t>
      </w:r>
      <w:proofErr w:type="spellStart"/>
      <w:r w:rsidRPr="7ABC7D88" w:rsidR="7ABC7D88">
        <w:rPr>
          <w:rFonts w:ascii="Verdana" w:hAnsi="Verdana" w:eastAsia="Verdana" w:cs="Verdana"/>
          <w:b w:val="1"/>
          <w:bCs w:val="1"/>
          <w:sz w:val="18"/>
          <w:szCs w:val="18"/>
          <w:u w:val="single"/>
        </w:rPr>
        <w:t>community</w:t>
      </w:r>
      <w:proofErr w:type="spellEnd"/>
      <w:r w:rsidRPr="7ABC7D88" w:rsidR="7ABC7D88">
        <w:rPr>
          <w:rFonts w:ascii="Verdana" w:hAnsi="Verdana" w:eastAsia="Verdana" w:cs="Verdana"/>
          <w:b w:val="1"/>
          <w:bCs w:val="1"/>
          <w:sz w:val="18"/>
          <w:szCs w:val="18"/>
          <w:u w:val="single"/>
        </w:rPr>
        <w:t xml:space="preserve"> and </w:t>
      </w:r>
      <w:proofErr w:type="spellStart"/>
      <w:r w:rsidRPr="7ABC7D88" w:rsidR="7ABC7D88">
        <w:rPr>
          <w:rFonts w:ascii="Verdana" w:hAnsi="Verdana" w:eastAsia="Verdana" w:cs="Verdana"/>
          <w:b w:val="1"/>
          <w:bCs w:val="1"/>
          <w:sz w:val="18"/>
          <w:szCs w:val="18"/>
          <w:u w:val="single"/>
        </w:rPr>
        <w:t>primary</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care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populations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Cochrane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Database</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Systematic</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Reviews</w:t>
      </w:r>
      <w:proofErr w:type="spellEnd"/>
      <w:r w:rsidRPr="7ABC7D88" w:rsidR="7ABC7D88">
        <w:rPr>
          <w:rFonts w:ascii="Verdana" w:hAnsi="Verdana" w:eastAsia="Verdana" w:cs="Verdana"/>
          <w:b w:val="1"/>
          <w:bCs w:val="1"/>
          <w:sz w:val="18"/>
          <w:szCs w:val="18"/>
          <w:u w:val="single"/>
        </w:rPr>
        <w:t xml:space="preserve"> 201</w:t>
      </w:r>
      <w:r w:rsidRPr="7ABC7D88" w:rsidR="7ABC7D88">
        <w:rPr>
          <w:rFonts w:ascii="Verdana" w:hAnsi="Verdana" w:eastAsia="Verdana" w:cs="Verdana"/>
          <w:b w:val="1"/>
          <w:bCs w:val="1"/>
          <w:sz w:val="18"/>
          <w:szCs w:val="18"/>
          <w:u w:val="single"/>
        </w:rPr>
        <w:t xml:space="preserve">6, </w:t>
      </w:r>
      <w:proofErr w:type="spellStart"/>
      <w:r w:rsidRPr="7ABC7D88" w:rsidR="7ABC7D88">
        <w:rPr>
          <w:rFonts w:ascii="Verdana" w:hAnsi="Verdana" w:eastAsia="Verdana" w:cs="Verdana"/>
          <w:b w:val="1"/>
          <w:bCs w:val="1"/>
          <w:sz w:val="18"/>
          <w:szCs w:val="18"/>
          <w:u w:val="single"/>
        </w:rPr>
        <w:t>Issue</w:t>
      </w:r>
      <w:proofErr w:type="spellEnd"/>
      <w:r w:rsidRPr="7ABC7D88" w:rsidR="7ABC7D88">
        <w:rPr>
          <w:rFonts w:ascii="Verdana" w:hAnsi="Verdana" w:eastAsia="Verdana" w:cs="Verdana"/>
          <w:b w:val="1"/>
          <w:bCs w:val="1"/>
          <w:sz w:val="18"/>
          <w:szCs w:val="18"/>
          <w:u w:val="single"/>
        </w:rPr>
        <w:t xml:space="preserve"> 1. Art. No.: CD011145. DOI: 10.1002/14651858.CD011145.pub2.</w:t>
      </w:r>
      <w:r w:rsidRPr="7ABC7D88" w:rsidR="7ABC7D88">
        <w:rPr>
          <w:rFonts w:ascii="Verdana" w:hAnsi="Verdana" w:eastAsia="Verdana" w:cs="Verdana"/>
          <w:b w:val="1"/>
          <w:bCs w:val="1"/>
          <w:sz w:val="18"/>
          <w:szCs w:val="18"/>
        </w:rPr>
        <w:t xml:space="preserve"> </w:t>
      </w:r>
    </w:p>
    <w:p w:rsidR="7ABC7D88" w:rsidP="7ABC7D88" w:rsidRDefault="7ABC7D88" w14:noSpellErr="1" w14:paraId="6D81F006" w14:textId="380622F8">
      <w:pPr>
        <w:pStyle w:val="Normaallaad"/>
        <w:shd w:val="clear" w:color="auto" w:fill="FFFFFF" w:themeFill="background1"/>
        <w:ind w:right="240"/>
        <w:jc w:val="both"/>
      </w:pPr>
      <w:r w:rsidRPr="7ABC7D88" w:rsidR="7ABC7D88">
        <w:rPr>
          <w:rFonts w:ascii="Verdana" w:hAnsi="Verdana" w:eastAsia="Verdana" w:cs="Verdana"/>
          <w:b w:val="0"/>
          <w:bCs w:val="0"/>
          <w:sz w:val="18"/>
          <w:szCs w:val="18"/>
        </w:rPr>
        <w:t>AMSTAR: 11/11</w:t>
      </w:r>
    </w:p>
    <w:p w:rsidR="7ABC7D88" w:rsidP="7ABC7D88" w:rsidRDefault="7ABC7D88" w14:paraId="2082BA12" w14:textId="3D5D954E">
      <w:pPr>
        <w:pStyle w:val="Normaallaad"/>
        <w:shd w:val="clear" w:color="auto" w:fill="FFFFFF" w:themeFill="background1"/>
        <w:ind w:right="240"/>
        <w:jc w:val="both"/>
      </w:pPr>
      <w:r w:rsidRPr="7ABC7D88" w:rsidR="7ABC7D88">
        <w:rPr>
          <w:rFonts w:ascii="Verdana" w:hAnsi="Verdana" w:eastAsia="Verdana" w:cs="Verdana"/>
          <w:b w:val="0"/>
          <w:bCs w:val="0"/>
          <w:sz w:val="18"/>
          <w:szCs w:val="18"/>
        </w:rPr>
        <w:t xml:space="preserve">Eeskujulikult läbi viidud süstemaatiline ülevaade! </w:t>
      </w:r>
      <w:r w:rsidRPr="7ABC7D88" w:rsidR="7ABC7D88">
        <w:rPr>
          <w:rFonts w:ascii="Verdana" w:hAnsi="Verdana" w:eastAsia="Verdana" w:cs="Verdana"/>
          <w:b w:val="0"/>
          <w:bCs w:val="0"/>
          <w:sz w:val="18"/>
          <w:szCs w:val="18"/>
        </w:rPr>
        <w:t xml:space="preserve">Antud süstemaatilises ülevaates uuritakse, kas MMSE, mida tihti kasutatakse </w:t>
      </w:r>
      <w:r w:rsidRPr="7ABC7D88" w:rsidR="7ABC7D88">
        <w:rPr>
          <w:rFonts w:ascii="Verdana" w:hAnsi="Verdana" w:eastAsia="Verdana" w:cs="Verdana"/>
          <w:b w:val="0"/>
          <w:bCs w:val="0"/>
          <w:sz w:val="18"/>
          <w:szCs w:val="18"/>
        </w:rPr>
        <w:t>deme</w:t>
      </w:r>
      <w:r w:rsidRPr="7ABC7D88" w:rsidR="7ABC7D88">
        <w:rPr>
          <w:rFonts w:ascii="Verdana" w:hAnsi="Verdana" w:eastAsia="Verdana" w:cs="Verdana"/>
          <w:b w:val="0"/>
          <w:bCs w:val="0"/>
          <w:sz w:val="18"/>
          <w:szCs w:val="18"/>
        </w:rPr>
        <w:t>n</w:t>
      </w:r>
      <w:r w:rsidRPr="7ABC7D88" w:rsidR="7ABC7D88">
        <w:rPr>
          <w:rFonts w:ascii="Verdana" w:hAnsi="Verdana" w:eastAsia="Verdana" w:cs="Verdana"/>
          <w:b w:val="0"/>
          <w:bCs w:val="0"/>
          <w:sz w:val="18"/>
          <w:szCs w:val="18"/>
        </w:rPr>
        <w:t>t</w:t>
      </w:r>
      <w:r w:rsidRPr="7ABC7D88" w:rsidR="7ABC7D88">
        <w:rPr>
          <w:rFonts w:ascii="Verdana" w:hAnsi="Verdana" w:eastAsia="Verdana" w:cs="Verdana"/>
          <w:b w:val="0"/>
          <w:bCs w:val="0"/>
          <w:sz w:val="18"/>
          <w:szCs w:val="18"/>
        </w:rPr>
        <w:t>suse</w:t>
      </w:r>
      <w:r w:rsidRPr="7ABC7D88" w:rsidR="7ABC7D88">
        <w:rPr>
          <w:rFonts w:ascii="Verdana" w:hAnsi="Verdana" w:eastAsia="Verdana" w:cs="Verdana"/>
          <w:b w:val="0"/>
          <w:bCs w:val="0"/>
          <w:sz w:val="18"/>
          <w:szCs w:val="18"/>
        </w:rPr>
        <w:t xml:space="preserve"> diagnoosimisel on piisavalt täpne. MMSE on paberil-põhinev test, maksimum skooriga 30 (madalam skoor viitab raskemale </w:t>
      </w:r>
      <w:proofErr w:type="spellStart"/>
      <w:r w:rsidRPr="7ABC7D88" w:rsidR="7ABC7D88">
        <w:rPr>
          <w:rFonts w:ascii="Verdana" w:hAnsi="Verdana" w:eastAsia="Verdana" w:cs="Verdana"/>
          <w:b w:val="0"/>
          <w:bCs w:val="0"/>
          <w:sz w:val="18"/>
          <w:szCs w:val="18"/>
        </w:rPr>
        <w:t>kognitsioonihäirele</w:t>
      </w:r>
      <w:proofErr w:type="spellEnd"/>
      <w:r w:rsidRPr="7ABC7D88" w:rsidR="7ABC7D88">
        <w:rPr>
          <w:rFonts w:ascii="Verdana" w:hAnsi="Verdana" w:eastAsia="Verdana" w:cs="Verdana"/>
          <w:b w:val="0"/>
          <w:bCs w:val="0"/>
          <w:sz w:val="18"/>
          <w:szCs w:val="18"/>
        </w:rPr>
        <w:t xml:space="preserve">). </w:t>
      </w:r>
      <w:proofErr w:type="spellStart"/>
      <w:r w:rsidRPr="7ABC7D88" w:rsidR="7ABC7D88">
        <w:rPr>
          <w:rFonts w:ascii="Verdana" w:hAnsi="Verdana" w:eastAsia="Verdana" w:cs="Verdana"/>
          <w:b w:val="0"/>
          <w:bCs w:val="0"/>
          <w:sz w:val="18"/>
          <w:szCs w:val="18"/>
        </w:rPr>
        <w:t>Cut-off</w:t>
      </w:r>
      <w:proofErr w:type="spellEnd"/>
      <w:r w:rsidRPr="7ABC7D88" w:rsidR="7ABC7D88">
        <w:rPr>
          <w:rFonts w:ascii="Verdana" w:hAnsi="Verdana" w:eastAsia="Verdana" w:cs="Verdana"/>
          <w:b w:val="0"/>
          <w:bCs w:val="0"/>
          <w:sz w:val="18"/>
          <w:szCs w:val="18"/>
        </w:rPr>
        <w:t xml:space="preserve"> skoor </w:t>
      </w:r>
      <w:proofErr w:type="spellStart"/>
      <w:r w:rsidRPr="7ABC7D88" w:rsidR="7ABC7D88">
        <w:rPr>
          <w:rFonts w:ascii="Verdana" w:hAnsi="Verdana" w:eastAsia="Verdana" w:cs="Verdana"/>
          <w:b w:val="0"/>
          <w:bCs w:val="0"/>
          <w:sz w:val="18"/>
          <w:szCs w:val="18"/>
        </w:rPr>
        <w:t>eristamakse</w:t>
      </w:r>
      <w:proofErr w:type="spellEnd"/>
      <w:r w:rsidRPr="7ABC7D88" w:rsidR="7ABC7D88">
        <w:rPr>
          <w:rFonts w:ascii="Verdana" w:hAnsi="Verdana" w:eastAsia="Verdana" w:cs="Verdana"/>
          <w:b w:val="0"/>
          <w:bCs w:val="0"/>
          <w:sz w:val="18"/>
          <w:szCs w:val="18"/>
        </w:rPr>
        <w:t xml:space="preserve"> "normaalset" dementsusest on 24. Otsiti erinevatest andmebaasidest ja leiti üle 24000 viite. Vaadati üle 317 täistekstidega artiklit, millest kaasati 70. Statistilisse analüüsi kaasati 34 uuringut. Leiti, et </w:t>
      </w:r>
      <w:proofErr w:type="spellStart"/>
      <w:r w:rsidRPr="7ABC7D88" w:rsidR="7ABC7D88">
        <w:rPr>
          <w:rFonts w:ascii="Verdana" w:hAnsi="Verdana" w:eastAsia="Verdana" w:cs="Verdana"/>
          <w:b w:val="0"/>
          <w:bCs w:val="0"/>
          <w:sz w:val="18"/>
          <w:szCs w:val="18"/>
        </w:rPr>
        <w:t>cut-off</w:t>
      </w:r>
      <w:proofErr w:type="spellEnd"/>
      <w:r w:rsidRPr="7ABC7D88" w:rsidR="7ABC7D88">
        <w:rPr>
          <w:rFonts w:ascii="Verdana" w:hAnsi="Verdana" w:eastAsia="Verdana" w:cs="Verdana"/>
          <w:b w:val="0"/>
          <w:bCs w:val="0"/>
          <w:sz w:val="18"/>
          <w:szCs w:val="18"/>
        </w:rPr>
        <w:t xml:space="preserve"> skoor 25 omab tundlikkust 0,87 ja spetsiifilisust 0,</w:t>
      </w:r>
      <w:r w:rsidRPr="7ABC7D88" w:rsidR="7ABC7D88">
        <w:rPr>
          <w:rFonts w:ascii="Verdana" w:hAnsi="Verdana" w:eastAsia="Verdana" w:cs="Verdana"/>
          <w:b w:val="0"/>
          <w:bCs w:val="0"/>
          <w:sz w:val="18"/>
          <w:szCs w:val="18"/>
        </w:rPr>
        <w:t xml:space="preserve">82, </w:t>
      </w:r>
      <w:proofErr w:type="spellStart"/>
      <w:r w:rsidRPr="7ABC7D88" w:rsidR="7ABC7D88">
        <w:rPr>
          <w:rFonts w:ascii="Verdana" w:hAnsi="Verdana" w:eastAsia="Verdana" w:cs="Verdana"/>
          <w:b w:val="0"/>
          <w:bCs w:val="0"/>
          <w:sz w:val="18"/>
          <w:szCs w:val="18"/>
        </w:rPr>
        <w:t>cut-off</w:t>
      </w:r>
      <w:proofErr w:type="spellEnd"/>
      <w:r w:rsidRPr="7ABC7D88" w:rsidR="7ABC7D88">
        <w:rPr>
          <w:rFonts w:ascii="Verdana" w:hAnsi="Verdana" w:eastAsia="Verdana" w:cs="Verdana"/>
          <w:b w:val="0"/>
          <w:bCs w:val="0"/>
          <w:sz w:val="18"/>
          <w:szCs w:val="18"/>
        </w:rPr>
        <w:t xml:space="preserve"> skoorile 24 – sensitiivsus 0,85, spetsiifilisus 0,90. Kokkuvõtteks võib öelda, et 85% patsientidest diagnoositakse dementsus õigesti, 15% aga jääb diagnoosimata. 90% </w:t>
      </w:r>
      <w:r w:rsidRPr="7ABC7D88" w:rsidR="7ABC7D88">
        <w:rPr>
          <w:rFonts w:ascii="Verdana" w:hAnsi="Verdana" w:eastAsia="Verdana" w:cs="Verdana"/>
          <w:b w:val="0"/>
          <w:bCs w:val="0"/>
          <w:sz w:val="18"/>
          <w:szCs w:val="18"/>
        </w:rPr>
        <w:t>tervetest</w:t>
      </w:r>
      <w:r w:rsidRPr="7ABC7D88" w:rsidR="7ABC7D88">
        <w:rPr>
          <w:rFonts w:ascii="Verdana" w:hAnsi="Verdana" w:eastAsia="Verdana" w:cs="Verdana"/>
          <w:b w:val="0"/>
          <w:bCs w:val="0"/>
          <w:sz w:val="18"/>
          <w:szCs w:val="18"/>
        </w:rPr>
        <w:t xml:space="preserve">, keda testitakse ei ole dementsed, 10% on valepositiivsed. Seetõttu tuleb MMSE kasutada kliinilises kontekstis, individuaalselt (arvestades neide iseloomu, käitumist ja igapäevatoimetustega hakkamasaamist). </w:t>
      </w:r>
    </w:p>
    <w:p w:rsidR="7ABC7D88" w:rsidP="7ABC7D88" w:rsidRDefault="7ABC7D88" w14:paraId="098D87B0" w14:textId="666A3FB4">
      <w:pPr>
        <w:jc w:val="both"/>
      </w:pPr>
      <w:r w:rsidRPr="7ABC7D88" w:rsidR="7ABC7D88">
        <w:rPr>
          <w:rFonts w:ascii="Verdana" w:hAnsi="Verdana" w:eastAsia="Verdana" w:cs="Verdana"/>
          <w:b w:val="1"/>
          <w:bCs w:val="1"/>
          <w:sz w:val="18"/>
          <w:szCs w:val="18"/>
          <w:u w:val="single"/>
        </w:rPr>
        <w:t>5.</w:t>
      </w:r>
      <w:r w:rsidRPr="7ABC7D88" w:rsidR="7ABC7D88">
        <w:rPr>
          <w:rFonts w:ascii="Verdana" w:hAnsi="Verdana" w:eastAsia="Verdana" w:cs="Verdana"/>
          <w:b w:val="1"/>
          <w:bCs w:val="1"/>
          <w:sz w:val="18"/>
          <w:szCs w:val="18"/>
          <w:u w:val="single"/>
        </w:rPr>
        <w:t>Arevalo-</w:t>
      </w:r>
      <w:proofErr w:type="spellStart"/>
      <w:r w:rsidRPr="7ABC7D88" w:rsidR="7ABC7D88">
        <w:rPr>
          <w:rFonts w:ascii="Verdana" w:hAnsi="Verdana" w:eastAsia="Verdana" w:cs="Verdana"/>
          <w:b w:val="1"/>
          <w:bCs w:val="1"/>
          <w:sz w:val="18"/>
          <w:szCs w:val="18"/>
          <w:u w:val="single"/>
        </w:rPr>
        <w:t>Rodriguez</w:t>
      </w:r>
      <w:proofErr w:type="spellEnd"/>
      <w:r w:rsidRPr="7ABC7D88" w:rsidR="7ABC7D88">
        <w:rPr>
          <w:rFonts w:ascii="Verdana" w:hAnsi="Verdana" w:eastAsia="Verdana" w:cs="Verdana"/>
          <w:b w:val="1"/>
          <w:bCs w:val="1"/>
          <w:sz w:val="18"/>
          <w:szCs w:val="18"/>
          <w:u w:val="single"/>
        </w:rPr>
        <w:t xml:space="preserve"> I, et </w:t>
      </w:r>
      <w:proofErr w:type="spellStart"/>
      <w:r w:rsidRPr="7ABC7D88" w:rsidR="7ABC7D88">
        <w:rPr>
          <w:rFonts w:ascii="Verdana" w:hAnsi="Verdana" w:eastAsia="Verdana" w:cs="Verdana"/>
          <w:b w:val="1"/>
          <w:bCs w:val="1"/>
          <w:sz w:val="18"/>
          <w:szCs w:val="18"/>
          <w:u w:val="single"/>
        </w:rPr>
        <w:t>al</w:t>
      </w:r>
      <w:proofErr w:type="spellEnd"/>
      <w:r w:rsidRPr="7ABC7D88" w:rsidR="7ABC7D88">
        <w:rPr>
          <w:rFonts w:ascii="Verdana" w:hAnsi="Verdana" w:eastAsia="Verdana" w:cs="Verdana"/>
          <w:b w:val="1"/>
          <w:bCs w:val="1"/>
          <w:sz w:val="18"/>
          <w:szCs w:val="18"/>
          <w:u w:val="single"/>
        </w:rPr>
        <w:t xml:space="preserve">. </w:t>
      </w:r>
      <w:r w:rsidRPr="7ABC7D88" w:rsidR="7ABC7D88">
        <w:rPr>
          <w:rFonts w:ascii="Verdana" w:hAnsi="Verdana" w:eastAsia="Verdana" w:cs="Verdana"/>
          <w:b w:val="1"/>
          <w:bCs w:val="1"/>
          <w:sz w:val="18"/>
          <w:szCs w:val="18"/>
          <w:u w:val="single"/>
        </w:rPr>
        <w:t>Mini-</w:t>
      </w:r>
      <w:proofErr w:type="spellStart"/>
      <w:r w:rsidRPr="7ABC7D88" w:rsidR="7ABC7D88">
        <w:rPr>
          <w:rFonts w:ascii="Verdana" w:hAnsi="Verdana" w:eastAsia="Verdana" w:cs="Verdana"/>
          <w:b w:val="1"/>
          <w:bCs w:val="1"/>
          <w:sz w:val="18"/>
          <w:szCs w:val="18"/>
          <w:u w:val="single"/>
        </w:rPr>
        <w:t>Mental</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State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Examination</w:t>
      </w:r>
      <w:proofErr w:type="spellEnd"/>
      <w:r w:rsidRPr="7ABC7D88" w:rsidR="7ABC7D88">
        <w:rPr>
          <w:rFonts w:ascii="Verdana" w:hAnsi="Verdana" w:eastAsia="Verdana" w:cs="Verdana"/>
          <w:b w:val="1"/>
          <w:bCs w:val="1"/>
          <w:sz w:val="18"/>
          <w:szCs w:val="18"/>
          <w:u w:val="single"/>
        </w:rPr>
        <w:t xml:space="preserve"> (MMSE)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detection</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Alzheimer’s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disease</w:t>
      </w:r>
      <w:proofErr w:type="spellEnd"/>
      <w:r w:rsidRPr="7ABC7D88" w:rsidR="7ABC7D88">
        <w:rPr>
          <w:rFonts w:ascii="Verdana" w:hAnsi="Verdana" w:eastAsia="Verdana" w:cs="Verdana"/>
          <w:b w:val="1"/>
          <w:bCs w:val="1"/>
          <w:sz w:val="18"/>
          <w:szCs w:val="18"/>
          <w:u w:val="single"/>
        </w:rPr>
        <w:t xml:space="preserve"> and </w:t>
      </w:r>
      <w:proofErr w:type="spellStart"/>
      <w:r w:rsidRPr="7ABC7D88" w:rsidR="7ABC7D88">
        <w:rPr>
          <w:rFonts w:ascii="Verdana" w:hAnsi="Verdana" w:eastAsia="Verdana" w:cs="Verdana"/>
          <w:b w:val="1"/>
          <w:bCs w:val="1"/>
          <w:sz w:val="18"/>
          <w:szCs w:val="18"/>
          <w:u w:val="single"/>
        </w:rPr>
        <w:t>other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dementias</w:t>
      </w:r>
      <w:proofErr w:type="spellEnd"/>
      <w:r w:rsidRPr="7ABC7D88" w:rsidR="7ABC7D88">
        <w:rPr>
          <w:rFonts w:ascii="Verdana" w:hAnsi="Verdana" w:eastAsia="Verdana" w:cs="Verdana"/>
          <w:b w:val="1"/>
          <w:bCs w:val="1"/>
          <w:sz w:val="18"/>
          <w:szCs w:val="18"/>
          <w:u w:val="single"/>
        </w:rPr>
        <w:t xml:space="preserve"> in </w:t>
      </w:r>
      <w:proofErr w:type="spellStart"/>
      <w:r w:rsidRPr="7ABC7D88" w:rsidR="7ABC7D88">
        <w:rPr>
          <w:rFonts w:ascii="Verdana" w:hAnsi="Verdana" w:eastAsia="Verdana" w:cs="Verdana"/>
          <w:b w:val="1"/>
          <w:bCs w:val="1"/>
          <w:sz w:val="18"/>
          <w:szCs w:val="18"/>
          <w:u w:val="single"/>
        </w:rPr>
        <w:t>people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with</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mild</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cognitive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impairment</w:t>
      </w:r>
      <w:proofErr w:type="spellEnd"/>
      <w:r w:rsidRPr="7ABC7D88" w:rsidR="7ABC7D88">
        <w:rPr>
          <w:rFonts w:ascii="Verdana" w:hAnsi="Verdana" w:eastAsia="Verdana" w:cs="Verdana"/>
          <w:b w:val="1"/>
          <w:bCs w:val="1"/>
          <w:sz w:val="18"/>
          <w:szCs w:val="18"/>
          <w:u w:val="single"/>
        </w:rPr>
        <w:t xml:space="preserve"> (MCI). </w:t>
      </w:r>
      <w:proofErr w:type="spellStart"/>
      <w:r w:rsidRPr="7ABC7D88" w:rsidR="7ABC7D88">
        <w:rPr>
          <w:rFonts w:ascii="Verdana" w:hAnsi="Verdana" w:eastAsia="Verdana" w:cs="Verdana"/>
          <w:b w:val="1"/>
          <w:bCs w:val="1"/>
          <w:sz w:val="18"/>
          <w:szCs w:val="18"/>
          <w:u w:val="single"/>
        </w:rPr>
        <w:t>Cochrane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Database</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Systematic</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Reviews</w:t>
      </w:r>
      <w:proofErr w:type="spellEnd"/>
      <w:r w:rsidRPr="7ABC7D88" w:rsidR="7ABC7D88">
        <w:rPr>
          <w:rFonts w:ascii="Verdana" w:hAnsi="Verdana" w:eastAsia="Verdana" w:cs="Verdana"/>
          <w:b w:val="1"/>
          <w:bCs w:val="1"/>
          <w:sz w:val="18"/>
          <w:szCs w:val="18"/>
          <w:u w:val="single"/>
        </w:rPr>
        <w:t xml:space="preserve"> 2015, </w:t>
      </w:r>
      <w:proofErr w:type="spellStart"/>
      <w:r w:rsidRPr="7ABC7D88" w:rsidR="7ABC7D88">
        <w:rPr>
          <w:rFonts w:ascii="Verdana" w:hAnsi="Verdana" w:eastAsia="Verdana" w:cs="Verdana"/>
          <w:b w:val="1"/>
          <w:bCs w:val="1"/>
          <w:sz w:val="18"/>
          <w:szCs w:val="18"/>
          <w:u w:val="single"/>
        </w:rPr>
        <w:t>Issue</w:t>
      </w:r>
      <w:proofErr w:type="spellEnd"/>
      <w:r w:rsidRPr="7ABC7D88" w:rsidR="7ABC7D88">
        <w:rPr>
          <w:rFonts w:ascii="Verdana" w:hAnsi="Verdana" w:eastAsia="Verdana" w:cs="Verdana"/>
          <w:b w:val="1"/>
          <w:bCs w:val="1"/>
          <w:sz w:val="18"/>
          <w:szCs w:val="18"/>
          <w:u w:val="single"/>
        </w:rPr>
        <w:t xml:space="preserve"> 3</w:t>
      </w:r>
    </w:p>
    <w:p w:rsidR="7ABC7D88" w:rsidP="7ABC7D88" w:rsidRDefault="7ABC7D88" w14:noSpellErr="1" w14:paraId="6F40B499" w14:textId="370C0DB4">
      <w:pPr>
        <w:jc w:val="both"/>
      </w:pPr>
      <w:r w:rsidRPr="7ABC7D88" w:rsidR="7ABC7D88">
        <w:rPr>
          <w:rFonts w:ascii="Verdana" w:hAnsi="Verdana" w:eastAsia="Verdana" w:cs="Verdana"/>
          <w:sz w:val="18"/>
          <w:szCs w:val="18"/>
        </w:rPr>
        <w:t>AMSTAR: 11/11</w:t>
      </w:r>
    </w:p>
    <w:p w:rsidR="7ABC7D88" w:rsidP="7ABC7D88" w:rsidRDefault="7ABC7D88" w14:paraId="13A073F9" w14:textId="5F91DAAF">
      <w:pPr>
        <w:pStyle w:val="Normaallaad"/>
        <w:jc w:val="both"/>
      </w:pPr>
      <w:r w:rsidRPr="7ABC7D88" w:rsidR="7ABC7D88">
        <w:rPr>
          <w:rFonts w:ascii="Verdana" w:hAnsi="Verdana" w:eastAsia="Verdana" w:cs="Verdana"/>
          <w:sz w:val="18"/>
          <w:szCs w:val="18"/>
        </w:rPr>
        <w:t xml:space="preserve">Süstemaatiline ülevaade, mis uurib, kas MMSE sobib hindamaks MCI haigeid, leidmaks progressiooni </w:t>
      </w:r>
      <w:proofErr w:type="spellStart"/>
      <w:r w:rsidRPr="7ABC7D88" w:rsidR="7ABC7D88">
        <w:rPr>
          <w:rFonts w:ascii="Verdana" w:hAnsi="Verdana" w:eastAsia="Verdana" w:cs="Verdana"/>
          <w:sz w:val="18"/>
          <w:szCs w:val="18"/>
        </w:rPr>
        <w:t>Alzheimeri</w:t>
      </w:r>
      <w:proofErr w:type="spellEnd"/>
      <w:r w:rsidRPr="7ABC7D88" w:rsidR="7ABC7D88">
        <w:rPr>
          <w:rFonts w:ascii="Verdana" w:hAnsi="Verdana" w:eastAsia="Verdana" w:cs="Verdana"/>
          <w:sz w:val="18"/>
          <w:szCs w:val="18"/>
        </w:rPr>
        <w:t xml:space="preserve"> tõveks või mõneks muuks dementsuseks.</w:t>
      </w:r>
    </w:p>
    <w:p w:rsidR="7ABC7D88" w:rsidP="7ABC7D88" w:rsidRDefault="7ABC7D88" w14:paraId="55CA2CE8" w14:textId="1FB71B13">
      <w:pPr>
        <w:pStyle w:val="Normaallaad"/>
        <w:jc w:val="both"/>
      </w:pPr>
      <w:r w:rsidRPr="5EB7100A" w:rsidR="5EB7100A">
        <w:rPr>
          <w:rFonts w:ascii="Verdana" w:hAnsi="Verdana" w:eastAsia="Verdana" w:cs="Verdana"/>
          <w:sz w:val="18"/>
          <w:szCs w:val="18"/>
        </w:rPr>
        <w:t xml:space="preserve">Hetkel ei ole kindlat seisukohta, mis oleks parim strateegia jälgimaks kerge kognitiivse defitsiidiga (MCI) haigeid progressiooni osas. Ülevaates kaasati 11 uuringut (kokku 1569 patsienti </w:t>
      </w:r>
      <w:proofErr w:type="spellStart"/>
      <w:r w:rsidRPr="5EB7100A" w:rsidR="5EB7100A">
        <w:rPr>
          <w:rFonts w:ascii="Verdana" w:hAnsi="Verdana" w:eastAsia="Verdana" w:cs="Verdana"/>
          <w:sz w:val="18"/>
          <w:szCs w:val="18"/>
        </w:rPr>
        <w:t>MCIga</w:t>
      </w:r>
      <w:proofErr w:type="spellEnd"/>
      <w:r w:rsidRPr="5EB7100A" w:rsidR="5EB7100A">
        <w:rPr>
          <w:rFonts w:ascii="Verdana" w:hAnsi="Verdana" w:eastAsia="Verdana" w:cs="Verdana"/>
          <w:sz w:val="18"/>
          <w:szCs w:val="18"/>
        </w:rPr>
        <w:t xml:space="preserve">). MCI --&gt; </w:t>
      </w:r>
      <w:proofErr w:type="spellStart"/>
      <w:r w:rsidRPr="5EB7100A" w:rsidR="5EB7100A">
        <w:rPr>
          <w:rFonts w:ascii="Verdana" w:hAnsi="Verdana" w:eastAsia="Verdana" w:cs="Verdana"/>
          <w:sz w:val="18"/>
          <w:szCs w:val="18"/>
        </w:rPr>
        <w:t>Alzheimeri</w:t>
      </w:r>
      <w:proofErr w:type="spellEnd"/>
      <w:r w:rsidRPr="5EB7100A" w:rsidR="5EB7100A">
        <w:rPr>
          <w:rFonts w:ascii="Verdana" w:hAnsi="Verdana" w:eastAsia="Verdana" w:cs="Verdana"/>
          <w:sz w:val="18"/>
          <w:szCs w:val="18"/>
        </w:rPr>
        <w:t xml:space="preserve"> tõbi: MMSE testi sensitiivsus 27-89%, spetsiifilisus 32-90% (varieerub suurtes piirides). Järeldatakse, et MMSE ei sobi eraldiseisvaks ja ainsaks </w:t>
      </w:r>
      <w:r w:rsidRPr="5EB7100A" w:rsidR="5EB7100A">
        <w:rPr>
          <w:rFonts w:ascii="Verdana" w:hAnsi="Verdana" w:eastAsia="Verdana" w:cs="Verdana"/>
          <w:sz w:val="18"/>
          <w:szCs w:val="18"/>
        </w:rPr>
        <w:t>testi</w:t>
      </w:r>
      <w:r w:rsidRPr="5EB7100A" w:rsidR="5EB7100A">
        <w:rPr>
          <w:rFonts w:ascii="Verdana" w:hAnsi="Verdana" w:eastAsia="Verdana" w:cs="Verdana"/>
          <w:sz w:val="18"/>
          <w:szCs w:val="18"/>
        </w:rPr>
        <w:t>ks</w:t>
      </w:r>
      <w:r w:rsidRPr="5EB7100A" w:rsidR="5EB7100A">
        <w:rPr>
          <w:rFonts w:ascii="Verdana" w:hAnsi="Verdana" w:eastAsia="Verdana" w:cs="Verdana"/>
          <w:sz w:val="18"/>
          <w:szCs w:val="18"/>
        </w:rPr>
        <w:t xml:space="preserve">, mis aitaks leida patsiendid, kelle haigus progresseerub </w:t>
      </w:r>
      <w:r w:rsidRPr="5EB7100A" w:rsidR="5EB7100A">
        <w:rPr>
          <w:rFonts w:ascii="Verdana" w:hAnsi="Verdana" w:eastAsia="Verdana" w:cs="Verdana"/>
          <w:sz w:val="18"/>
          <w:szCs w:val="18"/>
        </w:rPr>
        <w:t>dementsus</w:t>
      </w:r>
      <w:r w:rsidRPr="5EB7100A" w:rsidR="5EB7100A">
        <w:rPr>
          <w:rFonts w:ascii="Verdana" w:hAnsi="Verdana" w:eastAsia="Verdana" w:cs="Verdana"/>
          <w:sz w:val="18"/>
          <w:szCs w:val="18"/>
        </w:rPr>
        <w:t>e</w:t>
      </w:r>
      <w:r w:rsidRPr="5EB7100A" w:rsidR="5EB7100A">
        <w:rPr>
          <w:rFonts w:ascii="Verdana" w:hAnsi="Verdana" w:eastAsia="Verdana" w:cs="Verdana"/>
          <w:sz w:val="18"/>
          <w:szCs w:val="18"/>
        </w:rPr>
        <w:t>ks</w:t>
      </w:r>
      <w:r w:rsidRPr="5EB7100A" w:rsidR="5EB7100A">
        <w:rPr>
          <w:rFonts w:ascii="Verdana" w:hAnsi="Verdana" w:eastAsia="Verdana" w:cs="Verdana"/>
          <w:sz w:val="18"/>
          <w:szCs w:val="18"/>
        </w:rPr>
        <w:t xml:space="preserve">. </w:t>
      </w:r>
    </w:p>
    <w:p w:rsidR="7ABC7D88" w:rsidP="7ABC7D88" w:rsidRDefault="7ABC7D88" w14:paraId="1EB2B5B9" w14:textId="06A0DE11">
      <w:pPr>
        <w:pStyle w:val="Normaallaad"/>
        <w:jc w:val="both"/>
      </w:pPr>
      <w:r w:rsidRPr="7ABC7D88" w:rsidR="7ABC7D88">
        <w:rPr>
          <w:rFonts w:ascii="Verdana" w:hAnsi="Verdana" w:eastAsia="Verdana" w:cs="Verdana"/>
          <w:b w:val="1"/>
          <w:bCs w:val="1"/>
          <w:sz w:val="18"/>
          <w:szCs w:val="18"/>
          <w:u w:val="single"/>
        </w:rPr>
        <w:t>6.</w:t>
      </w:r>
      <w:r w:rsidRPr="7ABC7D88" w:rsidR="7ABC7D88">
        <w:rPr>
          <w:rFonts w:ascii="Verdana" w:hAnsi="Verdana" w:eastAsia="Verdana" w:cs="Verdana"/>
          <w:b w:val="1"/>
          <w:bCs w:val="1"/>
          <w:sz w:val="18"/>
          <w:szCs w:val="18"/>
          <w:u w:val="single"/>
        </w:rPr>
        <w:t xml:space="preserve">Davis DHJ, et </w:t>
      </w:r>
      <w:proofErr w:type="spellStart"/>
      <w:r w:rsidRPr="7ABC7D88" w:rsidR="7ABC7D88">
        <w:rPr>
          <w:rFonts w:ascii="Verdana" w:hAnsi="Verdana" w:eastAsia="Verdana" w:cs="Verdana"/>
          <w:b w:val="1"/>
          <w:bCs w:val="1"/>
          <w:sz w:val="18"/>
          <w:szCs w:val="18"/>
          <w:u w:val="single"/>
        </w:rPr>
        <w:t>al</w:t>
      </w:r>
      <w:proofErr w:type="spellEnd"/>
      <w:r w:rsidRPr="7ABC7D88" w:rsidR="7ABC7D88">
        <w:rPr>
          <w:rFonts w:ascii="Verdana" w:hAnsi="Verdana" w:eastAsia="Verdana" w:cs="Verdana"/>
          <w:b w:val="1"/>
          <w:bCs w:val="1"/>
          <w:sz w:val="18"/>
          <w:szCs w:val="18"/>
          <w:u w:val="single"/>
        </w:rPr>
        <w:t>.</w:t>
      </w:r>
      <w:r w:rsidRPr="7ABC7D88" w:rsidR="7ABC7D88">
        <w:rPr>
          <w:rFonts w:ascii="Verdana" w:hAnsi="Verdana" w:eastAsia="Verdana" w:cs="Verdana"/>
          <w:b w:val="1"/>
          <w:bCs w:val="1"/>
          <w:sz w:val="18"/>
          <w:szCs w:val="18"/>
          <w:u w:val="single"/>
        </w:rPr>
        <w:t xml:space="preserve"> </w:t>
      </w:r>
      <w:r w:rsidRPr="7ABC7D88" w:rsidR="7ABC7D88">
        <w:rPr>
          <w:rFonts w:ascii="Verdana" w:hAnsi="Verdana" w:eastAsia="Verdana" w:cs="Verdana"/>
          <w:b w:val="1"/>
          <w:bCs w:val="1"/>
          <w:sz w:val="18"/>
          <w:szCs w:val="18"/>
          <w:u w:val="single"/>
        </w:rPr>
        <w:t xml:space="preserve">Montreal </w:t>
      </w:r>
      <w:proofErr w:type="spellStart"/>
      <w:r w:rsidRPr="7ABC7D88" w:rsidR="7ABC7D88">
        <w:rPr>
          <w:rFonts w:ascii="Verdana" w:hAnsi="Verdana" w:eastAsia="Verdana" w:cs="Verdana"/>
          <w:b w:val="1"/>
          <w:bCs w:val="1"/>
          <w:sz w:val="18"/>
          <w:szCs w:val="18"/>
          <w:u w:val="single"/>
        </w:rPr>
        <w:t>Cognitive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Assessment</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diagnosis</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Alzheimer’s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disease</w:t>
      </w:r>
      <w:proofErr w:type="spellEnd"/>
      <w:r w:rsidRPr="7ABC7D88" w:rsidR="7ABC7D88">
        <w:rPr>
          <w:rFonts w:ascii="Verdana" w:hAnsi="Verdana" w:eastAsia="Verdana" w:cs="Verdana"/>
          <w:b w:val="1"/>
          <w:bCs w:val="1"/>
          <w:sz w:val="18"/>
          <w:szCs w:val="18"/>
          <w:u w:val="single"/>
        </w:rPr>
        <w:t xml:space="preserve"> and </w:t>
      </w:r>
      <w:proofErr w:type="spellStart"/>
      <w:r w:rsidRPr="7ABC7D88" w:rsidR="7ABC7D88">
        <w:rPr>
          <w:rFonts w:ascii="Verdana" w:hAnsi="Verdana" w:eastAsia="Verdana" w:cs="Verdana"/>
          <w:b w:val="1"/>
          <w:bCs w:val="1"/>
          <w:sz w:val="18"/>
          <w:szCs w:val="18"/>
          <w:u w:val="single"/>
        </w:rPr>
        <w:t>other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dementias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Cochrane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Database</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Systematic</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Reviews</w:t>
      </w:r>
      <w:proofErr w:type="spellEnd"/>
      <w:r w:rsidRPr="7ABC7D88" w:rsidR="7ABC7D88">
        <w:rPr>
          <w:rFonts w:ascii="Verdana" w:hAnsi="Verdana" w:eastAsia="Verdana" w:cs="Verdana"/>
          <w:b w:val="1"/>
          <w:bCs w:val="1"/>
          <w:sz w:val="18"/>
          <w:szCs w:val="18"/>
          <w:u w:val="single"/>
        </w:rPr>
        <w:t xml:space="preserve"> 2015, </w:t>
      </w:r>
      <w:proofErr w:type="spellStart"/>
      <w:r w:rsidRPr="7ABC7D88" w:rsidR="7ABC7D88">
        <w:rPr>
          <w:rFonts w:ascii="Verdana" w:hAnsi="Verdana" w:eastAsia="Verdana" w:cs="Verdana"/>
          <w:b w:val="1"/>
          <w:bCs w:val="1"/>
          <w:sz w:val="18"/>
          <w:szCs w:val="18"/>
          <w:u w:val="single"/>
        </w:rPr>
        <w:t>Issue</w:t>
      </w:r>
      <w:proofErr w:type="spellEnd"/>
      <w:r w:rsidRPr="7ABC7D88" w:rsidR="7ABC7D88">
        <w:rPr>
          <w:rFonts w:ascii="Verdana" w:hAnsi="Verdana" w:eastAsia="Verdana" w:cs="Verdana"/>
          <w:b w:val="1"/>
          <w:bCs w:val="1"/>
          <w:sz w:val="18"/>
          <w:szCs w:val="18"/>
          <w:u w:val="single"/>
        </w:rPr>
        <w:t xml:space="preserve"> 10.</w:t>
      </w:r>
      <w:r w:rsidRPr="7ABC7D88" w:rsidR="7ABC7D88">
        <w:rPr>
          <w:rFonts w:ascii="Verdana" w:hAnsi="Verdana" w:eastAsia="Verdana" w:cs="Verdana"/>
          <w:b w:val="1"/>
          <w:bCs w:val="1"/>
          <w:sz w:val="18"/>
          <w:szCs w:val="18"/>
        </w:rPr>
        <w:t xml:space="preserve"> </w:t>
      </w:r>
    </w:p>
    <w:p w:rsidR="7ABC7D88" w:rsidP="7ABC7D88" w:rsidRDefault="7ABC7D88" w14:noSpellErr="1" w14:paraId="603075AD" w14:textId="20EF6BB9">
      <w:pPr>
        <w:pStyle w:val="Normaallaad"/>
        <w:jc w:val="both"/>
      </w:pPr>
      <w:r w:rsidRPr="7ABC7D88" w:rsidR="7ABC7D88">
        <w:rPr>
          <w:rFonts w:ascii="Verdana" w:hAnsi="Verdana" w:eastAsia="Verdana" w:cs="Verdana"/>
          <w:sz w:val="18"/>
          <w:szCs w:val="18"/>
        </w:rPr>
        <w:t>AMSTAR 11/11</w:t>
      </w:r>
    </w:p>
    <w:p w:rsidR="7ABC7D88" w:rsidP="7ABC7D88" w:rsidRDefault="7ABC7D88" w14:paraId="6EDB6A68" w14:textId="76738F60">
      <w:pPr>
        <w:pStyle w:val="Normaallaad"/>
        <w:jc w:val="both"/>
      </w:pPr>
      <w:r w:rsidRPr="7ABC7D88" w:rsidR="7ABC7D88">
        <w:rPr>
          <w:rFonts w:ascii="Verdana" w:hAnsi="Verdana" w:eastAsia="Verdana" w:cs="Verdana"/>
          <w:sz w:val="18"/>
          <w:szCs w:val="18"/>
        </w:rPr>
        <w:t xml:space="preserve">Antud süstemaatilises ülevaates uuriti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Mo</w:t>
      </w:r>
      <w:r w:rsidRPr="7ABC7D88" w:rsidR="7ABC7D88">
        <w:rPr>
          <w:rFonts w:ascii="Verdana" w:hAnsi="Verdana" w:eastAsia="Verdana" w:cs="Verdana"/>
          <w:sz w:val="18"/>
          <w:szCs w:val="18"/>
        </w:rPr>
        <w:t>ntreal</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w:t>
      </w:r>
      <w:r w:rsidRPr="7ABC7D88" w:rsidR="7ABC7D88">
        <w:rPr>
          <w:rFonts w:ascii="Verdana" w:hAnsi="Verdana" w:eastAsia="Verdana" w:cs="Verdana"/>
          <w:sz w:val="18"/>
          <w:szCs w:val="18"/>
        </w:rPr>
        <w:t>gnitivne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Assessment</w:t>
      </w:r>
      <w:proofErr w:type="spellEnd"/>
      <w:r w:rsidRPr="7ABC7D88" w:rsidR="7ABC7D88">
        <w:rPr>
          <w:rFonts w:ascii="Verdana" w:hAnsi="Verdana" w:eastAsia="Verdana" w:cs="Verdana"/>
          <w:sz w:val="18"/>
          <w:szCs w:val="18"/>
        </w:rPr>
        <w:t>) testi rolli dementsuse diagnoosimisel. Uuriti mitmeid andmebaase, leiti 7 uuringut, mis täitsid kriteeriumid. Keskmine iga 61 eluaastat, kaasati kokku 9422 inimest.</w:t>
      </w:r>
    </w:p>
    <w:p w:rsidR="7ABC7D88" w:rsidP="7ABC7D88" w:rsidRDefault="7ABC7D88" w14:paraId="35DF96EF" w14:textId="0C854DFE">
      <w:pPr>
        <w:pStyle w:val="Normaallaad"/>
        <w:jc w:val="both"/>
      </w:pPr>
      <w:r w:rsidRPr="7ABC7D88" w:rsidR="7ABC7D88">
        <w:rPr>
          <w:rFonts w:ascii="Verdana" w:hAnsi="Verdana" w:eastAsia="Verdana" w:cs="Verdana"/>
          <w:sz w:val="18"/>
          <w:szCs w:val="18"/>
        </w:rPr>
        <w:t xml:space="preserve">Leiti, et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-l on hea </w:t>
      </w:r>
      <w:r w:rsidRPr="7ABC7D88" w:rsidR="7ABC7D88">
        <w:rPr>
          <w:rFonts w:ascii="Verdana" w:hAnsi="Verdana" w:eastAsia="Verdana" w:cs="Verdana"/>
          <w:sz w:val="18"/>
          <w:szCs w:val="18"/>
        </w:rPr>
        <w:t>võime</w:t>
      </w:r>
      <w:r w:rsidRPr="7ABC7D88" w:rsidR="7ABC7D88">
        <w:rPr>
          <w:rFonts w:ascii="Verdana" w:hAnsi="Verdana" w:eastAsia="Verdana" w:cs="Verdana"/>
          <w:sz w:val="18"/>
          <w:szCs w:val="18"/>
        </w:rPr>
        <w:t xml:space="preserve"> tuvastada dementsust, kui </w:t>
      </w:r>
      <w:proofErr w:type="spellStart"/>
      <w:r w:rsidRPr="7ABC7D88" w:rsidR="7ABC7D88">
        <w:rPr>
          <w:rFonts w:ascii="Verdana" w:hAnsi="Verdana" w:eastAsia="Verdana" w:cs="Verdana"/>
          <w:sz w:val="18"/>
          <w:szCs w:val="18"/>
        </w:rPr>
        <w:t>cut-off</w:t>
      </w:r>
      <w:proofErr w:type="spellEnd"/>
      <w:r w:rsidRPr="7ABC7D88" w:rsidR="7ABC7D88">
        <w:rPr>
          <w:rFonts w:ascii="Verdana" w:hAnsi="Verdana" w:eastAsia="Verdana" w:cs="Verdana"/>
          <w:sz w:val="18"/>
          <w:szCs w:val="18"/>
        </w:rPr>
        <w:t xml:space="preserve"> skoor on 26. Õigesti diagnoositi 94% dementsust. </w:t>
      </w:r>
      <w:r w:rsidRPr="7ABC7D88" w:rsidR="7ABC7D88">
        <w:rPr>
          <w:rFonts w:ascii="Verdana" w:hAnsi="Verdana" w:eastAsia="Verdana" w:cs="Verdana"/>
          <w:sz w:val="18"/>
          <w:szCs w:val="18"/>
        </w:rPr>
        <w:t xml:space="preserve">Samas leiti ka palju valepositiivseid. Üle 40% oleks dementsus valesti diagnoositud. </w:t>
      </w:r>
    </w:p>
    <w:p w:rsidR="7ABC7D88" w:rsidP="7ABC7D88" w:rsidRDefault="7ABC7D88" w14:paraId="4B2CD8F1" w14:textId="2C5FDF2F">
      <w:pPr>
        <w:pStyle w:val="Normaallaad"/>
        <w:jc w:val="both"/>
      </w:pPr>
      <w:r w:rsidRPr="7ABC7D88" w:rsidR="7ABC7D88">
        <w:rPr>
          <w:rFonts w:ascii="Verdana" w:hAnsi="Verdana" w:eastAsia="Verdana" w:cs="Verdana"/>
          <w:sz w:val="18"/>
          <w:szCs w:val="18"/>
        </w:rPr>
        <w:t xml:space="preserve">Kokkuvõtteks kirjutati, et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kohta tehtud uuringud ei ole piisavalt hea kvaliteediga, et teha soovitusi. Eriti ei saa soovitusi teha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kasutamiseks esmatasandil. Tuleb välja, et skoor &lt;26 diagnoosib dementsust kindlama tõenäosusega. Rõhutatakse, et tuleb kasutada kliinilises kontekstis. </w:t>
      </w:r>
    </w:p>
    <w:p w:rsidR="7ABC7D88" w:rsidP="7ABC7D88" w:rsidRDefault="7ABC7D88" w14:paraId="1EF73933" w14:textId="0E2BA645">
      <w:pPr>
        <w:pStyle w:val="Normaallaad"/>
        <w:jc w:val="both"/>
      </w:pPr>
      <w:r w:rsidRPr="5EB7100A" w:rsidR="5EB7100A">
        <w:rPr>
          <w:rFonts w:ascii="Verdana" w:hAnsi="Verdana" w:eastAsia="Verdana" w:cs="Verdana"/>
          <w:b w:val="1"/>
          <w:bCs w:val="1"/>
          <w:sz w:val="18"/>
          <w:szCs w:val="18"/>
          <w:u w:val="single"/>
        </w:rPr>
        <w:t>7.</w:t>
      </w:r>
      <w:r w:rsidRPr="5EB7100A" w:rsidR="5EB7100A">
        <w:rPr>
          <w:rFonts w:ascii="Verdana" w:hAnsi="Verdana" w:eastAsia="Verdana" w:cs="Verdana"/>
          <w:b w:val="1"/>
          <w:bCs w:val="1"/>
          <w:sz w:val="18"/>
          <w:szCs w:val="18"/>
          <w:u w:val="single"/>
        </w:rPr>
        <w:t xml:space="preserve">Fage BA, et </w:t>
      </w:r>
      <w:proofErr w:type="spellStart"/>
      <w:r w:rsidRPr="5EB7100A" w:rsidR="5EB7100A">
        <w:rPr>
          <w:rFonts w:ascii="Verdana" w:hAnsi="Verdana" w:eastAsia="Verdana" w:cs="Verdana"/>
          <w:b w:val="1"/>
          <w:bCs w:val="1"/>
          <w:sz w:val="18"/>
          <w:szCs w:val="18"/>
          <w:u w:val="single"/>
        </w:rPr>
        <w:t>al</w:t>
      </w:r>
      <w:proofErr w:type="spellEnd"/>
      <w:r w:rsidRPr="5EB7100A" w:rsidR="5EB7100A">
        <w:rPr>
          <w:rFonts w:ascii="Verdana" w:hAnsi="Verdana" w:eastAsia="Verdana" w:cs="Verdana"/>
          <w:b w:val="1"/>
          <w:bCs w:val="1"/>
          <w:sz w:val="18"/>
          <w:szCs w:val="18"/>
          <w:u w:val="single"/>
        </w:rPr>
        <w:t>.</w:t>
      </w:r>
      <w:r w:rsidRPr="5EB7100A" w:rsidR="5EB7100A">
        <w:rPr>
          <w:rFonts w:ascii="Verdana" w:hAnsi="Verdana" w:eastAsia="Verdana" w:cs="Verdana"/>
          <w:b w:val="1"/>
          <w:bCs w:val="1"/>
          <w:sz w:val="18"/>
          <w:szCs w:val="18"/>
          <w:u w:val="single"/>
        </w:rPr>
        <w:t xml:space="preserve"> Mini</w:t>
      </w:r>
      <w:r w:rsidRPr="5EB7100A" w:rsidR="5EB7100A">
        <w:rPr>
          <w:rFonts w:ascii="Verdana" w:hAnsi="Verdana" w:eastAsia="Verdana" w:cs="Verdana"/>
          <w:b w:val="1"/>
          <w:bCs w:val="1"/>
          <w:sz w:val="18"/>
          <w:szCs w:val="18"/>
          <w:u w:val="single"/>
        </w:rPr>
        <w:t>-</w:t>
      </w:r>
      <w:proofErr w:type="spellStart"/>
      <w:r w:rsidRPr="5EB7100A" w:rsidR="5EB7100A">
        <w:rPr>
          <w:rFonts w:ascii="Verdana" w:hAnsi="Verdana" w:eastAsia="Verdana" w:cs="Verdana"/>
          <w:b w:val="1"/>
          <w:bCs w:val="1"/>
          <w:sz w:val="18"/>
          <w:szCs w:val="18"/>
          <w:u w:val="single"/>
        </w:rPr>
        <w:t>Cog</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for</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the</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diagnosis</w:t>
      </w:r>
      <w:proofErr w:type="spellEnd"/>
      <w:r w:rsidRPr="5EB7100A" w:rsidR="5EB7100A">
        <w:rPr>
          <w:rFonts w:ascii="Verdana" w:hAnsi="Verdana" w:eastAsia="Verdana" w:cs="Verdana"/>
          <w:b w:val="1"/>
          <w:bCs w:val="1"/>
          <w:sz w:val="18"/>
          <w:szCs w:val="18"/>
          <w:u w:val="single"/>
        </w:rPr>
        <w:t xml:space="preserve"> of </w:t>
      </w:r>
      <w:proofErr w:type="spellStart"/>
      <w:r w:rsidRPr="5EB7100A" w:rsidR="5EB7100A">
        <w:rPr>
          <w:rFonts w:ascii="Verdana" w:hAnsi="Verdana" w:eastAsia="Verdana" w:cs="Verdana"/>
          <w:b w:val="1"/>
          <w:bCs w:val="1"/>
          <w:sz w:val="18"/>
          <w:szCs w:val="18"/>
          <w:u w:val="single"/>
        </w:rPr>
        <w:t>Alzheimer’s</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disease</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dementia</w:t>
      </w:r>
      <w:proofErr w:type="spellEnd"/>
      <w:r w:rsidRPr="5EB7100A" w:rsidR="5EB7100A">
        <w:rPr>
          <w:rFonts w:ascii="Verdana" w:hAnsi="Verdana" w:eastAsia="Verdana" w:cs="Verdana"/>
          <w:b w:val="1"/>
          <w:bCs w:val="1"/>
          <w:sz w:val="18"/>
          <w:szCs w:val="18"/>
          <w:u w:val="single"/>
        </w:rPr>
        <w:t xml:space="preserve"> and </w:t>
      </w:r>
      <w:proofErr w:type="spellStart"/>
      <w:r w:rsidRPr="5EB7100A" w:rsidR="5EB7100A">
        <w:rPr>
          <w:rFonts w:ascii="Verdana" w:hAnsi="Verdana" w:eastAsia="Verdana" w:cs="Verdana"/>
          <w:b w:val="1"/>
          <w:bCs w:val="1"/>
          <w:sz w:val="18"/>
          <w:szCs w:val="18"/>
          <w:u w:val="single"/>
        </w:rPr>
        <w:t>other</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dementias</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within</w:t>
      </w:r>
      <w:proofErr w:type="spellEnd"/>
      <w:r w:rsidRPr="5EB7100A" w:rsidR="5EB7100A">
        <w:rPr>
          <w:rFonts w:ascii="Verdana" w:hAnsi="Verdana" w:eastAsia="Verdana" w:cs="Verdana"/>
          <w:b w:val="1"/>
          <w:bCs w:val="1"/>
          <w:sz w:val="18"/>
          <w:szCs w:val="18"/>
          <w:u w:val="single"/>
        </w:rPr>
        <w:t xml:space="preserve"> a </w:t>
      </w:r>
      <w:proofErr w:type="spellStart"/>
      <w:r w:rsidRPr="5EB7100A" w:rsidR="5EB7100A">
        <w:rPr>
          <w:rFonts w:ascii="Verdana" w:hAnsi="Verdana" w:eastAsia="Verdana" w:cs="Verdana"/>
          <w:b w:val="1"/>
          <w:bCs w:val="1"/>
          <w:sz w:val="18"/>
          <w:szCs w:val="18"/>
          <w:u w:val="single"/>
        </w:rPr>
        <w:t>community</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setting</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Cochrane</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Database</w:t>
      </w:r>
      <w:proofErr w:type="spellEnd"/>
      <w:r w:rsidRPr="5EB7100A" w:rsidR="5EB7100A">
        <w:rPr>
          <w:rFonts w:ascii="Verdana" w:hAnsi="Verdana" w:eastAsia="Verdana" w:cs="Verdana"/>
          <w:b w:val="1"/>
          <w:bCs w:val="1"/>
          <w:sz w:val="18"/>
          <w:szCs w:val="18"/>
          <w:u w:val="single"/>
        </w:rPr>
        <w:t xml:space="preserve"> of </w:t>
      </w:r>
      <w:proofErr w:type="spellStart"/>
      <w:r w:rsidRPr="5EB7100A" w:rsidR="5EB7100A">
        <w:rPr>
          <w:rFonts w:ascii="Verdana" w:hAnsi="Verdana" w:eastAsia="Verdana" w:cs="Verdana"/>
          <w:b w:val="1"/>
          <w:bCs w:val="1"/>
          <w:sz w:val="18"/>
          <w:szCs w:val="18"/>
          <w:u w:val="single"/>
        </w:rPr>
        <w:t>Systematic</w:t>
      </w:r>
      <w:proofErr w:type="spellEnd"/>
      <w:r w:rsidRPr="5EB7100A" w:rsidR="5EB7100A">
        <w:rPr>
          <w:rFonts w:ascii="Verdana" w:hAnsi="Verdana" w:eastAsia="Verdana" w:cs="Verdana"/>
          <w:b w:val="1"/>
          <w:bCs w:val="1"/>
          <w:sz w:val="18"/>
          <w:szCs w:val="18"/>
          <w:u w:val="single"/>
        </w:rPr>
        <w:t xml:space="preserve"> </w:t>
      </w:r>
      <w:proofErr w:type="spellStart"/>
      <w:r w:rsidRPr="5EB7100A" w:rsidR="5EB7100A">
        <w:rPr>
          <w:rFonts w:ascii="Verdana" w:hAnsi="Verdana" w:eastAsia="Verdana" w:cs="Verdana"/>
          <w:b w:val="1"/>
          <w:bCs w:val="1"/>
          <w:sz w:val="18"/>
          <w:szCs w:val="18"/>
          <w:u w:val="single"/>
        </w:rPr>
        <w:t>Reviews</w:t>
      </w:r>
      <w:proofErr w:type="spellEnd"/>
      <w:r w:rsidRPr="5EB7100A" w:rsidR="5EB7100A">
        <w:rPr>
          <w:rFonts w:ascii="Verdana" w:hAnsi="Verdana" w:eastAsia="Verdana" w:cs="Verdana"/>
          <w:b w:val="1"/>
          <w:bCs w:val="1"/>
          <w:sz w:val="18"/>
          <w:szCs w:val="18"/>
          <w:u w:val="single"/>
        </w:rPr>
        <w:t xml:space="preserve"> 2015, </w:t>
      </w:r>
      <w:proofErr w:type="spellStart"/>
      <w:r w:rsidRPr="5EB7100A" w:rsidR="5EB7100A">
        <w:rPr>
          <w:rFonts w:ascii="Verdana" w:hAnsi="Verdana" w:eastAsia="Verdana" w:cs="Verdana"/>
          <w:b w:val="1"/>
          <w:bCs w:val="1"/>
          <w:sz w:val="18"/>
          <w:szCs w:val="18"/>
          <w:u w:val="single"/>
        </w:rPr>
        <w:t>Issue</w:t>
      </w:r>
      <w:proofErr w:type="spellEnd"/>
      <w:r w:rsidRPr="5EB7100A" w:rsidR="5EB7100A">
        <w:rPr>
          <w:rFonts w:ascii="Verdana" w:hAnsi="Verdana" w:eastAsia="Verdana" w:cs="Verdana"/>
          <w:b w:val="1"/>
          <w:bCs w:val="1"/>
          <w:sz w:val="18"/>
          <w:szCs w:val="18"/>
          <w:u w:val="single"/>
        </w:rPr>
        <w:t xml:space="preserve"> 2.</w:t>
      </w:r>
    </w:p>
    <w:p w:rsidR="7ABC7D88" w:rsidP="7ABC7D88" w:rsidRDefault="7ABC7D88" w14:noSpellErr="1" w14:paraId="283B9AD6" w14:textId="23CEE997">
      <w:pPr>
        <w:pStyle w:val="Normaallaad"/>
        <w:jc w:val="both"/>
      </w:pPr>
      <w:r w:rsidRPr="7ABC7D88" w:rsidR="7ABC7D88">
        <w:rPr>
          <w:rFonts w:ascii="Verdana" w:hAnsi="Verdana" w:eastAsia="Verdana" w:cs="Verdana"/>
          <w:sz w:val="18"/>
          <w:szCs w:val="18"/>
        </w:rPr>
        <w:t>AMSTAR: 11/11</w:t>
      </w:r>
    </w:p>
    <w:p w:rsidR="7ABC7D88" w:rsidP="7ABC7D88" w:rsidRDefault="7ABC7D88" w14:paraId="687D5A05" w14:textId="19F9C871">
      <w:pPr>
        <w:pStyle w:val="Normaallaad"/>
        <w:jc w:val="both"/>
      </w:pPr>
      <w:r w:rsidRPr="7ABC7D88" w:rsidR="7ABC7D88">
        <w:rPr>
          <w:rFonts w:ascii="Verdana" w:hAnsi="Verdana" w:eastAsia="Verdana" w:cs="Verdana"/>
          <w:sz w:val="18"/>
          <w:szCs w:val="18"/>
        </w:rPr>
        <w:t>Süstemaatiline ülevaade, mis hindab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skriiningtesti </w:t>
      </w:r>
      <w:proofErr w:type="spellStart"/>
      <w:r w:rsidRPr="7ABC7D88" w:rsidR="7ABC7D88">
        <w:rPr>
          <w:rFonts w:ascii="Verdana" w:hAnsi="Verdana" w:eastAsia="Verdana" w:cs="Verdana"/>
          <w:sz w:val="18"/>
          <w:szCs w:val="18"/>
        </w:rPr>
        <w:t>ALzheimeri</w:t>
      </w:r>
      <w:proofErr w:type="spellEnd"/>
      <w:r w:rsidRPr="7ABC7D88" w:rsidR="7ABC7D88">
        <w:rPr>
          <w:rFonts w:ascii="Verdana" w:hAnsi="Verdana" w:eastAsia="Verdana" w:cs="Verdana"/>
          <w:sz w:val="18"/>
          <w:szCs w:val="18"/>
        </w:rPr>
        <w:t xml:space="preserve"> tõve ja teiste dementsuste diagnostikas.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testis uuritakse patsiendi võimet meenutada 3 sõna ja joonistada kella. </w:t>
      </w:r>
      <w:r w:rsidRPr="7ABC7D88" w:rsidR="7ABC7D88">
        <w:rPr>
          <w:rFonts w:ascii="Verdana" w:hAnsi="Verdana" w:eastAsia="Verdana" w:cs="Verdana"/>
          <w:sz w:val="18"/>
          <w:szCs w:val="18"/>
        </w:rPr>
        <w:t>3 uuringut vastas kriteeriumitele, kokku 1620 patsienti. Sensitiivsus 3 uuringus eraldi: 0.</w:t>
      </w:r>
      <w:r w:rsidRPr="7ABC7D88" w:rsidR="7ABC7D88">
        <w:rPr>
          <w:rFonts w:ascii="Verdana" w:hAnsi="Verdana" w:eastAsia="Verdana" w:cs="Verdana"/>
          <w:sz w:val="18"/>
          <w:szCs w:val="18"/>
        </w:rPr>
        <w:t>99, 0.</w:t>
      </w:r>
      <w:r w:rsidRPr="7ABC7D88" w:rsidR="7ABC7D88">
        <w:rPr>
          <w:rFonts w:ascii="Verdana" w:hAnsi="Verdana" w:eastAsia="Verdana" w:cs="Verdana"/>
          <w:sz w:val="18"/>
          <w:szCs w:val="18"/>
        </w:rPr>
        <w:t>76, 0.</w:t>
      </w:r>
      <w:r w:rsidRPr="7ABC7D88" w:rsidR="7ABC7D88">
        <w:rPr>
          <w:rFonts w:ascii="Verdana" w:hAnsi="Verdana" w:eastAsia="Verdana" w:cs="Verdana"/>
          <w:sz w:val="18"/>
          <w:szCs w:val="18"/>
        </w:rPr>
        <w:t>99 ja spetsiifilisus: 0.93, 0.89, 0.83. 3 uuringut olid väga</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heterogeensed. Kuna uuringuid on vähe, siis on raske teha soovitusi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skriinigtesti</w:t>
      </w:r>
      <w:proofErr w:type="spellEnd"/>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kasutamise</w:t>
      </w:r>
      <w:r w:rsidRPr="7ABC7D88" w:rsidR="7ABC7D88">
        <w:rPr>
          <w:rFonts w:ascii="Verdana" w:hAnsi="Verdana" w:eastAsia="Verdana" w:cs="Verdana"/>
          <w:sz w:val="18"/>
          <w:szCs w:val="18"/>
        </w:rPr>
        <w:t xml:space="preserve"> poolt kui ka vastu. Vajalikud on täpsemad uuringud.  </w:t>
      </w:r>
    </w:p>
    <w:p w:rsidR="7ABC7D88" w:rsidP="7ABC7D88" w:rsidRDefault="7ABC7D88" w14:paraId="4F03C7A7" w14:textId="7713263E">
      <w:pPr>
        <w:jc w:val="both"/>
      </w:pPr>
      <w:r w:rsidRPr="7ABC7D88" w:rsidR="7ABC7D88">
        <w:rPr>
          <w:rFonts w:ascii="Verdana" w:hAnsi="Verdana" w:eastAsia="Verdana" w:cs="Verdana"/>
          <w:b w:val="1"/>
          <w:bCs w:val="1"/>
          <w:sz w:val="18"/>
          <w:szCs w:val="18"/>
          <w:u w:val="single"/>
        </w:rPr>
        <w:t>8.</w:t>
      </w:r>
      <w:r w:rsidRPr="7ABC7D88" w:rsidR="7ABC7D88">
        <w:rPr>
          <w:rFonts w:ascii="Verdana" w:hAnsi="Verdana" w:eastAsia="Verdana" w:cs="Verdana"/>
          <w:b w:val="1"/>
          <w:bCs w:val="1"/>
          <w:sz w:val="18"/>
          <w:szCs w:val="18"/>
          <w:u w:val="single"/>
        </w:rPr>
        <w:t xml:space="preserve">Malaz </w:t>
      </w:r>
      <w:proofErr w:type="spellStart"/>
      <w:r w:rsidRPr="7ABC7D88" w:rsidR="7ABC7D88">
        <w:rPr>
          <w:rFonts w:ascii="Verdana" w:hAnsi="Verdana" w:eastAsia="Verdana" w:cs="Verdana"/>
          <w:b w:val="1"/>
          <w:bCs w:val="1"/>
          <w:sz w:val="18"/>
          <w:szCs w:val="18"/>
          <w:u w:val="single"/>
        </w:rPr>
        <w:t>Boustani</w:t>
      </w:r>
      <w:proofErr w:type="spellEnd"/>
      <w:r w:rsidRPr="7ABC7D88" w:rsidR="7ABC7D88">
        <w:rPr>
          <w:rFonts w:ascii="Verdana" w:hAnsi="Verdana" w:eastAsia="Verdana" w:cs="Verdana"/>
          <w:b w:val="1"/>
          <w:bCs w:val="1"/>
          <w:sz w:val="18"/>
          <w:szCs w:val="18"/>
          <w:u w:val="single"/>
        </w:rPr>
        <w:t xml:space="preserve">, et </w:t>
      </w:r>
      <w:proofErr w:type="spellStart"/>
      <w:r w:rsidRPr="7ABC7D88" w:rsidR="7ABC7D88">
        <w:rPr>
          <w:rFonts w:ascii="Verdana" w:hAnsi="Verdana" w:eastAsia="Verdana" w:cs="Verdana"/>
          <w:b w:val="1"/>
          <w:bCs w:val="1"/>
          <w:sz w:val="18"/>
          <w:szCs w:val="18"/>
          <w:u w:val="single"/>
        </w:rPr>
        <w:t>al</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Screening</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Dementia</w:t>
      </w:r>
      <w:proofErr w:type="spellEnd"/>
      <w:r w:rsidRPr="7ABC7D88" w:rsidR="7ABC7D88">
        <w:rPr>
          <w:rFonts w:ascii="Verdana" w:hAnsi="Verdana" w:eastAsia="Verdana" w:cs="Verdana"/>
          <w:b w:val="1"/>
          <w:bCs w:val="1"/>
          <w:sz w:val="18"/>
          <w:szCs w:val="18"/>
          <w:u w:val="single"/>
        </w:rPr>
        <w:t xml:space="preserve"> in </w:t>
      </w:r>
      <w:proofErr w:type="spellStart"/>
      <w:r w:rsidRPr="7ABC7D88" w:rsidR="7ABC7D88">
        <w:rPr>
          <w:rFonts w:ascii="Verdana" w:hAnsi="Verdana" w:eastAsia="Verdana" w:cs="Verdana"/>
          <w:b w:val="1"/>
          <w:bCs w:val="1"/>
          <w:sz w:val="18"/>
          <w:szCs w:val="18"/>
          <w:u w:val="single"/>
        </w:rPr>
        <w:t>Primary</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Care</w:t>
      </w:r>
      <w:proofErr w:type="spellEnd"/>
      <w:r w:rsidRPr="7ABC7D88" w:rsidR="7ABC7D88">
        <w:rPr>
          <w:rFonts w:ascii="Verdana" w:hAnsi="Verdana" w:eastAsia="Verdana" w:cs="Verdana"/>
          <w:b w:val="1"/>
          <w:bCs w:val="1"/>
          <w:sz w:val="18"/>
          <w:szCs w:val="18"/>
          <w:u w:val="single"/>
        </w:rPr>
        <w:t xml:space="preserve">: A </w:t>
      </w:r>
      <w:proofErr w:type="spellStart"/>
      <w:r w:rsidRPr="7ABC7D88" w:rsidR="7ABC7D88">
        <w:rPr>
          <w:rFonts w:ascii="Verdana" w:hAnsi="Verdana" w:eastAsia="Verdana" w:cs="Verdana"/>
          <w:b w:val="1"/>
          <w:bCs w:val="1"/>
          <w:sz w:val="18"/>
          <w:szCs w:val="18"/>
          <w:u w:val="single"/>
        </w:rPr>
        <w:t>Summary</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Evidence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U.S. </w:t>
      </w:r>
      <w:proofErr w:type="spellStart"/>
      <w:r w:rsidRPr="7ABC7D88" w:rsidR="7ABC7D88">
        <w:rPr>
          <w:rFonts w:ascii="Verdana" w:hAnsi="Verdana" w:eastAsia="Verdana" w:cs="Verdana"/>
          <w:b w:val="1"/>
          <w:bCs w:val="1"/>
          <w:sz w:val="18"/>
          <w:szCs w:val="18"/>
          <w:u w:val="single"/>
        </w:rPr>
        <w:t>Preventive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Services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Task</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Force</w:t>
      </w:r>
      <w:proofErr w:type="spellEnd"/>
      <w:r w:rsidRPr="7ABC7D88" w:rsidR="7ABC7D88">
        <w:rPr>
          <w:rFonts w:ascii="Verdana" w:hAnsi="Verdana" w:eastAsia="Verdana" w:cs="Verdana"/>
          <w:b w:val="1"/>
          <w:bCs w:val="1"/>
          <w:sz w:val="18"/>
          <w:szCs w:val="18"/>
          <w:u w:val="single"/>
        </w:rPr>
        <w:t xml:space="preserve">. </w:t>
      </w:r>
      <w:r w:rsidRPr="7ABC7D88" w:rsidR="7ABC7D88">
        <w:rPr>
          <w:rFonts w:ascii="Verdana" w:hAnsi="Verdana" w:eastAsia="Verdana" w:cs="Verdana"/>
          <w:b w:val="1"/>
          <w:bCs w:val="1"/>
          <w:sz w:val="18"/>
          <w:szCs w:val="18"/>
          <w:u w:val="single"/>
        </w:rPr>
        <w:t xml:space="preserve">Ann Intern </w:t>
      </w:r>
      <w:proofErr w:type="spellStart"/>
      <w:r w:rsidRPr="7ABC7D88" w:rsidR="7ABC7D88">
        <w:rPr>
          <w:rFonts w:ascii="Verdana" w:hAnsi="Verdana" w:eastAsia="Verdana" w:cs="Verdana"/>
          <w:b w:val="1"/>
          <w:bCs w:val="1"/>
          <w:sz w:val="18"/>
          <w:szCs w:val="18"/>
          <w:u w:val="single"/>
        </w:rPr>
        <w:t>Med</w:t>
      </w:r>
      <w:proofErr w:type="spellEnd"/>
      <w:r w:rsidRPr="7ABC7D88" w:rsidR="7ABC7D88">
        <w:rPr>
          <w:rFonts w:ascii="Verdana" w:hAnsi="Verdana" w:eastAsia="Verdana" w:cs="Verdana"/>
          <w:b w:val="1"/>
          <w:bCs w:val="1"/>
          <w:sz w:val="18"/>
          <w:szCs w:val="18"/>
          <w:u w:val="single"/>
        </w:rPr>
        <w:t>. 2003;138:927-937</w:t>
      </w:r>
    </w:p>
    <w:p w:rsidR="7ABC7D88" w:rsidP="7ABC7D88" w:rsidRDefault="7ABC7D88" w14:noSpellErr="1" w14:paraId="0411B2D7" w14:textId="0F5DA18D">
      <w:pPr>
        <w:pStyle w:val="Normaallaad"/>
        <w:jc w:val="both"/>
      </w:pPr>
      <w:r w:rsidRPr="7ABC7D88" w:rsidR="7ABC7D88">
        <w:rPr>
          <w:rFonts w:ascii="Verdana" w:hAnsi="Verdana" w:eastAsia="Verdana" w:cs="Verdana"/>
          <w:b w:val="0"/>
          <w:bCs w:val="0"/>
          <w:sz w:val="18"/>
          <w:szCs w:val="18"/>
          <w:u w:val="none"/>
        </w:rPr>
        <w:t>AMSTAR:</w:t>
      </w:r>
      <w:r w:rsidRPr="7ABC7D88" w:rsidR="7ABC7D88">
        <w:rPr>
          <w:rFonts w:ascii="Verdana" w:hAnsi="Verdana" w:eastAsia="Verdana" w:cs="Verdana"/>
          <w:b w:val="0"/>
          <w:bCs w:val="0"/>
          <w:sz w:val="18"/>
          <w:szCs w:val="18"/>
          <w:u w:val="none"/>
        </w:rPr>
        <w:t xml:space="preserve"> 9</w:t>
      </w:r>
      <w:r w:rsidRPr="7ABC7D88" w:rsidR="7ABC7D88">
        <w:rPr>
          <w:rFonts w:ascii="Verdana" w:hAnsi="Verdana" w:eastAsia="Verdana" w:cs="Verdana"/>
          <w:b w:val="0"/>
          <w:bCs w:val="0"/>
          <w:sz w:val="18"/>
          <w:szCs w:val="18"/>
          <w:u w:val="none"/>
        </w:rPr>
        <w:t>/11</w:t>
      </w:r>
    </w:p>
    <w:p w:rsidR="7ABC7D88" w:rsidP="7ABC7D88" w:rsidRDefault="7ABC7D88" w14:noSpellErr="1" w14:paraId="49505137" w14:textId="421A64B1">
      <w:pPr>
        <w:pStyle w:val="Normaallaad"/>
        <w:jc w:val="both"/>
      </w:pPr>
      <w:r w:rsidRPr="7ABC7D88" w:rsidR="7ABC7D88">
        <w:rPr>
          <w:rFonts w:ascii="Verdana" w:hAnsi="Verdana" w:eastAsia="Verdana" w:cs="Verdana"/>
          <w:b w:val="0"/>
          <w:bCs w:val="0"/>
          <w:sz w:val="18"/>
          <w:szCs w:val="18"/>
          <w:u w:val="none"/>
        </w:rPr>
        <w:t>Ainult rutiinne anamnees ja kliiniline uurimine ei anna piisavalt alust diagnoosimaks dement</w:t>
      </w:r>
      <w:r w:rsidRPr="7ABC7D88" w:rsidR="7ABC7D88">
        <w:rPr>
          <w:rFonts w:ascii="Verdana" w:hAnsi="Verdana" w:eastAsia="Verdana" w:cs="Verdana"/>
          <w:b w:val="0"/>
          <w:bCs w:val="0"/>
          <w:sz w:val="18"/>
          <w:szCs w:val="18"/>
          <w:u w:val="none"/>
        </w:rPr>
        <w:t>s</w:t>
      </w:r>
      <w:r w:rsidRPr="7ABC7D88" w:rsidR="7ABC7D88">
        <w:rPr>
          <w:rFonts w:ascii="Verdana" w:hAnsi="Verdana" w:eastAsia="Verdana" w:cs="Verdana"/>
          <w:b w:val="0"/>
          <w:bCs w:val="0"/>
          <w:sz w:val="18"/>
          <w:szCs w:val="18"/>
          <w:u w:val="none"/>
        </w:rPr>
        <w:t xml:space="preserve">ust. Üle 50% patsientidest kerge kuni mõõduka dementsusega jäävad diagnoosimata. Seetõttu on skriiningtestid olulised: varasem diagnoos ja ravi. </w:t>
      </w:r>
    </w:p>
    <w:p w:rsidR="7ABC7D88" w:rsidP="7ABC7D88" w:rsidRDefault="7ABC7D88" w14:noSpellErr="1" w14:paraId="233FD3D9" w14:textId="5C8F1A60">
      <w:pPr>
        <w:jc w:val="both"/>
      </w:pPr>
      <w:r w:rsidRPr="7ABC7D88" w:rsidR="7ABC7D88">
        <w:rPr>
          <w:rFonts w:ascii="Verdana" w:hAnsi="Verdana" w:eastAsia="Verdana" w:cs="Verdana"/>
          <w:sz w:val="18"/>
          <w:szCs w:val="18"/>
        </w:rPr>
        <w:t xml:space="preserve">MMSE sensitiivsus 71-92%, spetsiifilises 56-96%. On kõige paremini uuritud </w:t>
      </w:r>
      <w:r w:rsidRPr="7ABC7D88" w:rsidR="7ABC7D88">
        <w:rPr>
          <w:rFonts w:ascii="Verdana" w:hAnsi="Verdana" w:eastAsia="Verdana" w:cs="Verdana"/>
          <w:sz w:val="18"/>
          <w:szCs w:val="18"/>
        </w:rPr>
        <w:t>skriiningtest</w:t>
      </w:r>
      <w:r w:rsidRPr="7ABC7D88" w:rsidR="7ABC7D88">
        <w:rPr>
          <w:rFonts w:ascii="Verdana" w:hAnsi="Verdana" w:eastAsia="Verdana" w:cs="Verdana"/>
          <w:sz w:val="18"/>
          <w:szCs w:val="18"/>
        </w:rPr>
        <w:t xml:space="preserve">, kuid sellel on ka negatiivseid </w:t>
      </w:r>
      <w:r w:rsidRPr="7ABC7D88" w:rsidR="7ABC7D88">
        <w:rPr>
          <w:rFonts w:ascii="Verdana" w:hAnsi="Verdana" w:eastAsia="Verdana" w:cs="Verdana"/>
          <w:sz w:val="18"/>
          <w:szCs w:val="18"/>
        </w:rPr>
        <w:t>külgi.</w:t>
      </w:r>
      <w:r w:rsidRPr="7ABC7D88" w:rsidR="7ABC7D88">
        <w:rPr>
          <w:rFonts w:ascii="Verdana" w:hAnsi="Verdana" w:eastAsia="Verdana" w:cs="Verdana"/>
          <w:sz w:val="18"/>
          <w:szCs w:val="18"/>
        </w:rPr>
        <w:t xml:space="preserve"> </w:t>
      </w:r>
      <w:r w:rsidRPr="7ABC7D88" w:rsidR="7ABC7D88">
        <w:rPr>
          <w:rFonts w:ascii="Verdana" w:hAnsi="Verdana" w:eastAsia="Verdana" w:cs="Verdana"/>
          <w:sz w:val="18"/>
          <w:szCs w:val="18"/>
        </w:rPr>
        <w:t xml:space="preserve">On kritiseeritud, kuna haridustase ja rahvus mõjutab tulemust. Kõige paremini sobib valgele rassile, inimestele, kellel on vähemalt keskkooliharidus. </w:t>
      </w:r>
    </w:p>
    <w:p w:rsidR="7ABC7D88" w:rsidP="7ABC7D88" w:rsidRDefault="7ABC7D88" w14:paraId="14488554" w14:textId="60A5BBDC">
      <w:pPr>
        <w:pStyle w:val="Normaallaad"/>
        <w:jc w:val="both"/>
      </w:pPr>
      <w:r w:rsidRPr="7ABC7D88" w:rsidR="7ABC7D88">
        <w:rPr>
          <w:rFonts w:ascii="Verdana" w:hAnsi="Verdana" w:eastAsia="Verdana" w:cs="Verdana"/>
          <w:b w:val="1"/>
          <w:bCs w:val="1"/>
          <w:sz w:val="18"/>
          <w:szCs w:val="18"/>
          <w:u w:val="single"/>
        </w:rPr>
        <w:t xml:space="preserve">9.Pinto </w:t>
      </w:r>
      <w:proofErr w:type="spellStart"/>
      <w:r w:rsidRPr="7ABC7D88" w:rsidR="7ABC7D88">
        <w:rPr>
          <w:rFonts w:ascii="Verdana" w:hAnsi="Verdana" w:eastAsia="Verdana" w:cs="Verdana"/>
          <w:b w:val="1"/>
          <w:bCs w:val="1"/>
          <w:sz w:val="18"/>
          <w:szCs w:val="18"/>
          <w:u w:val="single"/>
        </w:rPr>
        <w:t>el</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al</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Literature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Review</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Clock</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Drawing</w:t>
      </w:r>
      <w:proofErr w:type="spellEnd"/>
      <w:r w:rsidRPr="7ABC7D88" w:rsidR="7ABC7D88">
        <w:rPr>
          <w:rFonts w:ascii="Verdana" w:hAnsi="Verdana" w:eastAsia="Verdana" w:cs="Verdana"/>
          <w:b w:val="1"/>
          <w:bCs w:val="1"/>
          <w:sz w:val="18"/>
          <w:szCs w:val="18"/>
          <w:u w:val="single"/>
        </w:rPr>
        <w:t xml:space="preserve"> Test </w:t>
      </w:r>
      <w:proofErr w:type="spellStart"/>
      <w:r w:rsidRPr="7ABC7D88" w:rsidR="7ABC7D88">
        <w:rPr>
          <w:rFonts w:ascii="Verdana" w:hAnsi="Verdana" w:eastAsia="Verdana" w:cs="Verdana"/>
          <w:b w:val="1"/>
          <w:bCs w:val="1"/>
          <w:sz w:val="18"/>
          <w:szCs w:val="18"/>
          <w:u w:val="single"/>
        </w:rPr>
        <w:t>as</w:t>
      </w:r>
      <w:proofErr w:type="spellEnd"/>
      <w:r w:rsidRPr="7ABC7D88" w:rsidR="7ABC7D88">
        <w:rPr>
          <w:rFonts w:ascii="Verdana" w:hAnsi="Verdana" w:eastAsia="Verdana" w:cs="Verdana"/>
          <w:b w:val="1"/>
          <w:bCs w:val="1"/>
          <w:sz w:val="18"/>
          <w:szCs w:val="18"/>
          <w:u w:val="single"/>
        </w:rPr>
        <w:t xml:space="preserve"> a Tool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Cognitive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Screening</w:t>
      </w:r>
      <w:r w:rsidRPr="7ABC7D88" w:rsidR="7ABC7D88">
        <w:rPr>
          <w:rFonts w:ascii="Verdana" w:hAnsi="Verdana" w:eastAsia="Verdana" w:cs="Verdana"/>
          <w:b w:val="1"/>
          <w:bCs w:val="1"/>
          <w:sz w:val="18"/>
          <w:szCs w:val="18"/>
          <w:u w:val="single"/>
        </w:rPr>
        <w:t>Dement</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Geriatr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Cogn</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Disord</w:t>
      </w:r>
      <w:proofErr w:type="spellEnd"/>
      <w:r w:rsidRPr="7ABC7D88" w:rsidR="7ABC7D88">
        <w:rPr>
          <w:rFonts w:ascii="Verdana" w:hAnsi="Verdana" w:eastAsia="Verdana" w:cs="Verdana"/>
          <w:b w:val="1"/>
          <w:bCs w:val="1"/>
          <w:sz w:val="18"/>
          <w:szCs w:val="18"/>
          <w:u w:val="single"/>
        </w:rPr>
        <w:t xml:space="preserve"> 2009;27:201–21</w:t>
      </w:r>
      <w:r w:rsidRPr="7ABC7D88" w:rsidR="7ABC7D88">
        <w:rPr>
          <w:rFonts w:ascii="Verdana" w:hAnsi="Verdana" w:eastAsia="Verdana" w:cs="Verdana"/>
          <w:sz w:val="18"/>
          <w:szCs w:val="18"/>
        </w:rPr>
        <w:t>3</w:t>
      </w:r>
    </w:p>
    <w:p w:rsidR="7ABC7D88" w:rsidP="7ABC7D88" w:rsidRDefault="7ABC7D88" w14:noSpellErr="1" w14:paraId="4E596684" w14:textId="4A31A83A">
      <w:pPr>
        <w:pStyle w:val="Normaallaad"/>
        <w:jc w:val="both"/>
      </w:pPr>
      <w:r w:rsidRPr="7ABC7D88" w:rsidR="7ABC7D88">
        <w:rPr>
          <w:rFonts w:ascii="Verdana" w:hAnsi="Verdana" w:eastAsia="Verdana" w:cs="Verdana"/>
          <w:sz w:val="18"/>
          <w:szCs w:val="18"/>
        </w:rPr>
        <w:t>AMSTAR: 8/11</w:t>
      </w:r>
    </w:p>
    <w:p w:rsidR="7ABC7D88" w:rsidP="7ABC7D88" w:rsidRDefault="7ABC7D88" w14:paraId="0807DE21" w14:textId="5D9B699E">
      <w:pPr>
        <w:pStyle w:val="Normaallaad"/>
        <w:jc w:val="both"/>
      </w:pPr>
      <w:r w:rsidRPr="7ABC7D88" w:rsidR="7ABC7D88">
        <w:rPr>
          <w:rFonts w:ascii="Verdana" w:hAnsi="Verdana" w:eastAsia="Verdana" w:cs="Verdana"/>
          <w:sz w:val="18"/>
          <w:szCs w:val="18"/>
        </w:rPr>
        <w:t xml:space="preserve">Süstemaatiline ülevaade, mis vaatleb kellatesti, kui kognitiivset skriiningtesti. 76 uuringut leitu, millest sobisid 41. Kiire test, mille tulemused </w:t>
      </w:r>
      <w:proofErr w:type="spellStart"/>
      <w:r w:rsidRPr="7ABC7D88" w:rsidR="7ABC7D88">
        <w:rPr>
          <w:rFonts w:ascii="Verdana" w:hAnsi="Verdana" w:eastAsia="Verdana" w:cs="Verdana"/>
          <w:sz w:val="18"/>
          <w:szCs w:val="18"/>
        </w:rPr>
        <w:t>korrelleerusid</w:t>
      </w:r>
      <w:proofErr w:type="spellEnd"/>
      <w:r w:rsidRPr="7ABC7D88" w:rsidR="7ABC7D88">
        <w:rPr>
          <w:rFonts w:ascii="Verdana" w:hAnsi="Verdana" w:eastAsia="Verdana" w:cs="Verdana"/>
          <w:sz w:val="18"/>
          <w:szCs w:val="18"/>
        </w:rPr>
        <w:t xml:space="preserve"> MMSE tulemustega. Negatiivne on see, et tulemused varieeruvad, kuna erinevad uurijad hindavad testi erinevalt. Keel ja haridustase mõjutavad tulemust. Kõrge haridustasemega haiged – test võib olla liiga lihtne. Seetõtt soovitatakse mõõduka ja raske dementsuse </w:t>
      </w:r>
      <w:proofErr w:type="spellStart"/>
      <w:r w:rsidRPr="7ABC7D88" w:rsidR="7ABC7D88">
        <w:rPr>
          <w:rFonts w:ascii="Verdana" w:hAnsi="Verdana" w:eastAsia="Verdana" w:cs="Verdana"/>
          <w:sz w:val="18"/>
          <w:szCs w:val="18"/>
        </w:rPr>
        <w:t>skriinimiseks</w:t>
      </w:r>
      <w:proofErr w:type="spellEnd"/>
      <w:r w:rsidRPr="7ABC7D88" w:rsidR="7ABC7D88">
        <w:rPr>
          <w:rFonts w:ascii="Verdana" w:hAnsi="Verdana" w:eastAsia="Verdana" w:cs="Verdana"/>
          <w:sz w:val="18"/>
          <w:szCs w:val="18"/>
        </w:rPr>
        <w:t xml:space="preserve">. Varase algusega dementsuse tuvastamiseks on test piiratud võimalustega. Võib kombineerida nt. </w:t>
      </w:r>
      <w:proofErr w:type="spellStart"/>
      <w:r w:rsidRPr="7ABC7D88" w:rsidR="7ABC7D88">
        <w:rPr>
          <w:rFonts w:ascii="Verdana" w:hAnsi="Verdana" w:eastAsia="Verdana" w:cs="Verdana"/>
          <w:sz w:val="18"/>
          <w:szCs w:val="18"/>
        </w:rPr>
        <w:t>MMSEga</w:t>
      </w:r>
      <w:proofErr w:type="spellEnd"/>
      <w:r w:rsidRPr="7ABC7D88" w:rsidR="7ABC7D88">
        <w:rPr>
          <w:rFonts w:ascii="Verdana" w:hAnsi="Verdana" w:eastAsia="Verdana" w:cs="Verdana"/>
          <w:sz w:val="18"/>
          <w:szCs w:val="18"/>
        </w:rPr>
        <w:t xml:space="preserve">, kui on aega. </w:t>
      </w:r>
    </w:p>
    <w:p w:rsidR="7ABC7D88" w:rsidP="7ABC7D88" w:rsidRDefault="7ABC7D88" w14:paraId="0FFE8465" w14:textId="61802D87">
      <w:pPr>
        <w:pStyle w:val="Normaallaad"/>
        <w:jc w:val="both"/>
      </w:pPr>
      <w:r w:rsidRPr="7ABC7D88" w:rsidR="7ABC7D88">
        <w:rPr>
          <w:rFonts w:ascii="Verdana" w:hAnsi="Verdana" w:eastAsia="Verdana" w:cs="Verdana"/>
          <w:b w:val="1"/>
          <w:bCs w:val="1"/>
          <w:sz w:val="18"/>
          <w:szCs w:val="18"/>
          <w:u w:val="single"/>
        </w:rPr>
        <w:t>10.</w:t>
      </w:r>
      <w:r w:rsidRPr="7ABC7D88" w:rsidR="7ABC7D88">
        <w:rPr>
          <w:rFonts w:ascii="Verdana" w:hAnsi="Verdana" w:eastAsia="Verdana" w:cs="Verdana"/>
          <w:b w:val="1"/>
          <w:bCs w:val="1"/>
          <w:sz w:val="18"/>
          <w:szCs w:val="18"/>
          <w:u w:val="single"/>
        </w:rPr>
        <w:t xml:space="preserve">Quinn TJ, </w:t>
      </w:r>
      <w:proofErr w:type="spellStart"/>
      <w:r w:rsidRPr="7ABC7D88" w:rsidR="7ABC7D88">
        <w:rPr>
          <w:rFonts w:ascii="Verdana" w:hAnsi="Verdana" w:eastAsia="Verdana" w:cs="Verdana"/>
          <w:b w:val="1"/>
          <w:bCs w:val="1"/>
          <w:sz w:val="18"/>
          <w:szCs w:val="18"/>
          <w:u w:val="single"/>
        </w:rPr>
        <w:t>Fearon</w:t>
      </w:r>
      <w:proofErr w:type="spellEnd"/>
      <w:r w:rsidRPr="7ABC7D88" w:rsidR="7ABC7D88">
        <w:rPr>
          <w:rFonts w:ascii="Verdana" w:hAnsi="Verdana" w:eastAsia="Verdana" w:cs="Verdana"/>
          <w:b w:val="1"/>
          <w:bCs w:val="1"/>
          <w:sz w:val="18"/>
          <w:szCs w:val="18"/>
          <w:u w:val="single"/>
        </w:rPr>
        <w:t xml:space="preserve"> P, </w:t>
      </w:r>
      <w:proofErr w:type="spellStart"/>
      <w:r w:rsidRPr="7ABC7D88" w:rsidR="7ABC7D88">
        <w:rPr>
          <w:rFonts w:ascii="Verdana" w:hAnsi="Verdana" w:eastAsia="Verdana" w:cs="Verdana"/>
          <w:b w:val="1"/>
          <w:bCs w:val="1"/>
          <w:sz w:val="18"/>
          <w:szCs w:val="18"/>
          <w:u w:val="single"/>
        </w:rPr>
        <w:t>Noel-Storr</w:t>
      </w:r>
      <w:proofErr w:type="spellEnd"/>
      <w:r w:rsidRPr="7ABC7D88" w:rsidR="7ABC7D88">
        <w:rPr>
          <w:rFonts w:ascii="Verdana" w:hAnsi="Verdana" w:eastAsia="Verdana" w:cs="Verdana"/>
          <w:b w:val="1"/>
          <w:bCs w:val="1"/>
          <w:sz w:val="18"/>
          <w:szCs w:val="18"/>
          <w:u w:val="single"/>
        </w:rPr>
        <w:t xml:space="preserve"> AH, </w:t>
      </w:r>
      <w:proofErr w:type="spellStart"/>
      <w:r w:rsidRPr="7ABC7D88" w:rsidR="7ABC7D88">
        <w:rPr>
          <w:rFonts w:ascii="Verdana" w:hAnsi="Verdana" w:eastAsia="Verdana" w:cs="Verdana"/>
          <w:b w:val="1"/>
          <w:bCs w:val="1"/>
          <w:sz w:val="18"/>
          <w:szCs w:val="18"/>
          <w:u w:val="single"/>
        </w:rPr>
        <w:t>Young</w:t>
      </w:r>
      <w:proofErr w:type="spellEnd"/>
      <w:r w:rsidRPr="7ABC7D88" w:rsidR="7ABC7D88">
        <w:rPr>
          <w:rFonts w:ascii="Verdana" w:hAnsi="Verdana" w:eastAsia="Verdana" w:cs="Verdana"/>
          <w:b w:val="1"/>
          <w:bCs w:val="1"/>
          <w:sz w:val="18"/>
          <w:szCs w:val="18"/>
          <w:u w:val="single"/>
        </w:rPr>
        <w:t xml:space="preserve"> C, </w:t>
      </w:r>
      <w:proofErr w:type="spellStart"/>
      <w:r w:rsidRPr="7ABC7D88" w:rsidR="7ABC7D88">
        <w:rPr>
          <w:rFonts w:ascii="Verdana" w:hAnsi="Verdana" w:eastAsia="Verdana" w:cs="Verdana"/>
          <w:b w:val="1"/>
          <w:bCs w:val="1"/>
          <w:sz w:val="18"/>
          <w:szCs w:val="18"/>
          <w:u w:val="single"/>
        </w:rPr>
        <w:t>McShane</w:t>
      </w:r>
      <w:proofErr w:type="spellEnd"/>
      <w:r w:rsidRPr="7ABC7D88" w:rsidR="7ABC7D88">
        <w:rPr>
          <w:rFonts w:ascii="Verdana" w:hAnsi="Verdana" w:eastAsia="Verdana" w:cs="Verdana"/>
          <w:b w:val="1"/>
          <w:bCs w:val="1"/>
          <w:sz w:val="18"/>
          <w:szCs w:val="18"/>
          <w:u w:val="single"/>
        </w:rPr>
        <w:t xml:space="preserve"> R, </w:t>
      </w:r>
      <w:proofErr w:type="spellStart"/>
      <w:r w:rsidRPr="7ABC7D88" w:rsidR="7ABC7D88">
        <w:rPr>
          <w:rFonts w:ascii="Verdana" w:hAnsi="Verdana" w:eastAsia="Verdana" w:cs="Verdana"/>
          <w:b w:val="1"/>
          <w:bCs w:val="1"/>
          <w:sz w:val="18"/>
          <w:szCs w:val="18"/>
          <w:u w:val="single"/>
        </w:rPr>
        <w:t>Stott</w:t>
      </w:r>
      <w:proofErr w:type="spellEnd"/>
      <w:r w:rsidRPr="7ABC7D88" w:rsidR="7ABC7D88">
        <w:rPr>
          <w:rFonts w:ascii="Verdana" w:hAnsi="Verdana" w:eastAsia="Verdana" w:cs="Verdana"/>
          <w:b w:val="1"/>
          <w:bCs w:val="1"/>
          <w:sz w:val="18"/>
          <w:szCs w:val="18"/>
          <w:u w:val="single"/>
        </w:rPr>
        <w:t xml:space="preserve"> DJ. </w:t>
      </w:r>
      <w:proofErr w:type="spellStart"/>
      <w:r w:rsidRPr="7ABC7D88" w:rsidR="7ABC7D88">
        <w:rPr>
          <w:rFonts w:ascii="Verdana" w:hAnsi="Verdana" w:eastAsia="Verdana" w:cs="Verdana"/>
          <w:b w:val="1"/>
          <w:bCs w:val="1"/>
          <w:sz w:val="18"/>
          <w:szCs w:val="18"/>
          <w:u w:val="single"/>
        </w:rPr>
        <w:t>Informant</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Questionnaire</w:t>
      </w:r>
      <w:proofErr w:type="spellEnd"/>
      <w:r w:rsidRPr="7ABC7D88" w:rsidR="7ABC7D88">
        <w:rPr>
          <w:rFonts w:ascii="Verdana" w:hAnsi="Verdana" w:eastAsia="Verdana" w:cs="Verdana"/>
          <w:b w:val="1"/>
          <w:bCs w:val="1"/>
          <w:sz w:val="18"/>
          <w:szCs w:val="18"/>
          <w:u w:val="single"/>
        </w:rPr>
        <w:t xml:space="preserve"> on </w:t>
      </w:r>
      <w:proofErr w:type="spellStart"/>
      <w:r w:rsidRPr="7ABC7D88" w:rsidR="7ABC7D88">
        <w:rPr>
          <w:rFonts w:ascii="Verdana" w:hAnsi="Verdana" w:eastAsia="Verdana" w:cs="Verdana"/>
          <w:b w:val="1"/>
          <w:bCs w:val="1"/>
          <w:sz w:val="18"/>
          <w:szCs w:val="18"/>
          <w:u w:val="single"/>
        </w:rPr>
        <w:t>Cognitive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Decline</w:t>
      </w:r>
      <w:proofErr w:type="spellEnd"/>
      <w:r w:rsidRPr="7ABC7D88" w:rsidR="7ABC7D88">
        <w:rPr>
          <w:rFonts w:ascii="Verdana" w:hAnsi="Verdana" w:eastAsia="Verdana" w:cs="Verdana"/>
          <w:b w:val="1"/>
          <w:bCs w:val="1"/>
          <w:sz w:val="18"/>
          <w:szCs w:val="18"/>
          <w:u w:val="single"/>
        </w:rPr>
        <w:t xml:space="preserve"> in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Elderly</w:t>
      </w:r>
      <w:proofErr w:type="spellEnd"/>
      <w:r w:rsidRPr="7ABC7D88" w:rsidR="7ABC7D88">
        <w:rPr>
          <w:rFonts w:ascii="Verdana" w:hAnsi="Verdana" w:eastAsia="Verdana" w:cs="Verdana"/>
          <w:b w:val="1"/>
          <w:bCs w:val="1"/>
          <w:sz w:val="18"/>
          <w:szCs w:val="18"/>
          <w:u w:val="single"/>
        </w:rPr>
        <w:t xml:space="preserve"> (IQCODE) </w:t>
      </w:r>
      <w:proofErr w:type="spellStart"/>
      <w:r w:rsidRPr="7ABC7D88" w:rsidR="7ABC7D88">
        <w:rPr>
          <w:rFonts w:ascii="Verdana" w:hAnsi="Verdana" w:eastAsia="Verdana" w:cs="Verdana"/>
          <w:b w:val="1"/>
          <w:bCs w:val="1"/>
          <w:sz w:val="18"/>
          <w:szCs w:val="18"/>
          <w:u w:val="single"/>
        </w:rPr>
        <w:t>for</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the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diagnosis</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dementia</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within</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community</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dwelling</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populations</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Cochrane</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Database</w:t>
      </w:r>
      <w:proofErr w:type="spellEnd"/>
      <w:r w:rsidRPr="7ABC7D88" w:rsidR="7ABC7D88">
        <w:rPr>
          <w:rFonts w:ascii="Verdana" w:hAnsi="Verdana" w:eastAsia="Verdana" w:cs="Verdana"/>
          <w:b w:val="1"/>
          <w:bCs w:val="1"/>
          <w:sz w:val="18"/>
          <w:szCs w:val="18"/>
          <w:u w:val="single"/>
        </w:rPr>
        <w:t xml:space="preserve"> of </w:t>
      </w:r>
      <w:proofErr w:type="spellStart"/>
      <w:r w:rsidRPr="7ABC7D88" w:rsidR="7ABC7D88">
        <w:rPr>
          <w:rFonts w:ascii="Verdana" w:hAnsi="Verdana" w:eastAsia="Verdana" w:cs="Verdana"/>
          <w:b w:val="1"/>
          <w:bCs w:val="1"/>
          <w:sz w:val="18"/>
          <w:szCs w:val="18"/>
          <w:u w:val="single"/>
        </w:rPr>
        <w:t>Systematic</w:t>
      </w:r>
      <w:proofErr w:type="spellEnd"/>
      <w:r w:rsidRPr="7ABC7D88" w:rsidR="7ABC7D88">
        <w:rPr>
          <w:rFonts w:ascii="Verdana" w:hAnsi="Verdana" w:eastAsia="Verdana" w:cs="Verdana"/>
          <w:b w:val="1"/>
          <w:bCs w:val="1"/>
          <w:sz w:val="18"/>
          <w:szCs w:val="18"/>
          <w:u w:val="single"/>
        </w:rPr>
        <w:t xml:space="preserve"> </w:t>
      </w:r>
      <w:proofErr w:type="spellStart"/>
      <w:r w:rsidRPr="7ABC7D88" w:rsidR="7ABC7D88">
        <w:rPr>
          <w:rFonts w:ascii="Verdana" w:hAnsi="Verdana" w:eastAsia="Verdana" w:cs="Verdana"/>
          <w:b w:val="1"/>
          <w:bCs w:val="1"/>
          <w:sz w:val="18"/>
          <w:szCs w:val="18"/>
          <w:u w:val="single"/>
        </w:rPr>
        <w:t>Reviews</w:t>
      </w:r>
      <w:proofErr w:type="spellEnd"/>
      <w:r w:rsidRPr="7ABC7D88" w:rsidR="7ABC7D88">
        <w:rPr>
          <w:rFonts w:ascii="Verdana" w:hAnsi="Verdana" w:eastAsia="Verdana" w:cs="Verdana"/>
          <w:b w:val="1"/>
          <w:bCs w:val="1"/>
          <w:sz w:val="18"/>
          <w:szCs w:val="18"/>
          <w:u w:val="single"/>
        </w:rPr>
        <w:t xml:space="preserve"> 2014, </w:t>
      </w:r>
      <w:proofErr w:type="spellStart"/>
      <w:r w:rsidRPr="7ABC7D88" w:rsidR="7ABC7D88">
        <w:rPr>
          <w:rFonts w:ascii="Verdana" w:hAnsi="Verdana" w:eastAsia="Verdana" w:cs="Verdana"/>
          <w:b w:val="1"/>
          <w:bCs w:val="1"/>
          <w:sz w:val="18"/>
          <w:szCs w:val="18"/>
          <w:u w:val="single"/>
        </w:rPr>
        <w:t>Issue</w:t>
      </w:r>
      <w:proofErr w:type="spellEnd"/>
      <w:r w:rsidRPr="7ABC7D88" w:rsidR="7ABC7D88">
        <w:rPr>
          <w:rFonts w:ascii="Verdana" w:hAnsi="Verdana" w:eastAsia="Verdana" w:cs="Verdana"/>
          <w:b w:val="1"/>
          <w:bCs w:val="1"/>
          <w:sz w:val="18"/>
          <w:szCs w:val="18"/>
          <w:u w:val="single"/>
        </w:rPr>
        <w:t xml:space="preserve"> 4.</w:t>
      </w:r>
    </w:p>
    <w:p w:rsidR="7ABC7D88" w:rsidP="7ABC7D88" w:rsidRDefault="7ABC7D88" w14:paraId="64DB6783" w14:textId="6005A5CB">
      <w:pPr>
        <w:pStyle w:val="Normaallaad"/>
        <w:jc w:val="both"/>
      </w:pPr>
      <w:r w:rsidRPr="7ABC7D88" w:rsidR="7ABC7D88">
        <w:rPr>
          <w:rFonts w:ascii="Verdana" w:hAnsi="Verdana" w:eastAsia="Verdana" w:cs="Verdana"/>
          <w:b w:val="0"/>
          <w:bCs w:val="0"/>
          <w:sz w:val="18"/>
          <w:szCs w:val="18"/>
          <w:u w:val="none"/>
        </w:rPr>
        <w:t xml:space="preserve">AMSTAR: Ei saa hinnata, tasuta kättesaadav vaid </w:t>
      </w:r>
      <w:proofErr w:type="spellStart"/>
      <w:r w:rsidRPr="7ABC7D88" w:rsidR="7ABC7D88">
        <w:rPr>
          <w:rFonts w:ascii="Verdana" w:hAnsi="Verdana" w:eastAsia="Verdana" w:cs="Verdana"/>
          <w:b w:val="0"/>
          <w:bCs w:val="0"/>
          <w:sz w:val="18"/>
          <w:szCs w:val="18"/>
          <w:u w:val="none"/>
        </w:rPr>
        <w:t>abstract</w:t>
      </w:r>
      <w:proofErr w:type="spellEnd"/>
    </w:p>
    <w:p w:rsidR="7ABC7D88" w:rsidP="7ABC7D88" w:rsidRDefault="7ABC7D88" w14:paraId="72C86EF2" w14:textId="4850A9DB">
      <w:pPr>
        <w:pStyle w:val="Normaallaad"/>
        <w:bidi w:val="0"/>
        <w:spacing w:before="0" w:beforeAutospacing="off" w:after="160" w:afterAutospacing="off" w:line="259" w:lineRule="auto"/>
        <w:ind w:left="0" w:right="0"/>
        <w:jc w:val="both"/>
      </w:pPr>
      <w:r w:rsidRPr="7ABC7D88" w:rsidR="7ABC7D88">
        <w:rPr>
          <w:rFonts w:ascii="Verdana" w:hAnsi="Verdana" w:eastAsia="Verdana" w:cs="Verdana"/>
          <w:b w:val="0"/>
          <w:bCs w:val="0"/>
          <w:sz w:val="18"/>
          <w:szCs w:val="18"/>
          <w:u w:val="none"/>
        </w:rPr>
        <w:t xml:space="preserve">Süstemaatiline ülevaade, </w:t>
      </w:r>
      <w:r w:rsidRPr="7ABC7D88" w:rsidR="7ABC7D88">
        <w:rPr>
          <w:rFonts w:ascii="Verdana" w:hAnsi="Verdana" w:eastAsia="Verdana" w:cs="Verdana"/>
          <w:b w:val="0"/>
          <w:bCs w:val="0"/>
          <w:sz w:val="18"/>
          <w:szCs w:val="18"/>
          <w:u w:val="none"/>
        </w:rPr>
        <w:t xml:space="preserve">mis </w:t>
      </w:r>
      <w:r w:rsidRPr="7ABC7D88" w:rsidR="7ABC7D88">
        <w:rPr>
          <w:rFonts w:ascii="Verdana" w:hAnsi="Verdana" w:eastAsia="Verdana" w:cs="Verdana"/>
          <w:b w:val="0"/>
          <w:bCs w:val="0"/>
          <w:sz w:val="18"/>
          <w:szCs w:val="18"/>
          <w:u w:val="none"/>
        </w:rPr>
        <w:t xml:space="preserve">hindab vanuritele </w:t>
      </w:r>
      <w:r w:rsidRPr="7ABC7D88" w:rsidR="7ABC7D88">
        <w:rPr>
          <w:rFonts w:ascii="Verdana" w:hAnsi="Verdana" w:eastAsia="Verdana" w:cs="Verdana"/>
          <w:b w:val="0"/>
          <w:bCs w:val="0"/>
          <w:sz w:val="18"/>
          <w:szCs w:val="18"/>
          <w:u w:val="none"/>
        </w:rPr>
        <w:t>mõeldud intervjuud (</w:t>
      </w:r>
      <w:proofErr w:type="spellStart"/>
      <w:r w:rsidRPr="7ABC7D88" w:rsidR="7ABC7D88">
        <w:rPr>
          <w:rFonts w:ascii="Verdana" w:hAnsi="Verdana" w:eastAsia="Verdana" w:cs="Verdana"/>
          <w:sz w:val="18"/>
          <w:szCs w:val="18"/>
        </w:rPr>
        <w:t>Informant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Questionnaire</w:t>
      </w:r>
      <w:proofErr w:type="spellEnd"/>
      <w:r w:rsidRPr="7ABC7D88" w:rsidR="7ABC7D88">
        <w:rPr>
          <w:rFonts w:ascii="Verdana" w:hAnsi="Verdana" w:eastAsia="Verdana" w:cs="Verdana"/>
          <w:sz w:val="18"/>
          <w:szCs w:val="18"/>
        </w:rPr>
        <w:t xml:space="preserve"> on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Decline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Elderly</w:t>
      </w:r>
      <w:proofErr w:type="spellEnd"/>
      <w:r w:rsidRPr="7ABC7D88" w:rsidR="7ABC7D88">
        <w:rPr>
          <w:rFonts w:ascii="Verdana" w:hAnsi="Verdana" w:eastAsia="Verdana" w:cs="Verdana"/>
          <w:sz w:val="18"/>
          <w:szCs w:val="18"/>
        </w:rPr>
        <w:t xml:space="preserve"> (IQCODE)</w:t>
      </w:r>
      <w:r w:rsidRPr="7ABC7D88" w:rsidR="7ABC7D88">
        <w:rPr>
          <w:rFonts w:ascii="Verdana" w:hAnsi="Verdana" w:eastAsia="Verdana" w:cs="Verdana"/>
          <w:sz w:val="18"/>
          <w:szCs w:val="18"/>
        </w:rPr>
        <w:t xml:space="preserve">), leidmaks </w:t>
      </w:r>
      <w:proofErr w:type="spellStart"/>
      <w:r w:rsidRPr="7ABC7D88" w:rsidR="7ABC7D88">
        <w:rPr>
          <w:rFonts w:ascii="Verdana" w:hAnsi="Verdana" w:eastAsia="Verdana" w:cs="Verdana"/>
          <w:sz w:val="18"/>
          <w:szCs w:val="18"/>
        </w:rPr>
        <w:t>kognitsiooni</w:t>
      </w:r>
      <w:proofErr w:type="spellEnd"/>
      <w:r w:rsidRPr="7ABC7D88" w:rsidR="7ABC7D88">
        <w:rPr>
          <w:rFonts w:ascii="Verdana" w:hAnsi="Verdana" w:eastAsia="Verdana" w:cs="Verdana"/>
          <w:sz w:val="18"/>
          <w:szCs w:val="18"/>
        </w:rPr>
        <w:t xml:space="preserve"> langust populatsioonis</w:t>
      </w:r>
      <w:r w:rsidRPr="7ABC7D88" w:rsidR="7ABC7D88">
        <w:rPr>
          <w:rFonts w:ascii="Verdana" w:hAnsi="Verdana" w:eastAsia="Verdana" w:cs="Verdana"/>
          <w:sz w:val="18"/>
          <w:szCs w:val="18"/>
        </w:rPr>
        <w:t xml:space="preserve">. 71 artiklit leiti, millest kaasati 10 (2644 patsienti, kellest 14% oli dementsus). Ei olnud statistilist vahet, kas kasutada 16- või 26- küsimusega küsimustikku. </w:t>
      </w:r>
      <w:r w:rsidRPr="7ABC7D88" w:rsidR="7ABC7D88">
        <w:rPr>
          <w:rFonts w:ascii="Verdana" w:hAnsi="Verdana" w:eastAsia="Verdana" w:cs="Verdana"/>
          <w:b w:val="0"/>
          <w:bCs w:val="0"/>
          <w:sz w:val="18"/>
          <w:szCs w:val="18"/>
          <w:u w:val="none"/>
        </w:rPr>
        <w:t xml:space="preserve">Uuringute vahel oli oluline heterogeensus. Soovitav kasutada 16-küsimusega testi, </w:t>
      </w:r>
      <w:r w:rsidRPr="7ABC7D88" w:rsidR="7ABC7D88">
        <w:rPr>
          <w:rFonts w:ascii="Verdana" w:hAnsi="Verdana" w:eastAsia="Verdana" w:cs="Verdana"/>
          <w:b w:val="0"/>
          <w:bCs w:val="0"/>
          <w:sz w:val="18"/>
          <w:szCs w:val="18"/>
          <w:u w:val="none"/>
        </w:rPr>
        <w:t xml:space="preserve">kuna võtab vähem aega. Ei tohiks kasutada väljaspool kliinilist konteksti, kuna tõstab valepositiivsete hulka ja võib samas mõned dementsusega patsiendid jätta kahe silma vahele. </w:t>
      </w:r>
    </w:p>
    <w:p w:rsidR="7ABC7D88" w:rsidP="7ABC7D88" w:rsidRDefault="7ABC7D88" w14:paraId="417D6D15" w14:textId="4D208E62">
      <w:pPr>
        <w:jc w:val="both"/>
      </w:pPr>
    </w:p>
    <w:p xmlns:wp14="http://schemas.microsoft.com/office/word/2010/wordml" w:rsidRPr="002D065A" w:rsidR="003B0510" w:rsidP="003B0510" w:rsidRDefault="003B0510" w14:paraId="24BBB11F" wp14:textId="5CC4F199">
      <w:pPr>
        <w:autoSpaceDE w:val="0"/>
        <w:autoSpaceDN w:val="0"/>
        <w:adjustRightInd w:val="0"/>
        <w:jc w:val="both"/>
        <w:rPr>
          <w:rFonts w:ascii="Verdana" w:hAnsi="Verdana" w:cs="ArialMT"/>
          <w:color w:val="000080"/>
          <w:sz w:val="18"/>
          <w:szCs w:val="18"/>
          <w:lang w:val="fi-FI" w:eastAsia="en-US"/>
        </w:rPr>
      </w:pPr>
      <w:proofErr w:type="spellStart"/>
      <w:r w:rsidRPr="2E9C8D5A" w:rsidR="2E9C8D5A">
        <w:rPr>
          <w:rFonts w:ascii="Verdana,ArialMT" w:hAnsi="Verdana,ArialMT" w:eastAsia="Verdana,ArialMT" w:cs="Verdana,ArialMT"/>
          <w:b w:val="1"/>
          <w:bCs w:val="1"/>
          <w:color w:val="000080"/>
          <w:sz w:val="18"/>
          <w:szCs w:val="18"/>
          <w:lang w:val="fi-FI" w:eastAsia="en-US"/>
        </w:rPr>
        <w:t>Viited</w:t>
      </w:r>
      <w:proofErr w:type="spellEnd"/>
    </w:p>
    <w:tbl>
      <w:tblPr>
        <w:tblW w:w="0" w:type="auto"/>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ook w:val="01E0" w:firstRow="1" w:lastRow="1" w:firstColumn="1" w:lastColumn="1" w:noHBand="0" w:noVBand="0"/>
        <w:tblCaption w:val=""/>
        <w:tblDescription w:val=""/>
      </w:tblPr>
      <w:tblGrid>
        <w:gridCol w:w="6192"/>
        <w:gridCol w:w="3096"/>
      </w:tblGrid>
      <w:tr xmlns:wp14="http://schemas.microsoft.com/office/word/2010/wordml" w:rsidRPr="00FE17E8" w:rsidR="00CE5B40" w:rsidTr="7ABC7D88" w14:paraId="7CF5AE3E" wp14:textId="77777777">
        <w:tc>
          <w:tcPr>
            <w:tcW w:w="6192" w:type="dxa"/>
            <w:shd w:val="clear" w:color="auto" w:fill="auto"/>
            <w:tcMar/>
          </w:tcPr>
          <w:p w:rsidRPr="002D065A" w:rsidR="00CE5B40" w:rsidP="00042FF2" w:rsidRDefault="00042FF2" w14:paraId="5E9A8AA1" wp14:textId="77777777">
            <w:pPr>
              <w:spacing w:before="75" w:after="225"/>
              <w:rPr>
                <w:rFonts w:ascii="Verdana" w:hAnsi="Verdana" w:cs="Arial"/>
                <w:b/>
                <w:color w:val="000080"/>
                <w:sz w:val="18"/>
                <w:szCs w:val="18"/>
                <w:lang w:val="fi-FI"/>
              </w:rPr>
            </w:pPr>
            <w:proofErr w:type="spellStart"/>
            <w:r w:rsidRPr="2E9C8D5A" w:rsidR="2E9C8D5A">
              <w:rPr>
                <w:rFonts w:ascii="Verdana,Arial" w:hAnsi="Verdana,Arial" w:eastAsia="Verdana,Arial" w:cs="Verdana,Arial"/>
                <w:b w:val="1"/>
                <w:bCs w:val="1"/>
                <w:color w:val="000080"/>
                <w:sz w:val="18"/>
                <w:szCs w:val="18"/>
                <w:lang w:val="fi-FI"/>
              </w:rPr>
              <w:t>Kokkuvõtte</w:t>
            </w:r>
            <w:proofErr w:type="spellEnd"/>
            <w:r w:rsidRPr="2E9C8D5A" w:rsidR="2E9C8D5A">
              <w:rPr>
                <w:rFonts w:ascii="Verdana,Arial" w:hAnsi="Verdana,Arial" w:eastAsia="Verdana,Arial" w:cs="Verdana,Arial"/>
                <w:b w:val="1"/>
                <w:bCs w:val="1"/>
                <w:color w:val="000080"/>
                <w:sz w:val="18"/>
                <w:szCs w:val="18"/>
                <w:lang w:val="fi-FI"/>
              </w:rPr>
              <w:t xml:space="preserve"> (</w:t>
            </w:r>
            <w:proofErr w:type="spellStart"/>
            <w:r w:rsidRPr="2E9C8D5A" w:rsidR="2E9C8D5A">
              <w:rPr>
                <w:rFonts w:ascii="Verdana,Arial" w:hAnsi="Verdana,Arial" w:eastAsia="Verdana,Arial" w:cs="Verdana,Arial"/>
                <w:b w:val="1"/>
                <w:bCs w:val="1"/>
                <w:color w:val="000080"/>
                <w:sz w:val="18"/>
                <w:szCs w:val="18"/>
                <w:lang w:val="fi-FI"/>
              </w:rPr>
              <w:t>abstract</w:t>
            </w:r>
            <w:proofErr w:type="spellEnd"/>
            <w:r w:rsidRPr="2E9C8D5A" w:rsidR="2E9C8D5A">
              <w:rPr>
                <w:rFonts w:ascii="Verdana,Arial" w:hAnsi="Verdana,Arial" w:eastAsia="Verdana,Arial" w:cs="Verdana,Arial"/>
                <w:b w:val="1"/>
                <w:bCs w:val="1"/>
                <w:color w:val="000080"/>
                <w:sz w:val="18"/>
                <w:szCs w:val="18"/>
                <w:lang w:val="fi-FI"/>
              </w:rPr>
              <w:t xml:space="preserve"> </w:t>
            </w:r>
            <w:proofErr w:type="spellStart"/>
            <w:r w:rsidRPr="2E9C8D5A" w:rsidR="2E9C8D5A">
              <w:rPr>
                <w:rFonts w:ascii="Verdana,Arial" w:hAnsi="Verdana,Arial" w:eastAsia="Verdana,Arial" w:cs="Verdana,Arial"/>
                <w:b w:val="1"/>
                <w:bCs w:val="1"/>
                <w:color w:val="000080"/>
                <w:sz w:val="18"/>
                <w:szCs w:val="18"/>
                <w:lang w:val="fi-FI"/>
              </w:rPr>
              <w:t>või</w:t>
            </w:r>
            <w:proofErr w:type="spellEnd"/>
            <w:r w:rsidRPr="2E9C8D5A" w:rsidR="2E9C8D5A">
              <w:rPr>
                <w:rFonts w:ascii="Verdana,Arial" w:hAnsi="Verdana,Arial" w:eastAsia="Verdana,Arial" w:cs="Verdana,Arial"/>
                <w:b w:val="1"/>
                <w:bCs w:val="1"/>
                <w:color w:val="000080"/>
                <w:sz w:val="18"/>
                <w:szCs w:val="18"/>
                <w:lang w:val="fi-FI"/>
              </w:rPr>
              <w:t xml:space="preserve"> </w:t>
            </w:r>
            <w:proofErr w:type="spellStart"/>
            <w:r w:rsidRPr="2E9C8D5A" w:rsidR="2E9C8D5A">
              <w:rPr>
                <w:rFonts w:ascii="Verdana,Arial" w:hAnsi="Verdana,Arial" w:eastAsia="Verdana,Arial" w:cs="Verdana,Arial"/>
                <w:b w:val="1"/>
                <w:bCs w:val="1"/>
                <w:color w:val="000080"/>
                <w:sz w:val="18"/>
                <w:szCs w:val="18"/>
                <w:lang w:val="fi-FI"/>
              </w:rPr>
              <w:t>kokkuvõtlikum</w:t>
            </w:r>
            <w:proofErr w:type="spellEnd"/>
            <w:r w:rsidRPr="2E9C8D5A" w:rsidR="2E9C8D5A">
              <w:rPr>
                <w:rFonts w:ascii="Verdana,Arial" w:hAnsi="Verdana,Arial" w:eastAsia="Verdana,Arial" w:cs="Verdana,Arial"/>
                <w:b w:val="1"/>
                <w:bCs w:val="1"/>
                <w:color w:val="000080"/>
                <w:sz w:val="18"/>
                <w:szCs w:val="18"/>
                <w:lang w:val="fi-FI"/>
              </w:rPr>
              <w:t xml:space="preserve"> info</w:t>
            </w:r>
            <w:r w:rsidRPr="2E9C8D5A" w:rsidR="2E9C8D5A">
              <w:rPr>
                <w:rFonts w:ascii="Verdana,Arial" w:hAnsi="Verdana,Arial" w:eastAsia="Verdana,Arial" w:cs="Verdana,Arial"/>
                <w:b w:val="1"/>
                <w:bCs w:val="1"/>
                <w:color w:val="000080"/>
                <w:sz w:val="18"/>
                <w:szCs w:val="18"/>
                <w:lang w:val="fi-FI"/>
              </w:rPr>
              <w:t>)</w:t>
            </w:r>
          </w:p>
        </w:tc>
        <w:tc>
          <w:tcPr>
            <w:tcW w:w="3096" w:type="dxa"/>
            <w:shd w:val="clear" w:color="auto" w:fill="auto"/>
            <w:tcMar/>
          </w:tcPr>
          <w:p w:rsidRPr="00832974" w:rsidR="00CE5B40" w:rsidP="00926558" w:rsidRDefault="00042FF2" w14:paraId="5E67733F" wp14:textId="77777777">
            <w:pPr>
              <w:spacing w:before="75" w:after="225"/>
              <w:rPr>
                <w:rFonts w:ascii="Verdana" w:hAnsi="Verdana" w:cs="Arial"/>
                <w:b/>
                <w:color w:val="000080"/>
                <w:sz w:val="18"/>
                <w:szCs w:val="18"/>
                <w:lang w:val="en-US"/>
              </w:rPr>
            </w:pPr>
            <w:proofErr w:type="spellStart"/>
            <w:r w:rsidRPr="2E9C8D5A" w:rsidR="2E9C8D5A">
              <w:rPr>
                <w:rFonts w:ascii="Verdana,Arial" w:hAnsi="Verdana,Arial" w:eastAsia="Verdana,Arial" w:cs="Verdana,Arial"/>
                <w:b w:val="1"/>
                <w:bCs w:val="1"/>
                <w:color w:val="000080"/>
                <w:sz w:val="18"/>
                <w:szCs w:val="18"/>
                <w:lang w:val="en-US"/>
              </w:rPr>
              <w:t>Viide</w:t>
            </w:r>
            <w:proofErr w:type="spellEnd"/>
            <w:r w:rsidRPr="2E9C8D5A" w:rsidR="2E9C8D5A">
              <w:rPr>
                <w:rFonts w:ascii="Verdana,Arial" w:hAnsi="Verdana,Arial" w:eastAsia="Verdana,Arial" w:cs="Verdana,Arial"/>
                <w:b w:val="1"/>
                <w:bCs w:val="1"/>
                <w:color w:val="000080"/>
                <w:sz w:val="18"/>
                <w:szCs w:val="18"/>
                <w:lang w:val="en-US"/>
              </w:rPr>
              <w:t xml:space="preserve"> </w:t>
            </w:r>
            <w:proofErr w:type="spellStart"/>
            <w:r w:rsidRPr="2E9C8D5A" w:rsidR="2E9C8D5A">
              <w:rPr>
                <w:rFonts w:ascii="Verdana,Arial" w:hAnsi="Verdana,Arial" w:eastAsia="Verdana,Arial" w:cs="Verdana,Arial"/>
                <w:b w:val="1"/>
                <w:bCs w:val="1"/>
                <w:color w:val="000080"/>
                <w:sz w:val="18"/>
                <w:szCs w:val="18"/>
                <w:lang w:val="en-US"/>
              </w:rPr>
              <w:t>kirjandusallikale</w:t>
            </w:r>
            <w:proofErr w:type="spellEnd"/>
          </w:p>
        </w:tc>
      </w:tr>
      <w:tr xmlns:wp14="http://schemas.microsoft.com/office/word/2010/wordml" w:rsidRPr="00FE17E8" w:rsidR="00AC2F0F" w:rsidTr="7ABC7D88" w14:paraId="6C6BC096" wp14:textId="77777777">
        <w:tc>
          <w:tcPr>
            <w:tcW w:w="6192" w:type="dxa"/>
            <w:shd w:val="clear" w:color="auto" w:fill="auto"/>
            <w:tcMar/>
          </w:tcPr>
          <w:p w:rsidRPr="000C3547" w:rsidR="00C709B0" w:rsidP="2E9C8D5A" w:rsidRDefault="00C709B0" w14:paraId="6779DBB6" wp14:textId="0DC24CC6">
            <w:pPr>
              <w:pStyle w:val="Normaallaad"/>
              <w:shd w:val="clear" w:color="auto" w:fill="FFFFFF" w:themeFill="background1"/>
              <w:spacing w:before="0" w:beforeAutospacing="off" w:after="0" w:afterAutospacing="off"/>
            </w:pPr>
            <w:r w:rsidRPr="2E9C8D5A" w:rsidR="2E9C8D5A">
              <w:rPr>
                <w:rFonts w:ascii="Verdana" w:hAnsi="Verdana" w:eastAsia="Verdana" w:cs="Verdana"/>
                <w:sz w:val="18"/>
                <w:szCs w:val="18"/>
              </w:rPr>
              <w:t xml:space="preserve">Andmebaasid: </w:t>
            </w:r>
            <w:proofErr w:type="spellStart"/>
            <w:r w:rsidRPr="2E9C8D5A" w:rsidR="2E9C8D5A">
              <w:rPr>
                <w:rFonts w:ascii="Verdana" w:hAnsi="Verdana" w:eastAsia="Verdana" w:cs="Verdana"/>
                <w:sz w:val="18"/>
                <w:szCs w:val="18"/>
              </w:rPr>
              <w:t>Medline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Embase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PsychInfo</w:t>
            </w:r>
            <w:proofErr w:type="spellEnd"/>
            <w:r w:rsidRPr="2E9C8D5A" w:rsidR="2E9C8D5A">
              <w:rPr>
                <w:rFonts w:ascii="Verdana" w:hAnsi="Verdana" w:eastAsia="Verdana" w:cs="Verdana"/>
                <w:sz w:val="18"/>
                <w:szCs w:val="18"/>
              </w:rPr>
              <w:t xml:space="preserve"> and CINHAL </w:t>
            </w:r>
            <w:proofErr w:type="spellStart"/>
            <w:r w:rsidRPr="2E9C8D5A" w:rsidR="2E9C8D5A">
              <w:rPr>
                <w:rFonts w:ascii="Verdana" w:hAnsi="Verdana" w:eastAsia="Verdana" w:cs="Verdana"/>
                <w:sz w:val="18"/>
                <w:szCs w:val="18"/>
              </w:rPr>
              <w:t>articles</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Of 384 </w:t>
            </w:r>
            <w:proofErr w:type="spellStart"/>
            <w:r w:rsidRPr="2E9C8D5A" w:rsidR="2E9C8D5A">
              <w:rPr>
                <w:rFonts w:ascii="Verdana" w:hAnsi="Verdana" w:eastAsia="Verdana" w:cs="Verdana"/>
                <w:sz w:val="18"/>
                <w:szCs w:val="18"/>
              </w:rPr>
              <w:t>articles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identified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four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studies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inclusion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criteria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including</w:t>
            </w:r>
            <w:proofErr w:type="spellEnd"/>
            <w:r w:rsidRPr="2E9C8D5A" w:rsidR="2E9C8D5A">
              <w:rPr>
                <w:rFonts w:ascii="Verdana" w:hAnsi="Verdana" w:eastAsia="Verdana" w:cs="Verdana"/>
                <w:sz w:val="18"/>
                <w:szCs w:val="18"/>
              </w:rPr>
              <w:t xml:space="preserve"> a </w:t>
            </w:r>
            <w:proofErr w:type="spellStart"/>
            <w:r w:rsidRPr="2E9C8D5A" w:rsidR="2E9C8D5A">
              <w:rPr>
                <w:rFonts w:ascii="Verdana" w:hAnsi="Verdana" w:eastAsia="Verdana" w:cs="Verdana"/>
                <w:sz w:val="18"/>
                <w:szCs w:val="18"/>
              </w:rPr>
              <w:t>total</w:t>
            </w:r>
            <w:proofErr w:type="spellEnd"/>
            <w:r w:rsidRPr="2E9C8D5A" w:rsidR="2E9C8D5A">
              <w:rPr>
                <w:rFonts w:ascii="Verdana" w:hAnsi="Verdana" w:eastAsia="Verdana" w:cs="Verdana"/>
                <w:sz w:val="18"/>
                <w:szCs w:val="18"/>
              </w:rPr>
              <w:t xml:space="preserve"> of 2,920 </w:t>
            </w:r>
            <w:proofErr w:type="spellStart"/>
            <w:r w:rsidRPr="2E9C8D5A" w:rsidR="2E9C8D5A">
              <w:rPr>
                <w:rFonts w:ascii="Verdana" w:hAnsi="Verdana" w:eastAsia="Verdana" w:cs="Verdana"/>
                <w:sz w:val="18"/>
                <w:szCs w:val="18"/>
              </w:rPr>
              <w:t>people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from</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six</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centers</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two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countries</w:t>
            </w:r>
            <w:proofErr w:type="spellEnd"/>
            <w:r w:rsidRPr="2E9C8D5A" w:rsidR="2E9C8D5A">
              <w:rPr>
                <w:rFonts w:ascii="Verdana" w:hAnsi="Verdana" w:eastAsia="Verdana" w:cs="Verdana"/>
                <w:sz w:val="18"/>
                <w:szCs w:val="18"/>
              </w:rPr>
              <w:t>.</w:t>
            </w:r>
          </w:p>
          <w:p w:rsidRPr="000C3547" w:rsidR="00C709B0" w:rsidP="2E9C8D5A" w:rsidRDefault="00C709B0" w14:paraId="2289C7F1" wp14:textId="7E7705F6">
            <w:pPr>
              <w:spacing w:before="0" w:beforeAutospacing="0" w:after="0" w:afterAutospacing="0"/>
            </w:pPr>
            <w:proofErr w:type="spellStart"/>
            <w:r w:rsidRPr="2E9C8D5A" w:rsidR="2E9C8D5A">
              <w:rPr>
                <w:rFonts w:ascii="Verdana" w:hAnsi="Verdana" w:eastAsia="Verdana" w:cs="Verdana"/>
                <w:sz w:val="18"/>
                <w:szCs w:val="18"/>
              </w:rPr>
              <w:t>Performance</w:t>
            </w:r>
            <w:proofErr w:type="spellEnd"/>
            <w:r w:rsidRPr="2E9C8D5A" w:rsidR="2E9C8D5A">
              <w:rPr>
                <w:rFonts w:ascii="Verdana" w:hAnsi="Verdana" w:eastAsia="Verdana" w:cs="Verdana"/>
                <w:sz w:val="18"/>
                <w:szCs w:val="18"/>
              </w:rPr>
              <w:t xml:space="preserve"> on </w:t>
            </w:r>
            <w:proofErr w:type="spellStart"/>
            <w:r w:rsidRPr="2E9C8D5A" w:rsidR="2E9C8D5A">
              <w:rPr>
                <w:rFonts w:ascii="Verdana" w:hAnsi="Verdana" w:eastAsia="Verdana" w:cs="Verdana"/>
                <w:sz w:val="18"/>
                <w:szCs w:val="18"/>
              </w:rPr>
              <w:t>psychometric</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tests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key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diagnosis</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monitoring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treatment</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Results</w:t>
            </w:r>
            <w:proofErr w:type="spellEnd"/>
            <w:r w:rsidRPr="2E9C8D5A" w:rsidR="2E9C8D5A">
              <w:rPr>
                <w:rFonts w:ascii="Verdana" w:hAnsi="Verdana" w:eastAsia="Verdana" w:cs="Verdana"/>
                <w:sz w:val="18"/>
                <w:szCs w:val="18"/>
              </w:rPr>
              <w:t xml:space="preserve"> are </w:t>
            </w:r>
            <w:proofErr w:type="spellStart"/>
            <w:r w:rsidRPr="2E9C8D5A" w:rsidR="2E9C8D5A">
              <w:rPr>
                <w:rFonts w:ascii="Verdana" w:hAnsi="Verdana" w:eastAsia="Verdana" w:cs="Verdana"/>
                <w:sz w:val="18"/>
                <w:szCs w:val="18"/>
              </w:rPr>
              <w:t>often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reported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w:t>
            </w:r>
            <w:proofErr w:type="spellEnd"/>
            <w:r w:rsidRPr="2E9C8D5A" w:rsidR="2E9C8D5A">
              <w:rPr>
                <w:rFonts w:ascii="Verdana" w:hAnsi="Verdana" w:eastAsia="Verdana" w:cs="Verdana"/>
                <w:sz w:val="18"/>
                <w:szCs w:val="18"/>
              </w:rPr>
              <w:t xml:space="preserve"> a </w:t>
            </w:r>
            <w:proofErr w:type="spellStart"/>
            <w:r w:rsidRPr="2E9C8D5A" w:rsidR="2E9C8D5A">
              <w:rPr>
                <w:rFonts w:ascii="Verdana" w:hAnsi="Verdana" w:eastAsia="Verdana" w:cs="Verdana"/>
                <w:sz w:val="18"/>
                <w:szCs w:val="18"/>
              </w:rPr>
              <w:t>total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score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but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additional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information</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individual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items</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tests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vary</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in </w:t>
            </w:r>
            <w:proofErr w:type="spellStart"/>
            <w:r w:rsidRPr="2E9C8D5A" w:rsidR="2E9C8D5A">
              <w:rPr>
                <w:rFonts w:ascii="Verdana" w:hAnsi="Verdana" w:eastAsia="Verdana" w:cs="Verdana"/>
                <w:sz w:val="18"/>
                <w:szCs w:val="18"/>
              </w:rPr>
              <w:t>their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difficulty</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discriminatory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value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Item</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difficulty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refers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ability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level</w:t>
            </w:r>
            <w:proofErr w:type="spellEnd"/>
            <w:r w:rsidRPr="2E9C8D5A" w:rsidR="2E9C8D5A">
              <w:rPr>
                <w:rFonts w:ascii="Verdana" w:hAnsi="Verdana" w:eastAsia="Verdana" w:cs="Verdana"/>
                <w:sz w:val="18"/>
                <w:szCs w:val="18"/>
              </w:rPr>
              <w:t xml:space="preserve"> at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probability</w:t>
            </w:r>
            <w:proofErr w:type="spellEnd"/>
            <w:r w:rsidRPr="2E9C8D5A" w:rsidR="2E9C8D5A">
              <w:rPr>
                <w:rFonts w:ascii="Verdana" w:hAnsi="Verdana" w:eastAsia="Verdana" w:cs="Verdana"/>
                <w:sz w:val="18"/>
                <w:szCs w:val="18"/>
              </w:rPr>
              <w:t xml:space="preserve"> of</w:t>
            </w:r>
          </w:p>
          <w:p w:rsidRPr="000C3547" w:rsidR="00C709B0" w:rsidP="2E9C8D5A" w:rsidRDefault="00C709B0" w14:paraId="3B149E75" wp14:textId="0EB12292">
            <w:pPr>
              <w:spacing w:before="0" w:beforeAutospacing="0" w:after="0" w:afterAutospacing="0"/>
            </w:pPr>
            <w:proofErr w:type="spellStart"/>
            <w:r w:rsidRPr="2E9C8D5A" w:rsidR="2E9C8D5A">
              <w:rPr>
                <w:rFonts w:ascii="Verdana" w:hAnsi="Verdana" w:eastAsia="Verdana" w:cs="Verdana"/>
                <w:sz w:val="18"/>
                <w:szCs w:val="18"/>
              </w:rPr>
              <w:t>responding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correctly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is</w:t>
            </w:r>
            <w:proofErr w:type="spellEnd"/>
            <w:r w:rsidRPr="2E9C8D5A" w:rsidR="2E9C8D5A">
              <w:rPr>
                <w:rFonts w:ascii="Verdana" w:hAnsi="Verdana" w:eastAsia="Verdana" w:cs="Verdana"/>
                <w:sz w:val="18"/>
                <w:szCs w:val="18"/>
              </w:rPr>
              <w:t xml:space="preserve"> 50%. </w:t>
            </w:r>
            <w:proofErr w:type="spellStart"/>
            <w:r w:rsidRPr="2E9C8D5A" w:rsidR="2E9C8D5A">
              <w:rPr>
                <w:rFonts w:ascii="Verdana" w:hAnsi="Verdana" w:eastAsia="Verdana" w:cs="Verdana"/>
                <w:sz w:val="18"/>
                <w:szCs w:val="18"/>
              </w:rPr>
              <w:t>Discrimination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index</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how</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well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item</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differentiate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between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patients</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varying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levels</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severity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Item</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response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theory</w:t>
            </w:r>
            <w:proofErr w:type="spellEnd"/>
            <w:r w:rsidRPr="2E9C8D5A" w:rsidR="2E9C8D5A">
              <w:rPr>
                <w:rFonts w:ascii="Verdana" w:hAnsi="Verdana" w:eastAsia="Verdana" w:cs="Verdana"/>
                <w:sz w:val="18"/>
                <w:szCs w:val="18"/>
              </w:rPr>
              <w:t xml:space="preserve"> (IRT) </w:t>
            </w:r>
            <w:proofErr w:type="spellStart"/>
            <w:r w:rsidRPr="2E9C8D5A" w:rsidR="2E9C8D5A">
              <w:rPr>
                <w:rFonts w:ascii="Verdana" w:hAnsi="Verdana" w:eastAsia="Verdana" w:cs="Verdana"/>
                <w:sz w:val="18"/>
                <w:szCs w:val="18"/>
              </w:rPr>
              <w:t>analysis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information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examine</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refine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measures</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functioning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systematic</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review</w:t>
            </w:r>
            <w:proofErr w:type="spellEnd"/>
            <w:r w:rsidRPr="2E9C8D5A" w:rsidR="2E9C8D5A">
              <w:rPr>
                <w:rFonts w:ascii="Verdana" w:hAnsi="Verdana" w:eastAsia="Verdana" w:cs="Verdana"/>
                <w:sz w:val="18"/>
                <w:szCs w:val="18"/>
              </w:rPr>
              <w:t xml:space="preserve"> aimed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identify</w:t>
            </w:r>
            <w:proofErr w:type="spellEnd"/>
            <w:r w:rsidRPr="2E9C8D5A" w:rsidR="2E9C8D5A">
              <w:rPr>
                <w:rFonts w:ascii="Verdana" w:hAnsi="Verdana" w:eastAsia="Verdana" w:cs="Verdana"/>
                <w:sz w:val="18"/>
                <w:szCs w:val="18"/>
              </w:rPr>
              <w:t xml:space="preserve"> all </w:t>
            </w:r>
            <w:proofErr w:type="spellStart"/>
            <w:r w:rsidRPr="2E9C8D5A" w:rsidR="2E9C8D5A">
              <w:rPr>
                <w:rFonts w:ascii="Verdana" w:hAnsi="Verdana" w:eastAsia="Verdana" w:cs="Verdana"/>
                <w:sz w:val="18"/>
                <w:szCs w:val="18"/>
              </w:rPr>
              <w:t>published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literature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had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applied</w:t>
            </w:r>
            <w:proofErr w:type="spellEnd"/>
            <w:r w:rsidRPr="2E9C8D5A" w:rsidR="2E9C8D5A">
              <w:rPr>
                <w:rFonts w:ascii="Verdana" w:hAnsi="Verdana" w:eastAsia="Verdana" w:cs="Verdana"/>
                <w:sz w:val="18"/>
                <w:szCs w:val="18"/>
              </w:rPr>
              <w:t xml:space="preserve"> IRT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instruments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global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function</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people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w:t>
            </w:r>
          </w:p>
          <w:p w:rsidRPr="000C3547" w:rsidR="00C709B0" w:rsidP="2E9C8D5A" w:rsidRDefault="00C709B0" w14:paraId="7CBA0860" wp14:textId="333E2089">
            <w:pPr>
              <w:spacing w:before="0" w:beforeAutospacing="0" w:after="0" w:afterAutospacing="0"/>
              <w:rPr>
                <w:rFonts w:ascii="Verdana" w:hAnsi="Verdana" w:cs="Arial"/>
                <w:i/>
                <w:color w:val="000080"/>
                <w:sz w:val="18"/>
                <w:szCs w:val="18"/>
              </w:rPr>
            </w:pPr>
            <w:proofErr w:type="spellStart"/>
            <w:r w:rsidRPr="2E9C8D5A" w:rsidR="2E9C8D5A">
              <w:rPr>
                <w:rFonts w:ascii="Verdana" w:hAnsi="Verdana" w:eastAsia="Verdana" w:cs="Verdana"/>
                <w:sz w:val="18"/>
                <w:szCs w:val="18"/>
              </w:rPr>
              <w:t>Four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published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studies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were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identified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used</w:t>
            </w:r>
            <w:proofErr w:type="spellEnd"/>
            <w:r w:rsidRPr="2E9C8D5A" w:rsidR="2E9C8D5A">
              <w:rPr>
                <w:rFonts w:ascii="Verdana" w:hAnsi="Verdana" w:eastAsia="Verdana" w:cs="Verdana"/>
                <w:sz w:val="18"/>
                <w:szCs w:val="18"/>
              </w:rPr>
              <w:t xml:space="preserve"> IRT on </w:t>
            </w:r>
            <w:proofErr w:type="spellStart"/>
            <w:r w:rsidRPr="2E9C8D5A" w:rsidR="2E9C8D5A">
              <w:rPr>
                <w:rFonts w:ascii="Verdana" w:hAnsi="Verdana" w:eastAsia="Verdana" w:cs="Verdana"/>
                <w:sz w:val="18"/>
                <w:szCs w:val="18"/>
              </w:rPr>
              <w:t>global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tests</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people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technique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increased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interpretative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power</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scales</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could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used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provide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clinicians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key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items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from</w:t>
            </w:r>
            <w:proofErr w:type="spellEnd"/>
            <w:r w:rsidRPr="2E9C8D5A" w:rsidR="2E9C8D5A">
              <w:rPr>
                <w:rFonts w:ascii="Verdana" w:hAnsi="Verdana" w:eastAsia="Verdana" w:cs="Verdana"/>
                <w:sz w:val="18"/>
                <w:szCs w:val="18"/>
              </w:rPr>
              <w:t xml:space="preserve"> a </w:t>
            </w:r>
            <w:proofErr w:type="spellStart"/>
            <w:r w:rsidRPr="2E9C8D5A" w:rsidR="2E9C8D5A">
              <w:rPr>
                <w:rFonts w:ascii="Verdana" w:hAnsi="Verdana" w:eastAsia="Verdana" w:cs="Verdana"/>
                <w:sz w:val="18"/>
                <w:szCs w:val="18"/>
              </w:rPr>
              <w:t>larger</w:t>
            </w:r>
            <w:proofErr w:type="spellEnd"/>
            <w:r w:rsidRPr="2E9C8D5A" w:rsidR="2E9C8D5A">
              <w:rPr>
                <w:rFonts w:ascii="Verdana" w:hAnsi="Verdana" w:eastAsia="Verdana" w:cs="Verdana"/>
                <w:sz w:val="18"/>
                <w:szCs w:val="18"/>
              </w:rPr>
              <w:t xml:space="preserve"> test </w:t>
            </w:r>
            <w:proofErr w:type="spellStart"/>
            <w:r w:rsidRPr="2E9C8D5A" w:rsidR="2E9C8D5A">
              <w:rPr>
                <w:rFonts w:ascii="Verdana" w:hAnsi="Verdana" w:eastAsia="Verdana" w:cs="Verdana"/>
                <w:sz w:val="18"/>
                <w:szCs w:val="18"/>
              </w:rPr>
              <w:t>battery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would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have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high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predictive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value</w:t>
            </w:r>
            <w:proofErr w:type="spellEnd"/>
            <w:r w:rsidRPr="2E9C8D5A" w:rsidR="2E9C8D5A">
              <w:rPr>
                <w:rFonts w:ascii="Verdana" w:hAnsi="Verdana" w:eastAsia="Verdana" w:cs="Verdana"/>
                <w:sz w:val="18"/>
                <w:szCs w:val="18"/>
              </w:rPr>
              <w:t>.</w:t>
            </w:r>
          </w:p>
        </w:tc>
        <w:tc>
          <w:tcPr>
            <w:tcW w:w="3096" w:type="dxa"/>
            <w:shd w:val="clear" w:color="auto" w:fill="auto"/>
            <w:tcMar/>
          </w:tcPr>
          <w:p w:rsidRPr="00AC2F0F" w:rsidR="00AC2F0F" w:rsidP="2E9C8D5A" w:rsidRDefault="00AC2F0F" w14:paraId="74552FB4" wp14:textId="17CFA431">
            <w:pPr>
              <w:pStyle w:val="Normaallaad"/>
              <w:autoSpaceDE w:val="0"/>
              <w:autoSpaceDN w:val="0"/>
              <w:adjustRightInd w:val="0"/>
              <w:jc w:val="both"/>
              <w:rPr>
                <w:rFonts w:ascii="Verdana" w:hAnsi="Verdana" w:cs="SabonLTStd-Roman"/>
                <w:color w:val="000080"/>
                <w:sz w:val="18"/>
                <w:szCs w:val="18"/>
              </w:rPr>
            </w:pPr>
            <w:r w:rsidRPr="2E9C8D5A" w:rsidR="2E9C8D5A">
              <w:rPr>
                <w:rFonts w:ascii="Verdana,Arial" w:hAnsi="Verdana,Arial" w:eastAsia="Verdana,Arial" w:cs="Verdana,Arial"/>
                <w:b w:val="0"/>
                <w:bCs w:val="0"/>
                <w:color w:val="auto"/>
                <w:sz w:val="18"/>
                <w:szCs w:val="18"/>
                <w:u w:val="none"/>
                <w:lang w:val="fi-FI"/>
              </w:rPr>
              <w:t>1.</w:t>
            </w:r>
            <w:r w:rsidRPr="2E9C8D5A" w:rsidR="2E9C8D5A">
              <w:rPr>
                <w:rFonts w:ascii="Verdana" w:hAnsi="Verdana" w:eastAsia="Verdana" w:cs="Verdana"/>
                <w:b w:val="0"/>
                <w:bCs w:val="0"/>
                <w:color w:val="auto"/>
                <w:sz w:val="18"/>
                <w:szCs w:val="18"/>
                <w:u w:val="none"/>
              </w:rPr>
              <w:t xml:space="preserve">McGrory et </w:t>
            </w:r>
            <w:proofErr w:type="spellStart"/>
            <w:r w:rsidRPr="2E9C8D5A" w:rsidR="2E9C8D5A">
              <w:rPr>
                <w:rFonts w:ascii="Verdana" w:hAnsi="Verdana" w:eastAsia="Verdana" w:cs="Verdana"/>
                <w:b w:val="0"/>
                <w:bCs w:val="0"/>
                <w:color w:val="auto"/>
                <w:sz w:val="18"/>
                <w:szCs w:val="18"/>
                <w:u w:val="none"/>
              </w:rPr>
              <w:t>al</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Item</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response</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theory</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analysis</w:t>
            </w:r>
            <w:proofErr w:type="spellEnd"/>
            <w:r w:rsidRPr="2E9C8D5A" w:rsidR="2E9C8D5A">
              <w:rPr>
                <w:rFonts w:ascii="Verdana" w:hAnsi="Verdana" w:eastAsia="Verdana" w:cs="Verdana"/>
                <w:b w:val="0"/>
                <w:bCs w:val="0"/>
                <w:color w:val="auto"/>
                <w:sz w:val="18"/>
                <w:szCs w:val="18"/>
                <w:u w:val="none"/>
              </w:rPr>
              <w:t xml:space="preserve"> of </w:t>
            </w:r>
            <w:proofErr w:type="spellStart"/>
            <w:r w:rsidRPr="2E9C8D5A" w:rsidR="2E9C8D5A">
              <w:rPr>
                <w:rFonts w:ascii="Verdana" w:hAnsi="Verdana" w:eastAsia="Verdana" w:cs="Verdana"/>
                <w:b w:val="0"/>
                <w:bCs w:val="0"/>
                <w:color w:val="auto"/>
                <w:sz w:val="18"/>
                <w:szCs w:val="18"/>
                <w:u w:val="none"/>
              </w:rPr>
              <w:t>cognitive</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tests</w:t>
            </w:r>
            <w:proofErr w:type="spellEnd"/>
            <w:r w:rsidRPr="2E9C8D5A" w:rsidR="2E9C8D5A">
              <w:rPr>
                <w:rFonts w:ascii="Verdana" w:hAnsi="Verdana" w:eastAsia="Verdana" w:cs="Verdana"/>
                <w:b w:val="0"/>
                <w:bCs w:val="0"/>
                <w:color w:val="auto"/>
                <w:sz w:val="18"/>
                <w:szCs w:val="18"/>
                <w:u w:val="none"/>
              </w:rPr>
              <w:t xml:space="preserve"> in </w:t>
            </w:r>
            <w:proofErr w:type="spellStart"/>
            <w:r w:rsidRPr="2E9C8D5A" w:rsidR="2E9C8D5A">
              <w:rPr>
                <w:rFonts w:ascii="Verdana" w:hAnsi="Verdana" w:eastAsia="Verdana" w:cs="Verdana"/>
                <w:b w:val="0"/>
                <w:bCs w:val="0"/>
                <w:color w:val="auto"/>
                <w:sz w:val="18"/>
                <w:szCs w:val="18"/>
                <w:u w:val="none"/>
              </w:rPr>
              <w:t>people</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with</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dementia</w:t>
            </w:r>
            <w:proofErr w:type="spellEnd"/>
            <w:r w:rsidRPr="2E9C8D5A" w:rsidR="2E9C8D5A">
              <w:rPr>
                <w:rFonts w:ascii="Verdana" w:hAnsi="Verdana" w:eastAsia="Verdana" w:cs="Verdana"/>
                <w:b w:val="0"/>
                <w:bCs w:val="0"/>
                <w:color w:val="auto"/>
                <w:sz w:val="18"/>
                <w:szCs w:val="18"/>
                <w:u w:val="none"/>
              </w:rPr>
              <w:t xml:space="preserve">: a </w:t>
            </w:r>
            <w:proofErr w:type="spellStart"/>
            <w:r w:rsidRPr="2E9C8D5A" w:rsidR="2E9C8D5A">
              <w:rPr>
                <w:rFonts w:ascii="Verdana" w:hAnsi="Verdana" w:eastAsia="Verdana" w:cs="Verdana"/>
                <w:b w:val="0"/>
                <w:bCs w:val="0"/>
                <w:color w:val="auto"/>
                <w:sz w:val="18"/>
                <w:szCs w:val="18"/>
                <w:u w:val="none"/>
              </w:rPr>
              <w:t>systematic</w:t>
            </w:r>
            <w:proofErr w:type="spellEnd"/>
            <w:r w:rsidRPr="2E9C8D5A" w:rsidR="2E9C8D5A">
              <w:rPr>
                <w:rFonts w:ascii="Verdana" w:hAnsi="Verdana" w:eastAsia="Verdana" w:cs="Verdana"/>
                <w:b w:val="0"/>
                <w:bCs w:val="0"/>
                <w:color w:val="auto"/>
                <w:sz w:val="18"/>
                <w:szCs w:val="18"/>
                <w:u w:val="none"/>
              </w:rPr>
              <w:t xml:space="preserve"> </w:t>
            </w:r>
            <w:proofErr w:type="spellStart"/>
            <w:r w:rsidRPr="2E9C8D5A" w:rsidR="2E9C8D5A">
              <w:rPr>
                <w:rFonts w:ascii="Verdana" w:hAnsi="Verdana" w:eastAsia="Verdana" w:cs="Verdana"/>
                <w:b w:val="0"/>
                <w:bCs w:val="0"/>
                <w:color w:val="auto"/>
                <w:sz w:val="18"/>
                <w:szCs w:val="18"/>
                <w:u w:val="none"/>
              </w:rPr>
              <w:t>review</w:t>
            </w:r>
            <w:proofErr w:type="spellEnd"/>
            <w:r w:rsidRPr="2E9C8D5A" w:rsidR="2E9C8D5A">
              <w:rPr>
                <w:rFonts w:ascii="Verdana" w:hAnsi="Verdana" w:eastAsia="Verdana" w:cs="Verdana"/>
                <w:b w:val="0"/>
                <w:bCs w:val="0"/>
                <w:color w:val="auto"/>
                <w:sz w:val="18"/>
                <w:szCs w:val="18"/>
                <w:u w:val="none"/>
              </w:rPr>
              <w:t xml:space="preserve">. </w:t>
            </w:r>
            <w:r w:rsidRPr="2E9C8D5A" w:rsidR="2E9C8D5A">
              <w:rPr>
                <w:rFonts w:ascii="Verdana" w:hAnsi="Verdana" w:eastAsia="Verdana" w:cs="Verdana"/>
                <w:b w:val="0"/>
                <w:bCs w:val="0"/>
                <w:color w:val="auto"/>
                <w:sz w:val="18"/>
                <w:szCs w:val="18"/>
                <w:u w:val="none"/>
              </w:rPr>
              <w:t xml:space="preserve">BMC </w:t>
            </w:r>
            <w:proofErr w:type="spellStart"/>
            <w:r w:rsidRPr="2E9C8D5A" w:rsidR="2E9C8D5A">
              <w:rPr>
                <w:rFonts w:ascii="Verdana" w:hAnsi="Verdana" w:eastAsia="Verdana" w:cs="Verdana"/>
                <w:b w:val="0"/>
                <w:bCs w:val="0"/>
                <w:color w:val="auto"/>
                <w:sz w:val="18"/>
                <w:szCs w:val="18"/>
                <w:u w:val="none"/>
              </w:rPr>
              <w:t>Psychiatry</w:t>
            </w:r>
            <w:proofErr w:type="spellEnd"/>
            <w:r w:rsidRPr="2E9C8D5A" w:rsidR="2E9C8D5A">
              <w:rPr>
                <w:rFonts w:ascii="Verdana" w:hAnsi="Verdana" w:eastAsia="Verdana" w:cs="Verdana"/>
                <w:b w:val="0"/>
                <w:bCs w:val="0"/>
                <w:color w:val="auto"/>
                <w:sz w:val="18"/>
                <w:szCs w:val="18"/>
                <w:u w:val="none"/>
              </w:rPr>
              <w:t xml:space="preserve"> 2014, 14:47.</w:t>
            </w:r>
            <w:r w:rsidRPr="2E9C8D5A" w:rsidR="2E9C8D5A">
              <w:rPr>
                <w:rFonts w:ascii="Verdana" w:hAnsi="Verdana" w:eastAsia="Verdana" w:cs="Verdana"/>
                <w:b w:val="0"/>
                <w:bCs w:val="0"/>
                <w:color w:val="auto"/>
                <w:sz w:val="18"/>
                <w:szCs w:val="18"/>
              </w:rPr>
              <w:t xml:space="preserve"> </w:t>
            </w:r>
          </w:p>
        </w:tc>
      </w:tr>
      <w:tr xmlns:wp14="http://schemas.microsoft.com/office/word/2010/wordml" w:rsidRPr="00FE17E8" w:rsidR="000500F3" w:rsidTr="7ABC7D88" w14:paraId="6288610C" wp14:textId="77777777">
        <w:tc>
          <w:tcPr>
            <w:tcW w:w="6192" w:type="dxa"/>
            <w:shd w:val="clear" w:color="auto" w:fill="auto"/>
            <w:tcMar/>
          </w:tcPr>
          <w:p w:rsidRPr="00AC2F0F" w:rsidR="00002CA6" w:rsidP="00AC2F0F" w:rsidRDefault="00002CA6" w14:paraId="428C80E4" wp14:textId="2D6A264E">
            <w:pPr/>
            <w:proofErr w:type="spellStart"/>
            <w:r w:rsidRPr="2E9C8D5A" w:rsidR="2E9C8D5A">
              <w:rPr>
                <w:rFonts w:ascii="Verdana" w:hAnsi="Verdana" w:eastAsia="Verdana" w:cs="Verdana"/>
                <w:sz w:val="18"/>
                <w:szCs w:val="18"/>
              </w:rPr>
              <w:t>Introduction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Brief</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tests</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may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help</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detect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impairment</w:t>
            </w:r>
            <w:proofErr w:type="spellEnd"/>
            <w:r w:rsidRPr="2E9C8D5A" w:rsidR="2E9C8D5A">
              <w:rPr>
                <w:rFonts w:ascii="Verdana" w:hAnsi="Verdana" w:eastAsia="Verdana" w:cs="Verdana"/>
                <w:sz w:val="18"/>
                <w:szCs w:val="18"/>
              </w:rPr>
              <w:t xml:space="preserve"> (CI) in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clinical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setting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Several</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have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been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developed</w:t>
            </w:r>
            <w:proofErr w:type="spellEnd"/>
            <w:r w:rsidRPr="2E9C8D5A" w:rsidR="2E9C8D5A">
              <w:rPr>
                <w:rFonts w:ascii="Verdana" w:hAnsi="Verdana" w:eastAsia="Verdana" w:cs="Verdana"/>
                <w:sz w:val="18"/>
                <w:szCs w:val="18"/>
              </w:rPr>
              <w:t xml:space="preserve"> and/</w:t>
            </w:r>
            <w:proofErr w:type="spellStart"/>
            <w:r w:rsidRPr="2E9C8D5A" w:rsidR="2E9C8D5A">
              <w:rPr>
                <w:rFonts w:ascii="Verdana" w:hAnsi="Verdana" w:eastAsia="Verdana" w:cs="Verdana"/>
                <w:sz w:val="18"/>
                <w:szCs w:val="18"/>
              </w:rPr>
              <w:t>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validated</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our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country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but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lack</w:t>
            </w:r>
            <w:proofErr w:type="spellEnd"/>
          </w:p>
          <w:p w:rsidRPr="00AC2F0F" w:rsidR="00002CA6" w:rsidP="00AC2F0F" w:rsidRDefault="00002CA6" w14:paraId="503AC511" wp14:textId="4246C9ED">
            <w:pPr/>
            <w:proofErr w:type="spellStart"/>
            <w:r w:rsidRPr="2E9C8D5A" w:rsidR="2E9C8D5A">
              <w:rPr>
                <w:rFonts w:ascii="Verdana" w:hAnsi="Verdana" w:eastAsia="Verdana" w:cs="Verdana"/>
                <w:sz w:val="18"/>
                <w:szCs w:val="18"/>
              </w:rPr>
              <w:t>specific</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recommendations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use</w:t>
            </w:r>
            <w:proofErr w:type="spellEnd"/>
            <w:r w:rsidRPr="2E9C8D5A" w:rsidR="2E9C8D5A">
              <w:rPr>
                <w:rFonts w:ascii="Verdana" w:hAnsi="Verdana" w:eastAsia="Verdana" w:cs="Verdana"/>
                <w:sz w:val="18"/>
                <w:szCs w:val="18"/>
              </w:rPr>
              <w:t>.</w:t>
            </w:r>
          </w:p>
          <w:p w:rsidRPr="00AC2F0F" w:rsidR="00002CA6" w:rsidP="00AC2F0F" w:rsidRDefault="00002CA6" w14:paraId="32D31658" wp14:textId="16F87FFF">
            <w:pPr/>
            <w:proofErr w:type="spellStart"/>
            <w:r w:rsidRPr="2E9C8D5A" w:rsidR="2E9C8D5A">
              <w:rPr>
                <w:rFonts w:ascii="Verdana" w:hAnsi="Verdana" w:eastAsia="Verdana" w:cs="Verdana"/>
                <w:sz w:val="18"/>
                <w:szCs w:val="18"/>
              </w:rPr>
              <w:t>Development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Review</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studies</w:t>
            </w:r>
            <w:proofErr w:type="spellEnd"/>
            <w:r w:rsidRPr="2E9C8D5A" w:rsidR="2E9C8D5A">
              <w:rPr>
                <w:rFonts w:ascii="Verdana" w:hAnsi="Verdana" w:eastAsia="Verdana" w:cs="Verdana"/>
                <w:sz w:val="18"/>
                <w:szCs w:val="18"/>
              </w:rPr>
              <w:t xml:space="preserve"> on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diagnostic</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accuracy</w:t>
            </w:r>
            <w:proofErr w:type="spellEnd"/>
            <w:r w:rsidRPr="2E9C8D5A" w:rsidR="2E9C8D5A">
              <w:rPr>
                <w:rFonts w:ascii="Verdana" w:hAnsi="Verdana" w:eastAsia="Verdana" w:cs="Verdana"/>
                <w:sz w:val="18"/>
                <w:szCs w:val="18"/>
              </w:rPr>
              <w:t xml:space="preserve"> of BCT </w:t>
            </w:r>
            <w:proofErr w:type="spellStart"/>
            <w:r w:rsidRPr="2E9C8D5A" w:rsidR="2E9C8D5A">
              <w:rPr>
                <w:rFonts w:ascii="Verdana" w:hAnsi="Verdana" w:eastAsia="Verdana" w:cs="Verdana"/>
                <w:sz w:val="18"/>
                <w:szCs w:val="18"/>
              </w:rPr>
              <w:t>for</w:t>
            </w:r>
            <w:proofErr w:type="spellEnd"/>
            <w:r w:rsidRPr="2E9C8D5A" w:rsidR="2E9C8D5A">
              <w:rPr>
                <w:rFonts w:ascii="Verdana" w:hAnsi="Verdana" w:eastAsia="Verdana" w:cs="Verdana"/>
                <w:sz w:val="18"/>
                <w:szCs w:val="18"/>
              </w:rPr>
              <w:t xml:space="preserve"> CI, </w:t>
            </w:r>
            <w:proofErr w:type="spellStart"/>
            <w:r w:rsidRPr="2E9C8D5A" w:rsidR="2E9C8D5A">
              <w:rPr>
                <w:rFonts w:ascii="Verdana" w:hAnsi="Verdana" w:eastAsia="Verdana" w:cs="Verdana"/>
                <w:sz w:val="18"/>
                <w:szCs w:val="18"/>
              </w:rPr>
              <w:t>using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studies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conducted</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in Spain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which</w:t>
            </w:r>
            <w:proofErr w:type="spellEnd"/>
            <w:r w:rsidRPr="2E9C8D5A" w:rsidR="2E9C8D5A">
              <w:rPr>
                <w:rFonts w:ascii="Verdana" w:hAnsi="Verdana" w:eastAsia="Verdana" w:cs="Verdana"/>
                <w:sz w:val="18"/>
                <w:szCs w:val="18"/>
              </w:rPr>
              <w:t xml:space="preserve"> take </w:t>
            </w:r>
            <w:proofErr w:type="spellStart"/>
            <w:r w:rsidRPr="2E9C8D5A" w:rsidR="2E9C8D5A">
              <w:rPr>
                <w:rFonts w:ascii="Verdana" w:hAnsi="Verdana" w:eastAsia="Verdana" w:cs="Verdana"/>
                <w:sz w:val="18"/>
                <w:szCs w:val="18"/>
              </w:rPr>
              <w:t>less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than</w:t>
            </w:r>
            <w:proofErr w:type="spellEnd"/>
            <w:r w:rsidRPr="2E9C8D5A" w:rsidR="2E9C8D5A">
              <w:rPr>
                <w:rFonts w:ascii="Verdana" w:hAnsi="Verdana" w:eastAsia="Verdana" w:cs="Verdana"/>
                <w:sz w:val="18"/>
                <w:szCs w:val="18"/>
              </w:rPr>
              <w:t xml:space="preserve"> 20 minutes. </w:t>
            </w:r>
            <w:proofErr w:type="spellStart"/>
            <w:r w:rsidRPr="2E9C8D5A" w:rsidR="2E9C8D5A">
              <w:rPr>
                <w:rFonts w:ascii="Verdana" w:hAnsi="Verdana" w:eastAsia="Verdana" w:cs="Verdana"/>
                <w:sz w:val="18"/>
                <w:szCs w:val="18"/>
              </w:rPr>
              <w:t>We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provide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recommendations</w:t>
            </w:r>
            <w:proofErr w:type="spellEnd"/>
            <w:r w:rsidRPr="2E9C8D5A" w:rsidR="2E9C8D5A">
              <w:rPr>
                <w:rFonts w:ascii="Verdana" w:hAnsi="Verdana" w:eastAsia="Verdana" w:cs="Verdana"/>
                <w:sz w:val="18"/>
                <w:szCs w:val="18"/>
              </w:rPr>
              <w:t xml:space="preserve"> of </w:t>
            </w:r>
            <w:r w:rsidRPr="2E9C8D5A" w:rsidR="2E9C8D5A">
              <w:rPr>
                <w:rFonts w:ascii="Verdana" w:hAnsi="Verdana" w:eastAsia="Verdana" w:cs="Verdana"/>
                <w:sz w:val="18"/>
                <w:szCs w:val="18"/>
              </w:rPr>
              <w:t xml:space="preserve">use </w:t>
            </w:r>
            <w:r w:rsidRPr="2E9C8D5A" w:rsidR="2E9C8D5A">
              <w:rPr>
                <w:rFonts w:ascii="Verdana" w:hAnsi="Verdana" w:eastAsia="Verdana" w:cs="Verdana"/>
                <w:sz w:val="18"/>
                <w:szCs w:val="18"/>
              </w:rPr>
              <w:t>based</w:t>
            </w:r>
            <w:r w:rsidRPr="2E9C8D5A" w:rsidR="2E9C8D5A">
              <w:rPr>
                <w:rFonts w:ascii="Verdana" w:hAnsi="Verdana" w:eastAsia="Verdana" w:cs="Verdana"/>
                <w:sz w:val="18"/>
                <w:szCs w:val="18"/>
              </w:rPr>
              <w:t xml:space="preserve"> on </w:t>
            </w:r>
            <w:proofErr w:type="spellStart"/>
            <w:r w:rsidRPr="2E9C8D5A" w:rsidR="2E9C8D5A">
              <w:rPr>
                <w:rFonts w:ascii="Verdana" w:hAnsi="Verdana" w:eastAsia="Verdana" w:cs="Verdana"/>
                <w:sz w:val="18"/>
                <w:szCs w:val="18"/>
              </w:rPr>
              <w:t>expert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consensus</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established</w:t>
            </w:r>
            <w:proofErr w:type="spellEnd"/>
            <w:r w:rsidRPr="2E9C8D5A" w:rsidR="2E9C8D5A">
              <w:rPr>
                <w:rFonts w:ascii="Verdana" w:hAnsi="Verdana" w:eastAsia="Verdana" w:cs="Verdana"/>
                <w:sz w:val="18"/>
                <w:szCs w:val="18"/>
              </w:rPr>
              <w:t xml:space="preserve"> on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basis</w:t>
            </w:r>
            <w:proofErr w:type="spellEnd"/>
            <w:r w:rsidRPr="2E9C8D5A" w:rsidR="2E9C8D5A">
              <w:rPr>
                <w:rFonts w:ascii="Verdana" w:hAnsi="Verdana" w:eastAsia="Verdana" w:cs="Verdana"/>
                <w:sz w:val="18"/>
                <w:szCs w:val="18"/>
              </w:rPr>
              <w:t xml:space="preserve"> of BCT </w:t>
            </w:r>
            <w:proofErr w:type="spellStart"/>
            <w:r w:rsidRPr="2E9C8D5A" w:rsidR="2E9C8D5A">
              <w:rPr>
                <w:rFonts w:ascii="Verdana" w:hAnsi="Verdana" w:eastAsia="Verdana" w:cs="Verdana"/>
                <w:sz w:val="18"/>
                <w:szCs w:val="18"/>
              </w:rPr>
              <w:t>characteristics</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study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results</w:t>
            </w:r>
            <w:proofErr w:type="spellEnd"/>
            <w:r w:rsidRPr="2E9C8D5A" w:rsidR="2E9C8D5A">
              <w:rPr>
                <w:rFonts w:ascii="Verdana" w:hAnsi="Verdana" w:eastAsia="Verdana" w:cs="Verdana"/>
                <w:sz w:val="18"/>
                <w:szCs w:val="18"/>
              </w:rPr>
              <w:t>.</w:t>
            </w:r>
          </w:p>
          <w:p w:rsidRPr="00AC2F0F" w:rsidR="00002CA6" w:rsidP="00AC2F0F" w:rsidRDefault="00002CA6" w14:paraId="50D0AD08" wp14:textId="64340D79">
            <w:pPr/>
            <w:proofErr w:type="spellStart"/>
            <w:r w:rsidRPr="2E9C8D5A" w:rsidR="2E9C8D5A">
              <w:rPr>
                <w:rFonts w:ascii="Verdana" w:hAnsi="Verdana" w:eastAsia="Verdana" w:cs="Verdana"/>
                <w:sz w:val="18"/>
                <w:szCs w:val="18"/>
              </w:rPr>
              <w:t>Conclusion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Fototest,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Impairment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Screen</w:t>
            </w:r>
            <w:proofErr w:type="spellEnd"/>
            <w:r w:rsidRPr="2E9C8D5A" w:rsidR="2E9C8D5A">
              <w:rPr>
                <w:rFonts w:ascii="Verdana" w:hAnsi="Verdana" w:eastAsia="Verdana" w:cs="Verdana"/>
                <w:sz w:val="18"/>
                <w:szCs w:val="18"/>
              </w:rPr>
              <w:t xml:space="preserve"> (MIS) and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Mini-</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State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(MMSE) are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preferred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options</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primary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care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other</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Clock</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Drawing</w:t>
            </w:r>
            <w:proofErr w:type="spellEnd"/>
            <w:r w:rsidRPr="2E9C8D5A" w:rsidR="2E9C8D5A">
              <w:rPr>
                <w:rFonts w:ascii="Verdana" w:hAnsi="Verdana" w:eastAsia="Verdana" w:cs="Verdana"/>
                <w:sz w:val="18"/>
                <w:szCs w:val="18"/>
              </w:rPr>
              <w:t xml:space="preserve"> Test </w:t>
            </w:r>
            <w:r w:rsidRPr="2E9C8D5A" w:rsidR="2E9C8D5A">
              <w:rPr>
                <w:rFonts w:ascii="Verdana" w:hAnsi="Verdana" w:eastAsia="Verdana" w:cs="Verdana"/>
                <w:sz w:val="18"/>
                <w:szCs w:val="18"/>
              </w:rPr>
              <w:t xml:space="preserve">[CDT], test of </w:t>
            </w:r>
            <w:proofErr w:type="spellStart"/>
            <w:r w:rsidRPr="2E9C8D5A" w:rsidR="2E9C8D5A">
              <w:rPr>
                <w:rFonts w:ascii="Verdana" w:hAnsi="Verdana" w:eastAsia="Verdana" w:cs="Verdana"/>
                <w:sz w:val="18"/>
                <w:szCs w:val="18"/>
              </w:rPr>
              <w:t>verbal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fluency</w:t>
            </w:r>
            <w:proofErr w:type="spellEnd"/>
            <w:r w:rsidRPr="2E9C8D5A" w:rsidR="2E9C8D5A">
              <w:rPr>
                <w:rFonts w:ascii="Verdana" w:hAnsi="Verdana" w:eastAsia="Verdana" w:cs="Verdana"/>
                <w:sz w:val="18"/>
                <w:szCs w:val="18"/>
              </w:rPr>
              <w:t xml:space="preserve"> [TVF]) </w:t>
            </w:r>
            <w:proofErr w:type="spellStart"/>
            <w:r w:rsidRPr="2E9C8D5A" w:rsidR="2E9C8D5A">
              <w:rPr>
                <w:rFonts w:ascii="Verdana" w:hAnsi="Verdana" w:eastAsia="Verdana" w:cs="Verdana"/>
                <w:sz w:val="18"/>
                <w:szCs w:val="18"/>
              </w:rPr>
              <w:t>may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also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administered</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cases</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negative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results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persistent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suspected</w:t>
            </w:r>
            <w:proofErr w:type="spellEnd"/>
            <w:r w:rsidRPr="2E9C8D5A" w:rsidR="2E9C8D5A">
              <w:rPr>
                <w:rFonts w:ascii="Verdana" w:hAnsi="Verdana" w:eastAsia="Verdana" w:cs="Verdana"/>
                <w:sz w:val="18"/>
                <w:szCs w:val="18"/>
              </w:rPr>
              <w:t xml:space="preserve"> CI </w:t>
            </w:r>
            <w:proofErr w:type="spellStart"/>
            <w:r w:rsidRPr="2E9C8D5A" w:rsidR="2E9C8D5A">
              <w:rPr>
                <w:rFonts w:ascii="Verdana" w:hAnsi="Verdana" w:eastAsia="Verdana" w:cs="Verdana"/>
                <w:sz w:val="18"/>
                <w:szCs w:val="18"/>
              </w:rPr>
              <w:t>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concern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stepwise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approach</w:t>
            </w:r>
            <w:proofErr w:type="spellEnd"/>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specialised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care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setting</w:t>
            </w:r>
            <w:proofErr w:type="spellEnd"/>
            <w:r w:rsidRPr="2E9C8D5A" w:rsidR="2E9C8D5A">
              <w:rPr>
                <w:rFonts w:ascii="Verdana" w:hAnsi="Verdana" w:eastAsia="Verdana" w:cs="Verdana"/>
                <w:sz w:val="18"/>
                <w:szCs w:val="18"/>
              </w:rPr>
              <w:t xml:space="preserve">, a </w:t>
            </w:r>
            <w:proofErr w:type="spellStart"/>
            <w:r w:rsidRPr="2E9C8D5A" w:rsidR="2E9C8D5A">
              <w:rPr>
                <w:rFonts w:ascii="Verdana" w:hAnsi="Verdana" w:eastAsia="Verdana" w:cs="Verdana"/>
                <w:sz w:val="18"/>
                <w:szCs w:val="18"/>
              </w:rPr>
              <w:t>systematic</w:t>
            </w:r>
            <w:proofErr w:type="spellEnd"/>
          </w:p>
          <w:p w:rsidRPr="00AC2F0F" w:rsidR="00002CA6" w:rsidP="00AC2F0F" w:rsidRDefault="00002CA6" w14:paraId="188A9DC4" wp14:textId="7864D5F2">
            <w:pP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different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domains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should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conducted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using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Montreal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MMSE,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Rowland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Universal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Addenbrooke’s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by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means</w:t>
            </w:r>
            <w:proofErr w:type="spellEnd"/>
            <w:r w:rsidRPr="2E9C8D5A" w:rsidR="2E9C8D5A">
              <w:rPr>
                <w:rFonts w:ascii="Verdana" w:hAnsi="Verdana" w:eastAsia="Verdana" w:cs="Verdana"/>
                <w:sz w:val="18"/>
                <w:szCs w:val="18"/>
              </w:rPr>
              <w:t xml:space="preserve"> of a </w:t>
            </w:r>
            <w:proofErr w:type="spellStart"/>
            <w:r w:rsidRPr="2E9C8D5A" w:rsidR="2E9C8D5A">
              <w:rPr>
                <w:rFonts w:ascii="Verdana" w:hAnsi="Verdana" w:eastAsia="Verdana" w:cs="Verdana"/>
                <w:sz w:val="18"/>
                <w:szCs w:val="18"/>
              </w:rPr>
              <w:t>stepwise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combined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approach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involving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more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simple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tests</w:t>
            </w:r>
            <w:proofErr w:type="spellEnd"/>
            <w:r w:rsidRPr="2E9C8D5A" w:rsidR="2E9C8D5A">
              <w:rPr>
                <w:rFonts w:ascii="Verdana" w:hAnsi="Verdana" w:eastAsia="Verdana" w:cs="Verdana"/>
                <w:sz w:val="18"/>
                <w:szCs w:val="18"/>
              </w:rPr>
              <w:t xml:space="preserve"> (CDT, TVF, Fototest, MIS, </w:t>
            </w:r>
            <w:proofErr w:type="spellStart"/>
            <w:r w:rsidRPr="2E9C8D5A" w:rsidR="2E9C8D5A">
              <w:rPr>
                <w:rFonts w:ascii="Verdana" w:hAnsi="Verdana" w:eastAsia="Verdana" w:cs="Verdana"/>
                <w:sz w:val="18"/>
                <w:szCs w:val="18"/>
              </w:rPr>
              <w:t>Memory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Alteration</w:t>
            </w:r>
            <w:proofErr w:type="spellEnd"/>
            <w:r w:rsidRPr="2E9C8D5A" w:rsidR="2E9C8D5A">
              <w:rPr>
                <w:rFonts w:ascii="Verdana" w:hAnsi="Verdana" w:eastAsia="Verdana" w:cs="Verdana"/>
                <w:sz w:val="18"/>
                <w:szCs w:val="18"/>
              </w:rPr>
              <w:t xml:space="preserve"> Test, Eurotest). </w:t>
            </w:r>
            <w:proofErr w:type="spellStart"/>
            <w:r w:rsidRPr="2E9C8D5A" w:rsidR="2E9C8D5A">
              <w:rPr>
                <w:rFonts w:ascii="Verdana" w:hAnsi="Verdana" w:eastAsia="Verdana" w:cs="Verdana"/>
                <w:sz w:val="18"/>
                <w:szCs w:val="18"/>
              </w:rPr>
              <w:t>Associating</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informant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questionnaire</w:t>
            </w:r>
            <w:proofErr w:type="spellEnd"/>
            <w:r w:rsidRPr="2E9C8D5A" w:rsidR="2E9C8D5A">
              <w:rPr>
                <w:rFonts w:ascii="Verdana" w:hAnsi="Verdana" w:eastAsia="Verdana" w:cs="Verdana"/>
                <w:sz w:val="18"/>
                <w:szCs w:val="18"/>
              </w:rPr>
              <w:t xml:space="preserve"> (IQ) </w:t>
            </w:r>
            <w:proofErr w:type="spellStart"/>
            <w:r w:rsidRPr="2E9C8D5A" w:rsidR="2E9C8D5A">
              <w:rPr>
                <w:rFonts w:ascii="Verdana" w:hAnsi="Verdana" w:eastAsia="Verdana" w:cs="Verdana"/>
                <w:sz w:val="18"/>
                <w:szCs w:val="18"/>
              </w:rPr>
              <w:t>with</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superior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to</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BCT </w:t>
            </w:r>
            <w:proofErr w:type="spellStart"/>
            <w:r w:rsidRPr="2E9C8D5A" w:rsidR="2E9C8D5A">
              <w:rPr>
                <w:rFonts w:ascii="Verdana" w:hAnsi="Verdana" w:eastAsia="Verdana" w:cs="Verdana"/>
                <w:sz w:val="18"/>
                <w:szCs w:val="18"/>
              </w:rPr>
              <w:t>alone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for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detection</w:t>
            </w:r>
            <w:proofErr w:type="spellEnd"/>
            <w:r w:rsidRPr="2E9C8D5A" w:rsidR="2E9C8D5A">
              <w:rPr>
                <w:rFonts w:ascii="Verdana" w:hAnsi="Verdana" w:eastAsia="Verdana" w:cs="Verdana"/>
                <w:sz w:val="18"/>
                <w:szCs w:val="18"/>
              </w:rPr>
              <w:t xml:space="preserve"> of CI.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choice</w:t>
            </w:r>
            <w:proofErr w:type="spellEnd"/>
            <w:r w:rsidRPr="2E9C8D5A" w:rsidR="2E9C8D5A">
              <w:rPr>
                <w:rFonts w:ascii="Verdana" w:hAnsi="Verdana" w:eastAsia="Verdana" w:cs="Verdana"/>
                <w:sz w:val="18"/>
                <w:szCs w:val="18"/>
              </w:rPr>
              <w:t xml:space="preserve"> of </w:t>
            </w:r>
            <w:proofErr w:type="spellStart"/>
            <w:r w:rsidRPr="2E9C8D5A" w:rsidR="2E9C8D5A">
              <w:rPr>
                <w:rFonts w:ascii="Verdana" w:hAnsi="Verdana" w:eastAsia="Verdana" w:cs="Verdana"/>
                <w:sz w:val="18"/>
                <w:szCs w:val="18"/>
              </w:rPr>
              <w:t>instruments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will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depend</w:t>
            </w:r>
            <w:proofErr w:type="spellEnd"/>
            <w:r w:rsidRPr="2E9C8D5A" w:rsidR="2E9C8D5A">
              <w:rPr>
                <w:rFonts w:ascii="Verdana" w:hAnsi="Verdana" w:eastAsia="Verdana" w:cs="Verdana"/>
                <w:sz w:val="18"/>
                <w:szCs w:val="18"/>
              </w:rPr>
              <w:t xml:space="preserve"> on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patient’s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characteristics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clinician’s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experience</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and </w:t>
            </w:r>
            <w:proofErr w:type="spellStart"/>
            <w:r w:rsidRPr="2E9C8D5A" w:rsidR="2E9C8D5A">
              <w:rPr>
                <w:rFonts w:ascii="Verdana" w:hAnsi="Verdana" w:eastAsia="Verdana" w:cs="Verdana"/>
                <w:sz w:val="18"/>
                <w:szCs w:val="18"/>
              </w:rPr>
              <w:t>available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time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The</w:t>
            </w:r>
            <w:proofErr w:type="spellEnd"/>
            <w:r w:rsidRPr="2E9C8D5A" w:rsidR="2E9C8D5A">
              <w:rPr>
                <w:rFonts w:ascii="Verdana" w:hAnsi="Verdana" w:eastAsia="Verdana" w:cs="Verdana"/>
                <w:sz w:val="18"/>
                <w:szCs w:val="18"/>
              </w:rPr>
              <w:t xml:space="preserve"> BCT and IQ must </w:t>
            </w:r>
            <w:proofErr w:type="spellStart"/>
            <w:r w:rsidRPr="2E9C8D5A" w:rsidR="2E9C8D5A">
              <w:rPr>
                <w:rFonts w:ascii="Verdana" w:hAnsi="Verdana" w:eastAsia="Verdana" w:cs="Verdana"/>
                <w:sz w:val="18"/>
                <w:szCs w:val="18"/>
              </w:rPr>
              <w:t>reinforce</w:t>
            </w:r>
            <w:proofErr w:type="spellEnd"/>
            <w:r w:rsidRPr="2E9C8D5A" w:rsidR="2E9C8D5A">
              <w:rPr>
                <w:rFonts w:ascii="Verdana" w:hAnsi="Verdana" w:eastAsia="Verdana" w:cs="Verdana"/>
                <w:sz w:val="18"/>
                <w:szCs w:val="18"/>
              </w:rPr>
              <w:t>—–</w:t>
            </w:r>
            <w:proofErr w:type="spellStart"/>
            <w:r w:rsidRPr="2E9C8D5A" w:rsidR="2E9C8D5A">
              <w:rPr>
                <w:rFonts w:ascii="Verdana" w:hAnsi="Verdana" w:eastAsia="Verdana" w:cs="Verdana"/>
                <w:sz w:val="18"/>
                <w:szCs w:val="18"/>
              </w:rPr>
              <w:t>but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never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substitute</w:t>
            </w:r>
            <w:proofErr w:type="spellEnd"/>
            <w:r w:rsidRPr="2E9C8D5A" w:rsidR="2E9C8D5A">
              <w:rPr>
                <w:rFonts w:ascii="Verdana" w:hAnsi="Verdana" w:eastAsia="Verdana" w:cs="Verdana"/>
                <w:sz w:val="18"/>
                <w:szCs w:val="18"/>
              </w:rPr>
              <w:t>—–</w:t>
            </w:r>
            <w:proofErr w:type="spellStart"/>
            <w:r w:rsidRPr="2E9C8D5A" w:rsidR="2E9C8D5A">
              <w:rPr>
                <w:rFonts w:ascii="Verdana" w:hAnsi="Verdana" w:eastAsia="Verdana" w:cs="Verdana"/>
                <w:sz w:val="18"/>
                <w:szCs w:val="18"/>
              </w:rPr>
              <w:t>clinical</w:t>
            </w:r>
            <w:proofErr w:type="spellEnd"/>
          </w:p>
          <w:p w:rsidRPr="00AC2F0F" w:rsidR="00002CA6" w:rsidP="00AC2F0F" w:rsidRDefault="00002CA6" w14:paraId="0D5B7336" wp14:textId="688269DC">
            <w:pPr>
              <w:rPr>
                <w:rFonts w:ascii="Verdana" w:hAnsi="Verdana" w:cs="Arial"/>
                <w:color w:val="000080"/>
                <w:sz w:val="18"/>
                <w:szCs w:val="18"/>
                <w:lang w:val="en-US"/>
              </w:rPr>
            </w:pPr>
            <w:proofErr w:type="spellStart"/>
            <w:r w:rsidRPr="2E9C8D5A" w:rsidR="2E9C8D5A">
              <w:rPr>
                <w:rFonts w:ascii="Verdana" w:hAnsi="Verdana" w:eastAsia="Verdana" w:cs="Verdana"/>
                <w:sz w:val="18"/>
                <w:szCs w:val="18"/>
              </w:rPr>
              <w:t>judgement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patient</w:t>
            </w:r>
            <w:proofErr w:type="spellEnd"/>
            <w:r w:rsidRPr="2E9C8D5A" w:rsidR="2E9C8D5A">
              <w:rPr>
                <w:rFonts w:ascii="Verdana" w:hAnsi="Verdana" w:eastAsia="Verdana" w:cs="Verdana"/>
                <w:sz w:val="18"/>
                <w:szCs w:val="18"/>
              </w:rPr>
              <w:t>—</w:t>
            </w:r>
            <w:proofErr w:type="spellStart"/>
            <w:r w:rsidRPr="2E9C8D5A" w:rsidR="2E9C8D5A">
              <w:rPr>
                <w:rFonts w:ascii="Verdana" w:hAnsi="Verdana" w:eastAsia="Verdana" w:cs="Verdana"/>
                <w:sz w:val="18"/>
                <w:szCs w:val="18"/>
              </w:rPr>
              <w:t>doctor</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communication</w:t>
            </w:r>
            <w:proofErr w:type="spellEnd"/>
            <w:r w:rsidRPr="2E9C8D5A" w:rsidR="2E9C8D5A">
              <w:rPr>
                <w:rFonts w:ascii="Verdana" w:hAnsi="Verdana" w:eastAsia="Verdana" w:cs="Verdana"/>
                <w:sz w:val="18"/>
                <w:szCs w:val="18"/>
              </w:rPr>
              <w:t>, and inter-</w:t>
            </w:r>
            <w:proofErr w:type="spellStart"/>
            <w:r w:rsidRPr="2E9C8D5A" w:rsidR="2E9C8D5A">
              <w:rPr>
                <w:rFonts w:ascii="Verdana" w:hAnsi="Verdana" w:eastAsia="Verdana" w:cs="Verdana"/>
                <w:sz w:val="18"/>
                <w:szCs w:val="18"/>
              </w:rPr>
              <w:t>professional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dialogue</w:t>
            </w:r>
            <w:proofErr w:type="spellEnd"/>
            <w:r w:rsidRPr="2E9C8D5A" w:rsidR="2E9C8D5A">
              <w:rPr>
                <w:rFonts w:ascii="Verdana" w:hAnsi="Verdana" w:eastAsia="Verdana" w:cs="Verdana"/>
                <w:sz w:val="18"/>
                <w:szCs w:val="18"/>
              </w:rPr>
              <w:t>.</w:t>
            </w:r>
          </w:p>
        </w:tc>
        <w:tc>
          <w:tcPr>
            <w:tcW w:w="3096" w:type="dxa"/>
            <w:shd w:val="clear" w:color="auto" w:fill="auto"/>
            <w:tcMar/>
          </w:tcPr>
          <w:p w:rsidRPr="00AC2F0F" w:rsidR="000500F3" w:rsidP="2E9C8D5A" w:rsidRDefault="000500F3" w14:paraId="0475B36F" wp14:textId="6B371B86">
            <w:pPr>
              <w:shd w:val="clear" w:color="auto" w:fill="FFFFFF" w:themeFill="background1"/>
              <w:ind w:right="240"/>
              <w:jc w:val="both"/>
              <w:rPr>
                <w:rFonts w:ascii="Verdana" w:hAnsi="Verdana" w:cs="Arial"/>
                <w:color w:val="000080"/>
                <w:sz w:val="18"/>
                <w:szCs w:val="18"/>
                <w:lang w:val="en-US"/>
              </w:rPr>
            </w:pPr>
            <w:r w:rsidRPr="2E9C8D5A" w:rsidR="2E9C8D5A">
              <w:rPr>
                <w:rFonts w:ascii="Verdana" w:hAnsi="Verdana" w:eastAsia="Verdana" w:cs="Verdana"/>
                <w:b w:val="0"/>
                <w:bCs w:val="0"/>
                <w:sz w:val="18"/>
                <w:szCs w:val="18"/>
                <w:u w:val="none"/>
              </w:rPr>
              <w:t>2.</w:t>
            </w:r>
            <w:r w:rsidRPr="2E9C8D5A" w:rsidR="2E9C8D5A">
              <w:rPr>
                <w:rFonts w:ascii="Verdana" w:hAnsi="Verdana" w:eastAsia="Verdana" w:cs="Verdana"/>
                <w:b w:val="0"/>
                <w:bCs w:val="0"/>
                <w:sz w:val="18"/>
                <w:szCs w:val="18"/>
                <w:u w:val="none"/>
              </w:rPr>
              <w:t>Olazar</w:t>
            </w:r>
            <w:proofErr w:type="spellStart"/>
            <w:r w:rsidRPr="2E9C8D5A" w:rsidR="2E9C8D5A">
              <w:rPr>
                <w:rFonts w:ascii="Verdana" w:hAnsi="Verdana" w:eastAsia="Verdana" w:cs="Verdana"/>
                <w:b w:val="0"/>
                <w:bCs w:val="0"/>
                <w:sz w:val="18"/>
                <w:szCs w:val="18"/>
                <w:u w:val="none"/>
              </w:rPr>
              <w:t>án</w:t>
            </w:r>
            <w:proofErr w:type="spellEnd"/>
            <w:r w:rsidRPr="2E9C8D5A" w:rsidR="2E9C8D5A">
              <w:rPr>
                <w:rFonts w:ascii="Verdana" w:hAnsi="Verdana" w:eastAsia="Verdana" w:cs="Verdana"/>
                <w:b w:val="0"/>
                <w:bCs w:val="0"/>
                <w:sz w:val="18"/>
                <w:szCs w:val="18"/>
                <w:u w:val="none"/>
              </w:rPr>
              <w:t xml:space="preserve"> J, </w:t>
            </w:r>
            <w:proofErr w:type="spellStart"/>
            <w:r w:rsidRPr="2E9C8D5A" w:rsidR="2E9C8D5A">
              <w:rPr>
                <w:rFonts w:ascii="Verdana" w:hAnsi="Verdana" w:eastAsia="Verdana" w:cs="Verdana"/>
                <w:b w:val="0"/>
                <w:bCs w:val="0"/>
                <w:sz w:val="18"/>
                <w:szCs w:val="18"/>
                <w:u w:val="none"/>
              </w:rPr>
              <w:t>Hoyos-Alonso</w:t>
            </w:r>
            <w:proofErr w:type="spellEnd"/>
            <w:r w:rsidRPr="2E9C8D5A" w:rsidR="2E9C8D5A">
              <w:rPr>
                <w:rFonts w:ascii="Verdana" w:hAnsi="Verdana" w:eastAsia="Verdana" w:cs="Verdana"/>
                <w:b w:val="0"/>
                <w:bCs w:val="0"/>
                <w:sz w:val="18"/>
                <w:szCs w:val="18"/>
                <w:u w:val="none"/>
              </w:rPr>
              <w:t xml:space="preserve"> MC, </w:t>
            </w:r>
            <w:proofErr w:type="spellStart"/>
            <w:r w:rsidRPr="2E9C8D5A" w:rsidR="2E9C8D5A">
              <w:rPr>
                <w:rFonts w:ascii="Verdana" w:hAnsi="Verdana" w:eastAsia="Verdana" w:cs="Verdana"/>
                <w:b w:val="0"/>
                <w:bCs w:val="0"/>
                <w:sz w:val="18"/>
                <w:szCs w:val="18"/>
                <w:u w:val="none"/>
              </w:rPr>
              <w:t>del</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Ser</w:t>
            </w:r>
            <w:proofErr w:type="spellEnd"/>
            <w:r w:rsidRPr="2E9C8D5A" w:rsidR="2E9C8D5A">
              <w:rPr>
                <w:rFonts w:ascii="Verdana" w:hAnsi="Verdana" w:eastAsia="Verdana" w:cs="Verdana"/>
                <w:b w:val="0"/>
                <w:bCs w:val="0"/>
                <w:sz w:val="18"/>
                <w:szCs w:val="18"/>
                <w:u w:val="none"/>
              </w:rPr>
              <w:t xml:space="preserve"> T, </w:t>
            </w:r>
            <w:proofErr w:type="spellStart"/>
            <w:r w:rsidRPr="2E9C8D5A" w:rsidR="2E9C8D5A">
              <w:rPr>
                <w:rFonts w:ascii="Verdana" w:hAnsi="Verdana" w:eastAsia="Verdana" w:cs="Verdana"/>
                <w:b w:val="0"/>
                <w:bCs w:val="0"/>
                <w:sz w:val="18"/>
                <w:szCs w:val="18"/>
                <w:u w:val="none"/>
              </w:rPr>
              <w:t>Garrido</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Barral</w:t>
            </w:r>
            <w:proofErr w:type="spellEnd"/>
            <w:r w:rsidRPr="2E9C8D5A" w:rsidR="2E9C8D5A">
              <w:rPr>
                <w:rFonts w:ascii="Verdana" w:hAnsi="Verdana" w:eastAsia="Verdana" w:cs="Verdana"/>
                <w:b w:val="0"/>
                <w:bCs w:val="0"/>
                <w:sz w:val="18"/>
                <w:szCs w:val="18"/>
                <w:u w:val="none"/>
              </w:rPr>
              <w:t xml:space="preserve"> A, </w:t>
            </w:r>
            <w:proofErr w:type="spellStart"/>
            <w:r w:rsidRPr="2E9C8D5A" w:rsidR="2E9C8D5A">
              <w:rPr>
                <w:rFonts w:ascii="Verdana" w:hAnsi="Verdana" w:eastAsia="Verdana" w:cs="Verdana"/>
                <w:b w:val="0"/>
                <w:bCs w:val="0"/>
                <w:sz w:val="18"/>
                <w:szCs w:val="18"/>
                <w:u w:val="none"/>
              </w:rPr>
              <w:t>Conde</w:t>
            </w:r>
            <w:proofErr w:type="spellEnd"/>
            <w:r w:rsidRPr="2E9C8D5A" w:rsidR="2E9C8D5A">
              <w:rPr>
                <w:rFonts w:ascii="Verdana" w:hAnsi="Verdana" w:eastAsia="Verdana" w:cs="Verdana"/>
                <w:b w:val="0"/>
                <w:bCs w:val="0"/>
                <w:sz w:val="18"/>
                <w:szCs w:val="18"/>
                <w:u w:val="none"/>
              </w:rPr>
              <w:t xml:space="preserve">-Sala JL, </w:t>
            </w:r>
            <w:proofErr w:type="spellStart"/>
            <w:r w:rsidRPr="2E9C8D5A" w:rsidR="2E9C8D5A">
              <w:rPr>
                <w:rFonts w:ascii="Verdana" w:hAnsi="Verdana" w:eastAsia="Verdana" w:cs="Verdana"/>
                <w:b w:val="0"/>
                <w:bCs w:val="0"/>
                <w:sz w:val="18"/>
                <w:szCs w:val="18"/>
                <w:u w:val="none"/>
              </w:rPr>
              <w:t>Bermejo-Pareja</w:t>
            </w:r>
            <w:proofErr w:type="spellEnd"/>
            <w:r w:rsidRPr="2E9C8D5A" w:rsidR="2E9C8D5A">
              <w:rPr>
                <w:rFonts w:ascii="Verdana" w:hAnsi="Verdana" w:eastAsia="Verdana" w:cs="Verdana"/>
                <w:b w:val="0"/>
                <w:bCs w:val="0"/>
                <w:sz w:val="18"/>
                <w:szCs w:val="18"/>
                <w:u w:val="none"/>
              </w:rPr>
              <w:t xml:space="preserve"> F, et </w:t>
            </w:r>
            <w:proofErr w:type="spellStart"/>
            <w:r w:rsidRPr="2E9C8D5A" w:rsidR="2E9C8D5A">
              <w:rPr>
                <w:rFonts w:ascii="Verdana" w:hAnsi="Verdana" w:eastAsia="Verdana" w:cs="Verdana"/>
                <w:b w:val="0"/>
                <w:bCs w:val="0"/>
                <w:sz w:val="18"/>
                <w:szCs w:val="18"/>
                <w:u w:val="none"/>
              </w:rPr>
              <w:t>al</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Practical</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application</w:t>
            </w:r>
            <w:proofErr w:type="spellEnd"/>
            <w:r w:rsidRPr="2E9C8D5A" w:rsidR="2E9C8D5A">
              <w:rPr>
                <w:rFonts w:ascii="Verdana" w:hAnsi="Verdana" w:eastAsia="Verdana" w:cs="Verdana"/>
                <w:b w:val="0"/>
                <w:bCs w:val="0"/>
                <w:sz w:val="18"/>
                <w:szCs w:val="18"/>
                <w:u w:val="none"/>
              </w:rPr>
              <w:t xml:space="preserve"> of </w:t>
            </w:r>
            <w:proofErr w:type="spellStart"/>
            <w:r w:rsidRPr="2E9C8D5A" w:rsidR="2E9C8D5A">
              <w:rPr>
                <w:rFonts w:ascii="Verdana" w:hAnsi="Verdana" w:eastAsia="Verdana" w:cs="Verdana"/>
                <w:b w:val="0"/>
                <w:bCs w:val="0"/>
                <w:sz w:val="18"/>
                <w:szCs w:val="18"/>
                <w:u w:val="none"/>
              </w:rPr>
              <w:t>brief</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cognitive</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tests</w:t>
            </w:r>
            <w:proofErr w:type="spellEnd"/>
            <w:r w:rsidRPr="2E9C8D5A" w:rsidR="2E9C8D5A">
              <w:rPr>
                <w:rFonts w:ascii="Verdana" w:hAnsi="Verdana" w:eastAsia="Verdana" w:cs="Verdana"/>
                <w:b w:val="0"/>
                <w:bCs w:val="0"/>
                <w:sz w:val="18"/>
                <w:szCs w:val="18"/>
                <w:u w:val="none"/>
              </w:rPr>
              <w:t xml:space="preserve">. </w:t>
            </w:r>
            <w:proofErr w:type="spellStart"/>
            <w:r w:rsidRPr="2E9C8D5A" w:rsidR="2E9C8D5A">
              <w:rPr>
                <w:rFonts w:ascii="Verdana" w:hAnsi="Verdana" w:eastAsia="Verdana" w:cs="Verdana"/>
                <w:b w:val="0"/>
                <w:bCs w:val="0"/>
                <w:sz w:val="18"/>
                <w:szCs w:val="18"/>
                <w:u w:val="none"/>
              </w:rPr>
              <w:t>Neurología</w:t>
            </w:r>
            <w:proofErr w:type="spellEnd"/>
            <w:r w:rsidRPr="2E9C8D5A" w:rsidR="2E9C8D5A">
              <w:rPr>
                <w:rFonts w:ascii="Verdana" w:hAnsi="Verdana" w:eastAsia="Verdana" w:cs="Verdana"/>
                <w:b w:val="0"/>
                <w:bCs w:val="0"/>
                <w:sz w:val="18"/>
                <w:szCs w:val="18"/>
                <w:u w:val="none"/>
              </w:rPr>
              <w:t>. 2016;31:183—194</w:t>
            </w:r>
          </w:p>
        </w:tc>
      </w:tr>
      <w:tr xmlns:wp14="http://schemas.microsoft.com/office/word/2010/wordml" w:rsidRPr="00FE17E8" w:rsidR="000500F3" w:rsidTr="7ABC7D88" w14:paraId="389C9F27" wp14:textId="77777777">
        <w:tc>
          <w:tcPr>
            <w:tcW w:w="6192" w:type="dxa"/>
            <w:shd w:val="clear" w:color="auto" w:fill="auto"/>
            <w:tcMar/>
          </w:tcPr>
          <w:p w:rsidRPr="00AC2F0F" w:rsidR="000500F3" w:rsidP="00AC2F0F" w:rsidRDefault="000500F3" w14:paraId="4CD9846F" wp14:textId="2D3F4FD9">
            <w:pP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Centers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Medicare</w:t>
            </w:r>
            <w:proofErr w:type="spellEnd"/>
            <w:r w:rsidRPr="1D49354F" w:rsidR="1D49354F">
              <w:rPr>
                <w:rFonts w:ascii="Verdana" w:hAnsi="Verdana" w:eastAsia="Verdana" w:cs="Verdana"/>
                <w:sz w:val="18"/>
                <w:szCs w:val="18"/>
              </w:rPr>
              <w:t xml:space="preserve"> and </w:t>
            </w:r>
            <w:proofErr w:type="spellStart"/>
            <w:r w:rsidRPr="1D49354F" w:rsidR="1D49354F">
              <w:rPr>
                <w:rFonts w:ascii="Verdana" w:hAnsi="Verdana" w:eastAsia="Verdana" w:cs="Verdana"/>
                <w:sz w:val="18"/>
                <w:szCs w:val="18"/>
              </w:rPr>
              <w:t>Medicaid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Services</w:t>
            </w:r>
            <w:proofErr w:type="spellEnd"/>
            <w:r w:rsidRPr="1D49354F" w:rsidR="1D49354F">
              <w:rPr>
                <w:rFonts w:ascii="Verdana" w:hAnsi="Verdana" w:eastAsia="Verdana" w:cs="Verdana"/>
                <w:sz w:val="18"/>
                <w:szCs w:val="18"/>
              </w:rPr>
              <w:t xml:space="preserve"> (CMS) </w:t>
            </w:r>
            <w:proofErr w:type="spellStart"/>
            <w:r w:rsidRPr="1D49354F" w:rsidR="1D49354F">
              <w:rPr>
                <w:rFonts w:ascii="Verdana" w:hAnsi="Verdana" w:eastAsia="Verdana" w:cs="Verdana"/>
                <w:sz w:val="18"/>
                <w:szCs w:val="18"/>
              </w:rPr>
              <w:t>elected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not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to</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recommend</w:t>
            </w:r>
            <w:proofErr w:type="spellEnd"/>
            <w:r w:rsidRPr="1D49354F" w:rsidR="1D49354F">
              <w:rPr>
                <w:rFonts w:ascii="Verdana" w:hAnsi="Verdana" w:eastAsia="Verdana" w:cs="Verdana"/>
                <w:sz w:val="18"/>
                <w:szCs w:val="18"/>
              </w:rPr>
              <w:t xml:space="preserve"> </w:t>
            </w:r>
            <w:r w:rsidRPr="1D49354F" w:rsidR="1D49354F">
              <w:rPr>
                <w:rFonts w:ascii="Verdana" w:hAnsi="Verdana" w:eastAsia="Verdana" w:cs="Verdana"/>
                <w:sz w:val="18"/>
                <w:szCs w:val="18"/>
              </w:rPr>
              <w:t xml:space="preserve">a </w:t>
            </w:r>
            <w:proofErr w:type="spellStart"/>
            <w:r w:rsidRPr="1D49354F" w:rsidR="1D49354F">
              <w:rPr>
                <w:rFonts w:ascii="Verdana" w:hAnsi="Verdana" w:eastAsia="Verdana" w:cs="Verdana"/>
                <w:sz w:val="18"/>
                <w:szCs w:val="18"/>
              </w:rPr>
              <w:t>specific</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assessment</w:t>
            </w:r>
            <w:proofErr w:type="spellEnd"/>
            <w:r w:rsidRPr="1D49354F" w:rsidR="1D49354F">
              <w:rPr>
                <w:rFonts w:ascii="Verdana" w:hAnsi="Verdana" w:eastAsia="Verdana" w:cs="Verdana"/>
                <w:sz w:val="18"/>
                <w:szCs w:val="18"/>
              </w:rPr>
              <w:t xml:space="preserve"> tool </w:t>
            </w:r>
            <w:proofErr w:type="spellStart"/>
            <w:r w:rsidRPr="1D49354F" w:rsidR="1D49354F">
              <w:rPr>
                <w:rFonts w:ascii="Verdana" w:hAnsi="Verdana" w:eastAsia="Verdana" w:cs="Verdana"/>
                <w:sz w:val="18"/>
                <w:szCs w:val="18"/>
              </w:rPr>
              <w:t>because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there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is</w:t>
            </w:r>
            <w:proofErr w:type="spellEnd"/>
            <w:r w:rsidRPr="1D49354F" w:rsidR="1D49354F">
              <w:rPr>
                <w:rFonts w:ascii="Verdana" w:hAnsi="Verdana" w:eastAsia="Verdana" w:cs="Verdana"/>
                <w:sz w:val="18"/>
                <w:szCs w:val="18"/>
              </w:rPr>
              <w:t xml:space="preserve"> no </w:t>
            </w:r>
            <w:proofErr w:type="spellStart"/>
            <w:r w:rsidRPr="1D49354F" w:rsidR="1D49354F">
              <w:rPr>
                <w:rFonts w:ascii="Verdana" w:hAnsi="Verdana" w:eastAsia="Verdana" w:cs="Verdana"/>
                <w:sz w:val="18"/>
                <w:szCs w:val="18"/>
              </w:rPr>
              <w:t>single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universally</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accepted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screen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that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satisfies</w:t>
            </w:r>
            <w:proofErr w:type="spellEnd"/>
            <w:r w:rsidRPr="1D49354F" w:rsidR="1D49354F">
              <w:rPr>
                <w:rFonts w:ascii="Verdana" w:hAnsi="Verdana" w:eastAsia="Verdana" w:cs="Verdana"/>
                <w:sz w:val="18"/>
                <w:szCs w:val="18"/>
              </w:rPr>
              <w:t xml:space="preserve"> all </w:t>
            </w:r>
            <w:proofErr w:type="spellStart"/>
            <w:r w:rsidRPr="1D49354F" w:rsidR="1D49354F">
              <w:rPr>
                <w:rFonts w:ascii="Verdana" w:hAnsi="Verdana" w:eastAsia="Verdana" w:cs="Verdana"/>
                <w:sz w:val="18"/>
                <w:szCs w:val="18"/>
              </w:rPr>
              <w:t>needs</w:t>
            </w:r>
            <w:proofErr w:type="spellEnd"/>
            <w:r w:rsidRPr="1D49354F" w:rsidR="1D49354F">
              <w:rPr>
                <w:rFonts w:ascii="Verdana" w:hAnsi="Verdana" w:eastAsia="Verdana" w:cs="Verdana"/>
                <w:sz w:val="18"/>
                <w:szCs w:val="18"/>
              </w:rPr>
              <w:t xml:space="preserve"> in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detection</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cognitive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impairment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To</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provide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primary</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care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physicians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with</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guidance</w:t>
            </w:r>
            <w:proofErr w:type="spellEnd"/>
            <w:r w:rsidRPr="1D49354F" w:rsidR="1D49354F">
              <w:rPr>
                <w:rFonts w:ascii="Verdana" w:hAnsi="Verdana" w:eastAsia="Verdana" w:cs="Verdana"/>
                <w:sz w:val="18"/>
                <w:szCs w:val="18"/>
              </w:rPr>
              <w:t xml:space="preserve"> on </w:t>
            </w:r>
            <w:proofErr w:type="spellStart"/>
            <w:r w:rsidRPr="1D49354F" w:rsidR="1D49354F">
              <w:rPr>
                <w:rFonts w:ascii="Verdana" w:hAnsi="Verdana" w:eastAsia="Verdana" w:cs="Verdana"/>
                <w:sz w:val="18"/>
                <w:szCs w:val="18"/>
              </w:rPr>
              <w:t>cognitive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assessment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during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AWV, and </w:t>
            </w:r>
            <w:proofErr w:type="spellStart"/>
            <w:r w:rsidRPr="1D49354F" w:rsidR="1D49354F">
              <w:rPr>
                <w:rFonts w:ascii="Verdana" w:hAnsi="Verdana" w:eastAsia="Verdana" w:cs="Verdana"/>
                <w:sz w:val="18"/>
                <w:szCs w:val="18"/>
              </w:rPr>
              <w:t>when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referral</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further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testing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is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needed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Alzheimer’s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Association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convened</w:t>
            </w:r>
            <w:proofErr w:type="spellEnd"/>
            <w:r w:rsidRPr="1D49354F" w:rsidR="1D49354F">
              <w:rPr>
                <w:rFonts w:ascii="Verdana" w:hAnsi="Verdana" w:eastAsia="Verdana" w:cs="Verdana"/>
                <w:sz w:val="18"/>
                <w:szCs w:val="18"/>
              </w:rPr>
              <w:t xml:space="preserve"> a </w:t>
            </w:r>
            <w:proofErr w:type="spellStart"/>
            <w:r w:rsidRPr="1D49354F" w:rsidR="1D49354F">
              <w:rPr>
                <w:rFonts w:ascii="Verdana" w:hAnsi="Verdana" w:eastAsia="Verdana" w:cs="Verdana"/>
                <w:sz w:val="18"/>
                <w:szCs w:val="18"/>
              </w:rPr>
              <w:t>group</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experts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to</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develop</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recommendations</w:t>
            </w:r>
            <w:proofErr w:type="spellEnd"/>
            <w:r w:rsidRPr="1D49354F" w:rsidR="1D49354F">
              <w:rPr>
                <w:rFonts w:ascii="Verdana" w:hAnsi="Verdana" w:eastAsia="Verdana" w:cs="Verdana"/>
                <w:sz w:val="18"/>
                <w:szCs w:val="18"/>
              </w:rPr>
              <w:t>.</w:t>
            </w:r>
          </w:p>
          <w:p w:rsidRPr="00AC2F0F" w:rsidR="000500F3" w:rsidP="00AC2F0F" w:rsidRDefault="000500F3" w14:paraId="482D1763" wp14:textId="474DCE02">
            <w:pPr>
              <w:rPr>
                <w:rFonts w:ascii="Verdana" w:hAnsi="Verdana" w:cs="Arial"/>
                <w:color w:val="000080"/>
                <w:sz w:val="18"/>
                <w:szCs w:val="18"/>
              </w:rPr>
            </w:pP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resulting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Alzheimer’s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Association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Medicare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Annual</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Wellness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Visit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Algorithm</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Assessment</w:t>
            </w:r>
            <w:proofErr w:type="spellEnd"/>
            <w:r w:rsidRPr="1D49354F" w:rsidR="1D49354F">
              <w:rPr>
                <w:rFonts w:ascii="Verdana" w:hAnsi="Verdana" w:eastAsia="Verdana" w:cs="Verdana"/>
                <w:sz w:val="18"/>
                <w:szCs w:val="18"/>
              </w:rPr>
              <w:t xml:space="preserve"> </w:t>
            </w:r>
            <w:r w:rsidRPr="1D49354F" w:rsidR="1D49354F">
              <w:rPr>
                <w:rFonts w:ascii="Verdana" w:hAnsi="Verdana" w:eastAsia="Verdana" w:cs="Verdana"/>
                <w:sz w:val="18"/>
                <w:szCs w:val="18"/>
              </w:rPr>
              <w:t xml:space="preserve">of </w:t>
            </w:r>
            <w:proofErr w:type="spellStart"/>
            <w:r w:rsidRPr="1D49354F" w:rsidR="1D49354F">
              <w:rPr>
                <w:rFonts w:ascii="Verdana" w:hAnsi="Verdana" w:eastAsia="Verdana" w:cs="Verdana"/>
                <w:sz w:val="18"/>
                <w:szCs w:val="18"/>
              </w:rPr>
              <w:t>Cognition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includes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review</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patient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Health</w:t>
            </w:r>
            <w:proofErr w:type="spellEnd"/>
            <w:r w:rsidRPr="1D49354F" w:rsidR="1D49354F">
              <w:rPr>
                <w:rFonts w:ascii="Verdana" w:hAnsi="Verdana" w:eastAsia="Verdana" w:cs="Verdana"/>
                <w:sz w:val="18"/>
                <w:szCs w:val="18"/>
              </w:rPr>
              <w:t xml:space="preserve"> Risk </w:t>
            </w:r>
            <w:proofErr w:type="spellStart"/>
            <w:r w:rsidRPr="1D49354F" w:rsidR="1D49354F">
              <w:rPr>
                <w:rFonts w:ascii="Verdana" w:hAnsi="Verdana" w:eastAsia="Verdana" w:cs="Verdana"/>
                <w:sz w:val="18"/>
                <w:szCs w:val="18"/>
              </w:rPr>
              <w:t>Assessment</w:t>
            </w:r>
            <w:proofErr w:type="spellEnd"/>
            <w:r w:rsidRPr="1D49354F" w:rsidR="1D49354F">
              <w:rPr>
                <w:rFonts w:ascii="Verdana" w:hAnsi="Verdana" w:eastAsia="Verdana" w:cs="Verdana"/>
                <w:sz w:val="18"/>
                <w:szCs w:val="18"/>
              </w:rPr>
              <w:t xml:space="preserve"> (HRA) </w:t>
            </w:r>
            <w:proofErr w:type="spellStart"/>
            <w:r w:rsidRPr="1D49354F" w:rsidR="1D49354F">
              <w:rPr>
                <w:rFonts w:ascii="Verdana" w:hAnsi="Verdana" w:eastAsia="Verdana" w:cs="Verdana"/>
                <w:sz w:val="18"/>
                <w:szCs w:val="18"/>
              </w:rPr>
              <w:t>information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patient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observation</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unstructured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queries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during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AWV, and </w:t>
            </w:r>
            <w:proofErr w:type="spellStart"/>
            <w:r w:rsidRPr="1D49354F" w:rsidR="1D49354F">
              <w:rPr>
                <w:rFonts w:ascii="Verdana" w:hAnsi="Verdana" w:eastAsia="Verdana" w:cs="Verdana"/>
                <w:sz w:val="18"/>
                <w:szCs w:val="18"/>
              </w:rPr>
              <w:t>use</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structured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cognitive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assessment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tools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both</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patients</w:t>
            </w:r>
            <w:proofErr w:type="spellEnd"/>
            <w:r w:rsidRPr="1D49354F" w:rsidR="1D49354F">
              <w:rPr>
                <w:rFonts w:ascii="Verdana" w:hAnsi="Verdana" w:eastAsia="Verdana" w:cs="Verdana"/>
                <w:sz w:val="18"/>
                <w:szCs w:val="18"/>
              </w:rPr>
              <w:t xml:space="preserve"> and </w:t>
            </w:r>
            <w:proofErr w:type="spellStart"/>
            <w:r w:rsidRPr="1D49354F" w:rsidR="1D49354F">
              <w:rPr>
                <w:rFonts w:ascii="Verdana" w:hAnsi="Verdana" w:eastAsia="Verdana" w:cs="Verdana"/>
                <w:sz w:val="18"/>
                <w:szCs w:val="18"/>
              </w:rPr>
              <w:t>informants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Widespread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implementation</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this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algorithm</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could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be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first</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step</w:t>
            </w:r>
            <w:proofErr w:type="spellEnd"/>
            <w:r w:rsidRPr="1D49354F" w:rsidR="1D49354F">
              <w:rPr>
                <w:rFonts w:ascii="Verdana" w:hAnsi="Verdana" w:eastAsia="Verdana" w:cs="Verdana"/>
                <w:sz w:val="18"/>
                <w:szCs w:val="18"/>
              </w:rPr>
              <w:t xml:space="preserve"> in </w:t>
            </w:r>
            <w:proofErr w:type="spellStart"/>
            <w:r w:rsidRPr="1D49354F" w:rsidR="1D49354F">
              <w:rPr>
                <w:rFonts w:ascii="Verdana" w:hAnsi="Verdana" w:eastAsia="Verdana" w:cs="Verdana"/>
                <w:sz w:val="18"/>
                <w:szCs w:val="18"/>
              </w:rPr>
              <w:t>reducing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prevalence</w:t>
            </w:r>
            <w:proofErr w:type="spellEnd"/>
            <w:r w:rsidRPr="1D49354F" w:rsidR="1D49354F">
              <w:rPr>
                <w:rFonts w:ascii="Verdana" w:hAnsi="Verdana" w:eastAsia="Verdana" w:cs="Verdana"/>
                <w:sz w:val="18"/>
                <w:szCs w:val="18"/>
              </w:rPr>
              <w:t xml:space="preserve"> of </w:t>
            </w:r>
            <w:proofErr w:type="spellStart"/>
            <w:r w:rsidRPr="1D49354F" w:rsidR="1D49354F">
              <w:rPr>
                <w:rFonts w:ascii="Verdana" w:hAnsi="Verdana" w:eastAsia="Verdana" w:cs="Verdana"/>
                <w:sz w:val="18"/>
                <w:szCs w:val="18"/>
              </w:rPr>
              <w:t>missed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delayed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dementia</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diagnosis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thus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allowing</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better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healthcare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management</w:t>
            </w:r>
            <w:proofErr w:type="spellEnd"/>
            <w:r w:rsidRPr="1D49354F" w:rsidR="1D49354F">
              <w:rPr>
                <w:rFonts w:ascii="Verdana" w:hAnsi="Verdana" w:eastAsia="Verdana" w:cs="Verdana"/>
                <w:sz w:val="18"/>
                <w:szCs w:val="18"/>
              </w:rPr>
              <w:t xml:space="preserve"> and </w:t>
            </w:r>
            <w:proofErr w:type="spellStart"/>
            <w:r w:rsidRPr="1D49354F" w:rsidR="1D49354F">
              <w:rPr>
                <w:rFonts w:ascii="Verdana" w:hAnsi="Verdana" w:eastAsia="Verdana" w:cs="Verdana"/>
                <w:sz w:val="18"/>
                <w:szCs w:val="18"/>
              </w:rPr>
              <w:t>more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favorable</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outcomes</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for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affected</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patients</w:t>
            </w:r>
            <w:proofErr w:type="spellEnd"/>
            <w:r w:rsidRPr="1D49354F" w:rsidR="1D49354F">
              <w:rPr>
                <w:rFonts w:ascii="Verdana" w:hAnsi="Verdana" w:eastAsia="Verdana" w:cs="Verdana"/>
                <w:sz w:val="18"/>
                <w:szCs w:val="18"/>
              </w:rPr>
              <w:t xml:space="preserve"> and </w:t>
            </w:r>
            <w:proofErr w:type="spellStart"/>
            <w:r w:rsidRPr="1D49354F" w:rsidR="1D49354F">
              <w:rPr>
                <w:rFonts w:ascii="Verdana" w:hAnsi="Verdana" w:eastAsia="Verdana" w:cs="Verdana"/>
                <w:sz w:val="18"/>
                <w:szCs w:val="18"/>
              </w:rPr>
              <w:t>their</w:t>
            </w:r>
            <w:proofErr w:type="spellEnd"/>
            <w:r w:rsidRPr="1D49354F" w:rsidR="1D49354F">
              <w:rPr>
                <w:rFonts w:ascii="Verdana" w:hAnsi="Verdana" w:eastAsia="Verdana" w:cs="Verdana"/>
                <w:sz w:val="18"/>
                <w:szCs w:val="18"/>
              </w:rPr>
              <w:t xml:space="preserve"> </w:t>
            </w:r>
            <w:proofErr w:type="spellStart"/>
            <w:r w:rsidRPr="1D49354F" w:rsidR="1D49354F">
              <w:rPr>
                <w:rFonts w:ascii="Verdana" w:hAnsi="Verdana" w:eastAsia="Verdana" w:cs="Verdana"/>
                <w:sz w:val="18"/>
                <w:szCs w:val="18"/>
              </w:rPr>
              <w:t>families</w:t>
            </w:r>
            <w:proofErr w:type="spellEnd"/>
            <w:r w:rsidRPr="1D49354F" w:rsidR="1D49354F">
              <w:rPr>
                <w:rFonts w:ascii="Verdana" w:hAnsi="Verdana" w:eastAsia="Verdana" w:cs="Verdana"/>
                <w:sz w:val="18"/>
                <w:szCs w:val="18"/>
              </w:rPr>
              <w:t xml:space="preserve"> and </w:t>
            </w:r>
            <w:proofErr w:type="spellStart"/>
            <w:r w:rsidRPr="1D49354F" w:rsidR="1D49354F">
              <w:rPr>
                <w:rFonts w:ascii="Verdana" w:hAnsi="Verdana" w:eastAsia="Verdana" w:cs="Verdana"/>
                <w:sz w:val="18"/>
                <w:szCs w:val="18"/>
              </w:rPr>
              <w:t>caregivers</w:t>
            </w:r>
            <w:proofErr w:type="spellEnd"/>
            <w:r w:rsidRPr="1D49354F" w:rsidR="1D49354F">
              <w:rPr>
                <w:rFonts w:ascii="Verdana" w:hAnsi="Verdana" w:eastAsia="Verdana" w:cs="Verdana"/>
                <w:sz w:val="18"/>
                <w:szCs w:val="18"/>
              </w:rPr>
              <w:t>.</w:t>
            </w:r>
          </w:p>
        </w:tc>
        <w:tc>
          <w:tcPr>
            <w:tcW w:w="3096" w:type="dxa"/>
            <w:shd w:val="clear" w:color="auto" w:fill="auto"/>
            <w:tcMar/>
          </w:tcPr>
          <w:p w:rsidRPr="00AC2F0F" w:rsidR="000500F3" w:rsidP="1D49354F" w:rsidRDefault="000500F3" w14:paraId="298472AA" wp14:textId="5A9913C4">
            <w:pPr>
              <w:pStyle w:val="Normaallaad"/>
              <w:shd w:val="clear" w:color="auto" w:fill="FFFFFF" w:themeFill="background1"/>
              <w:ind w:right="240"/>
              <w:jc w:val="both"/>
              <w:rPr>
                <w:rFonts w:ascii="Verdana" w:hAnsi="Verdana" w:cs="Arial"/>
                <w:color w:val="000080"/>
                <w:sz w:val="18"/>
                <w:szCs w:val="18"/>
                <w:lang w:val="en-US"/>
              </w:rPr>
            </w:pPr>
            <w:r w:rsidRPr="1D49354F" w:rsidR="1D49354F">
              <w:rPr>
                <w:rFonts w:ascii="Verdana" w:hAnsi="Verdana" w:eastAsia="Verdana" w:cs="Verdana"/>
                <w:b w:val="0"/>
                <w:bCs w:val="0"/>
                <w:sz w:val="18"/>
                <w:szCs w:val="18"/>
                <w:u w:val="none"/>
              </w:rPr>
              <w:t xml:space="preserve">3.Cordell et </w:t>
            </w:r>
            <w:proofErr w:type="spellStart"/>
            <w:r w:rsidRPr="1D49354F" w:rsidR="1D49354F">
              <w:rPr>
                <w:rFonts w:ascii="Verdana" w:hAnsi="Verdana" w:eastAsia="Verdana" w:cs="Verdana"/>
                <w:b w:val="0"/>
                <w:bCs w:val="0"/>
                <w:sz w:val="18"/>
                <w:szCs w:val="18"/>
                <w:u w:val="none"/>
              </w:rPr>
              <w:t>al</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Alzheimer’s</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Association</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recommendations</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for</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operationalizing</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the</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detection</w:t>
            </w:r>
            <w:proofErr w:type="spellEnd"/>
            <w:r w:rsidRPr="1D49354F" w:rsidR="1D49354F">
              <w:rPr>
                <w:rFonts w:ascii="Verdana" w:hAnsi="Verdana" w:eastAsia="Verdana" w:cs="Verdana"/>
                <w:b w:val="0"/>
                <w:bCs w:val="0"/>
                <w:sz w:val="18"/>
                <w:szCs w:val="18"/>
                <w:u w:val="none"/>
              </w:rPr>
              <w:t xml:space="preserve"> of </w:t>
            </w:r>
            <w:proofErr w:type="spellStart"/>
            <w:r w:rsidRPr="1D49354F" w:rsidR="1D49354F">
              <w:rPr>
                <w:rFonts w:ascii="Verdana" w:hAnsi="Verdana" w:eastAsia="Verdana" w:cs="Verdana"/>
                <w:b w:val="0"/>
                <w:bCs w:val="0"/>
                <w:sz w:val="18"/>
                <w:szCs w:val="18"/>
                <w:u w:val="none"/>
              </w:rPr>
              <w:t>cognitive</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impairment</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during</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the</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Medicare</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Annual</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Wellness</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Visit</w:t>
            </w:r>
            <w:proofErr w:type="spellEnd"/>
            <w:r w:rsidRPr="1D49354F" w:rsidR="1D49354F">
              <w:rPr>
                <w:rFonts w:ascii="Verdana" w:hAnsi="Verdana" w:eastAsia="Verdana" w:cs="Verdana"/>
                <w:b w:val="0"/>
                <w:bCs w:val="0"/>
                <w:sz w:val="18"/>
                <w:szCs w:val="18"/>
                <w:u w:val="none"/>
              </w:rPr>
              <w:t xml:space="preserve"> in a </w:t>
            </w:r>
            <w:proofErr w:type="spellStart"/>
            <w:r w:rsidRPr="1D49354F" w:rsidR="1D49354F">
              <w:rPr>
                <w:rFonts w:ascii="Verdana" w:hAnsi="Verdana" w:eastAsia="Verdana" w:cs="Verdana"/>
                <w:b w:val="0"/>
                <w:bCs w:val="0"/>
                <w:sz w:val="18"/>
                <w:szCs w:val="18"/>
                <w:u w:val="none"/>
              </w:rPr>
              <w:t>primary</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care</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setting</w:t>
            </w:r>
            <w:proofErr w:type="spellEnd"/>
            <w:r w:rsidRPr="1D49354F" w:rsidR="1D49354F">
              <w:rPr>
                <w:rFonts w:ascii="Verdana" w:hAnsi="Verdana" w:eastAsia="Verdana" w:cs="Verdana"/>
                <w:b w:val="0"/>
                <w:bCs w:val="0"/>
                <w:sz w:val="18"/>
                <w:szCs w:val="18"/>
                <w:u w:val="none"/>
              </w:rPr>
              <w:t xml:space="preserve">. </w:t>
            </w:r>
            <w:proofErr w:type="spellStart"/>
            <w:r w:rsidRPr="1D49354F" w:rsidR="1D49354F">
              <w:rPr>
                <w:rFonts w:ascii="Verdana" w:hAnsi="Verdana" w:eastAsia="Verdana" w:cs="Verdana"/>
                <w:b w:val="0"/>
                <w:bCs w:val="0"/>
                <w:sz w:val="18"/>
                <w:szCs w:val="18"/>
                <w:u w:val="none"/>
              </w:rPr>
              <w:t>Alzheimer’s</w:t>
            </w:r>
            <w:proofErr w:type="spellEnd"/>
            <w:r w:rsidRPr="1D49354F" w:rsidR="1D49354F">
              <w:rPr>
                <w:rFonts w:ascii="Verdana" w:hAnsi="Verdana" w:eastAsia="Verdana" w:cs="Verdana"/>
                <w:b w:val="0"/>
                <w:bCs w:val="0"/>
                <w:sz w:val="18"/>
                <w:szCs w:val="18"/>
                <w:u w:val="none"/>
              </w:rPr>
              <w:t xml:space="preserve"> &amp; </w:t>
            </w:r>
            <w:proofErr w:type="spellStart"/>
            <w:r w:rsidRPr="1D49354F" w:rsidR="1D49354F">
              <w:rPr>
                <w:rFonts w:ascii="Verdana" w:hAnsi="Verdana" w:eastAsia="Verdana" w:cs="Verdana"/>
                <w:b w:val="0"/>
                <w:bCs w:val="0"/>
                <w:sz w:val="18"/>
                <w:szCs w:val="18"/>
                <w:u w:val="none"/>
              </w:rPr>
              <w:t>Dementia</w:t>
            </w:r>
            <w:proofErr w:type="spellEnd"/>
            <w:r w:rsidRPr="1D49354F" w:rsidR="1D49354F">
              <w:rPr>
                <w:rFonts w:ascii="Verdana" w:hAnsi="Verdana" w:eastAsia="Verdana" w:cs="Verdana"/>
                <w:b w:val="0"/>
                <w:bCs w:val="0"/>
                <w:sz w:val="18"/>
                <w:szCs w:val="18"/>
                <w:u w:val="none"/>
              </w:rPr>
              <w:t xml:space="preserve"> 9 (2013) 141–150.</w:t>
            </w:r>
          </w:p>
        </w:tc>
      </w:tr>
      <w:tr xmlns:wp14="http://schemas.microsoft.com/office/word/2010/wordml" w:rsidRPr="00FE17E8" w:rsidR="00AC2F0F" w:rsidTr="7ABC7D88" w14:paraId="1052DB92" wp14:textId="77777777">
        <w:tc>
          <w:tcPr>
            <w:tcW w:w="6192" w:type="dxa"/>
            <w:shd w:val="clear" w:color="auto" w:fill="auto"/>
            <w:tcMar/>
          </w:tcPr>
          <w:p w:rsidRPr="00185231" w:rsidR="00AC2F0F" w:rsidP="00002CA6" w:rsidRDefault="00AC2F0F" w14:paraId="7C6E058C" wp14:textId="6ADF4E59">
            <w:pPr/>
            <w:r w:rsidRPr="605509CC" w:rsidR="605509CC">
              <w:rPr>
                <w:rFonts w:ascii="Verdana" w:hAnsi="Verdana" w:eastAsia="Verdana" w:cs="Verdana"/>
                <w:sz w:val="18"/>
                <w:szCs w:val="18"/>
              </w:rPr>
              <w:t>4.We</w:t>
            </w:r>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searched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specialised</w:t>
            </w:r>
            <w:proofErr w:type="spellEnd"/>
            <w:r w:rsidRPr="605509CC" w:rsidR="605509CC">
              <w:rPr>
                <w:rFonts w:ascii="Verdana" w:hAnsi="Verdana" w:eastAsia="Verdana" w:cs="Verdana"/>
                <w:sz w:val="18"/>
                <w:szCs w:val="18"/>
              </w:rPr>
              <w:t xml:space="preserve"> register of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Cochrane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Dementia</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Cognitive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Improvement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Group</w:t>
            </w:r>
            <w:proofErr w:type="spellEnd"/>
            <w:r w:rsidRPr="605509CC" w:rsidR="605509CC">
              <w:rPr>
                <w:rFonts w:ascii="Verdana" w:hAnsi="Verdana" w:eastAsia="Verdana" w:cs="Verdana"/>
                <w:sz w:val="18"/>
                <w:szCs w:val="18"/>
              </w:rPr>
              <w:t>, MEDLINE (</w:t>
            </w:r>
            <w:proofErr w:type="spellStart"/>
            <w:r w:rsidRPr="605509CC" w:rsidR="605509CC">
              <w:rPr>
                <w:rFonts w:ascii="Verdana" w:hAnsi="Verdana" w:eastAsia="Verdana" w:cs="Verdana"/>
                <w:sz w:val="18"/>
                <w:szCs w:val="18"/>
              </w:rPr>
              <w:t>OvidSP</w:t>
            </w:r>
            <w:proofErr w:type="spellEnd"/>
            <w:r w:rsidRPr="605509CC" w:rsidR="605509CC">
              <w:rPr>
                <w:rFonts w:ascii="Verdana" w:hAnsi="Verdana" w:eastAsia="Verdana" w:cs="Verdana"/>
                <w:sz w:val="18"/>
                <w:szCs w:val="18"/>
              </w:rPr>
              <w:t>), EMBASE (</w:t>
            </w:r>
            <w:proofErr w:type="spellStart"/>
            <w:r w:rsidRPr="605509CC" w:rsidR="605509CC">
              <w:rPr>
                <w:rFonts w:ascii="Verdana" w:hAnsi="Verdana" w:eastAsia="Verdana" w:cs="Verdana"/>
                <w:sz w:val="18"/>
                <w:szCs w:val="18"/>
              </w:rPr>
              <w:t>OvidSP</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PsycINFO</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OvidSP</w:t>
            </w:r>
            <w:proofErr w:type="spellEnd"/>
            <w:r w:rsidRPr="605509CC" w:rsidR="605509CC">
              <w:rPr>
                <w:rFonts w:ascii="Verdana" w:hAnsi="Verdana" w:eastAsia="Verdana" w:cs="Verdana"/>
                <w:sz w:val="18"/>
                <w:szCs w:val="18"/>
              </w:rPr>
              <w:t xml:space="preserve">), LILACS (BIREME), ALOIS, BIOSIS </w:t>
            </w:r>
            <w:proofErr w:type="spellStart"/>
            <w:r w:rsidRPr="605509CC" w:rsidR="605509CC">
              <w:rPr>
                <w:rFonts w:ascii="Verdana" w:hAnsi="Verdana" w:eastAsia="Verdana" w:cs="Verdana"/>
                <w:sz w:val="18"/>
                <w:szCs w:val="18"/>
              </w:rPr>
              <w:t>previews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Thomson</w:t>
            </w:r>
            <w:proofErr w:type="spellEnd"/>
            <w:r w:rsidRPr="605509CC" w:rsidR="605509CC">
              <w:rPr>
                <w:rFonts w:ascii="Verdana" w:hAnsi="Verdana" w:eastAsia="Verdana" w:cs="Verdana"/>
                <w:sz w:val="18"/>
                <w:szCs w:val="18"/>
              </w:rPr>
              <w:t xml:space="preserve"> Reuters </w:t>
            </w:r>
            <w:proofErr w:type="spellStart"/>
            <w:r w:rsidRPr="605509CC" w:rsidR="605509CC">
              <w:rPr>
                <w:rFonts w:ascii="Verdana" w:hAnsi="Verdana" w:eastAsia="Verdana" w:cs="Verdana"/>
                <w:sz w:val="18"/>
                <w:szCs w:val="18"/>
              </w:rPr>
              <w:t>Web</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Science</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Web</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Science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Core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Collection</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including</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Science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Citation</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Index</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Conference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Proceedings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Citation</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Index</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Thomson</w:t>
            </w:r>
            <w:proofErr w:type="spellEnd"/>
            <w:r w:rsidRPr="605509CC" w:rsidR="605509CC">
              <w:rPr>
                <w:rFonts w:ascii="Verdana" w:hAnsi="Verdana" w:eastAsia="Verdana" w:cs="Verdana"/>
                <w:sz w:val="18"/>
                <w:szCs w:val="18"/>
              </w:rPr>
              <w:t xml:space="preserve"> Reuters </w:t>
            </w:r>
            <w:proofErr w:type="spellStart"/>
            <w:r w:rsidRPr="605509CC" w:rsidR="605509CC">
              <w:rPr>
                <w:rFonts w:ascii="Verdana" w:hAnsi="Verdana" w:eastAsia="Verdana" w:cs="Verdana"/>
                <w:sz w:val="18"/>
                <w:szCs w:val="18"/>
              </w:rPr>
              <w:t>Web</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Science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We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also</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searched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specialised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sources</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diagnostic</w:t>
            </w:r>
            <w:proofErr w:type="spellEnd"/>
            <w:r w:rsidRPr="605509CC" w:rsidR="605509CC">
              <w:rPr>
                <w:rFonts w:ascii="Verdana" w:hAnsi="Verdana" w:eastAsia="Verdana" w:cs="Verdana"/>
                <w:sz w:val="18"/>
                <w:szCs w:val="18"/>
              </w:rPr>
              <w:t xml:space="preserve"> test </w:t>
            </w:r>
            <w:proofErr w:type="spellStart"/>
            <w:r w:rsidRPr="605509CC" w:rsidR="605509CC">
              <w:rPr>
                <w:rFonts w:ascii="Verdana" w:hAnsi="Verdana" w:eastAsia="Verdana" w:cs="Verdana"/>
                <w:sz w:val="18"/>
                <w:szCs w:val="18"/>
              </w:rPr>
              <w:t>accuracy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studies</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reviews</w:t>
            </w:r>
            <w:proofErr w:type="spellEnd"/>
            <w:r w:rsidRPr="605509CC" w:rsidR="605509CC">
              <w:rPr>
                <w:rFonts w:ascii="Verdana" w:hAnsi="Verdana" w:eastAsia="Verdana" w:cs="Verdana"/>
                <w:sz w:val="18"/>
                <w:szCs w:val="18"/>
              </w:rPr>
              <w:t>: MEDION (</w:t>
            </w:r>
            <w:proofErr w:type="spellStart"/>
            <w:r w:rsidRPr="605509CC" w:rsidR="605509CC">
              <w:rPr>
                <w:rFonts w:ascii="Verdana" w:hAnsi="Verdana" w:eastAsia="Verdana" w:cs="Verdana"/>
                <w:sz w:val="18"/>
                <w:szCs w:val="18"/>
              </w:rPr>
              <w:t>Universities</w:t>
            </w:r>
            <w:proofErr w:type="spellEnd"/>
            <w:r w:rsidRPr="605509CC" w:rsidR="605509CC">
              <w:rPr>
                <w:rFonts w:ascii="Verdana" w:hAnsi="Verdana" w:eastAsia="Verdana" w:cs="Verdana"/>
                <w:sz w:val="18"/>
                <w:szCs w:val="18"/>
              </w:rPr>
              <w:t xml:space="preserve"> of Maastricht and </w:t>
            </w:r>
            <w:proofErr w:type="spellStart"/>
            <w:r w:rsidRPr="605509CC" w:rsidR="605509CC">
              <w:rPr>
                <w:rFonts w:ascii="Verdana" w:hAnsi="Verdana" w:eastAsia="Verdana" w:cs="Verdana"/>
                <w:sz w:val="18"/>
                <w:szCs w:val="18"/>
              </w:rPr>
              <w:t>Leuven</w:t>
            </w:r>
            <w:proofErr w:type="spellEnd"/>
            <w:r w:rsidRPr="605509CC" w:rsidR="605509CC">
              <w:rPr>
                <w:rFonts w:ascii="Verdana" w:hAnsi="Verdana" w:eastAsia="Verdana" w:cs="Verdana"/>
                <w:sz w:val="18"/>
                <w:szCs w:val="18"/>
              </w:rPr>
              <w:t>, www.mediondatabase.</w:t>
            </w:r>
            <w:proofErr w:type="spellStart"/>
            <w:r w:rsidRPr="605509CC" w:rsidR="605509CC">
              <w:rPr>
                <w:rFonts w:ascii="Verdana" w:hAnsi="Verdana" w:eastAsia="Verdana" w:cs="Verdana"/>
                <w:sz w:val="18"/>
                <w:szCs w:val="18"/>
              </w:rPr>
              <w:t>nl</w:t>
            </w:r>
            <w:proofErr w:type="spellEnd"/>
            <w:r w:rsidRPr="605509CC" w:rsidR="605509CC">
              <w:rPr>
                <w:rFonts w:ascii="Verdana" w:hAnsi="Verdana" w:eastAsia="Verdana" w:cs="Verdana"/>
                <w:sz w:val="18"/>
                <w:szCs w:val="18"/>
              </w:rPr>
              <w:t>), DARE (</w:t>
            </w:r>
            <w:proofErr w:type="spellStart"/>
            <w:r w:rsidRPr="605509CC" w:rsidR="605509CC">
              <w:rPr>
                <w:rFonts w:ascii="Verdana" w:hAnsi="Verdana" w:eastAsia="Verdana" w:cs="Verdana"/>
                <w:sz w:val="18"/>
                <w:szCs w:val="18"/>
              </w:rPr>
              <w:t>Database</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Abstracts</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Reviews</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Effects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via</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Cochrane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Library</w:t>
            </w:r>
            <w:proofErr w:type="spellEnd"/>
            <w:r w:rsidRPr="605509CC" w:rsidR="605509CC">
              <w:rPr>
                <w:rFonts w:ascii="Verdana" w:hAnsi="Verdana" w:eastAsia="Verdana" w:cs="Verdana"/>
                <w:sz w:val="18"/>
                <w:szCs w:val="18"/>
              </w:rPr>
              <w:t xml:space="preserve">), HTA </w:t>
            </w:r>
            <w:proofErr w:type="spellStart"/>
            <w:r w:rsidRPr="605509CC" w:rsidR="605509CC">
              <w:rPr>
                <w:rFonts w:ascii="Verdana" w:hAnsi="Verdana" w:eastAsia="Verdana" w:cs="Verdana"/>
                <w:sz w:val="18"/>
                <w:szCs w:val="18"/>
              </w:rPr>
              <w:t>Database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Health</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Technology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Assessment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Database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via</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Cochrane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Library</w:t>
            </w:r>
            <w:proofErr w:type="spellEnd"/>
            <w:r w:rsidRPr="605509CC" w:rsidR="605509CC">
              <w:rPr>
                <w:rFonts w:ascii="Verdana" w:hAnsi="Verdana" w:eastAsia="Verdana" w:cs="Verdana"/>
                <w:sz w:val="18"/>
                <w:szCs w:val="18"/>
              </w:rPr>
              <w:t>), and ARIF (</w:t>
            </w:r>
            <w:proofErr w:type="spellStart"/>
            <w:r w:rsidRPr="605509CC" w:rsidR="605509CC">
              <w:rPr>
                <w:rFonts w:ascii="Verdana" w:hAnsi="Verdana" w:eastAsia="Verdana" w:cs="Verdana"/>
                <w:sz w:val="18"/>
                <w:szCs w:val="18"/>
              </w:rPr>
              <w:t>University</w:t>
            </w:r>
            <w:proofErr w:type="spellEnd"/>
            <w:r w:rsidRPr="605509CC" w:rsidR="605509CC">
              <w:rPr>
                <w:rFonts w:ascii="Verdana" w:hAnsi="Verdana" w:eastAsia="Verdana" w:cs="Verdana"/>
                <w:sz w:val="18"/>
                <w:szCs w:val="18"/>
              </w:rPr>
              <w:t xml:space="preserve"> of Birmingham, UK, </w:t>
            </w:r>
            <w:hyperlink r:id="R33a2fbfa0ba0408d">
              <w:r w:rsidRPr="605509CC" w:rsidR="605509CC">
                <w:rPr>
                  <w:rStyle w:val="Hperlink"/>
                  <w:rFonts w:ascii="Verdana" w:hAnsi="Verdana" w:eastAsia="Verdana" w:cs="Verdana"/>
                  <w:sz w:val="18"/>
                  <w:szCs w:val="18"/>
                </w:rPr>
                <w:t>www.arif.bham.ac.uk</w:t>
              </w:r>
            </w:hyperlink>
            <w:r w:rsidRPr="605509CC" w:rsidR="605509CC">
              <w:rPr>
                <w:rFonts w:ascii="Verdana" w:hAnsi="Verdana" w:eastAsia="Verdana" w:cs="Verdana"/>
                <w:sz w:val="18"/>
                <w:szCs w:val="18"/>
              </w:rPr>
              <w:t>)</w:t>
            </w:r>
          </w:p>
          <w:p w:rsidRPr="00185231" w:rsidR="00AC2F0F" w:rsidP="00002CA6" w:rsidRDefault="00AC2F0F" w14:paraId="2D9D3313" wp14:textId="2A873C17">
            <w:pPr/>
            <w:proofErr w:type="spellStart"/>
            <w:r w:rsidRPr="605509CC" w:rsidR="605509CC">
              <w:rPr>
                <w:rFonts w:ascii="Verdana" w:hAnsi="Verdana" w:eastAsia="Verdana" w:cs="Verdana"/>
                <w:sz w:val="18"/>
                <w:szCs w:val="18"/>
              </w:rPr>
              <w:t>We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reviewed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full</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text</w:t>
            </w:r>
            <w:proofErr w:type="spellEnd"/>
            <w:r w:rsidRPr="605509CC" w:rsidR="605509CC">
              <w:rPr>
                <w:rFonts w:ascii="Verdana" w:hAnsi="Verdana" w:eastAsia="Verdana" w:cs="Verdana"/>
                <w:sz w:val="18"/>
                <w:szCs w:val="18"/>
              </w:rPr>
              <w:t xml:space="preserve"> of 317 </w:t>
            </w:r>
            <w:proofErr w:type="spellStart"/>
            <w:r w:rsidRPr="605509CC" w:rsidR="605509CC">
              <w:rPr>
                <w:rFonts w:ascii="Verdana" w:hAnsi="Verdana" w:eastAsia="Verdana" w:cs="Verdana"/>
                <w:sz w:val="18"/>
                <w:szCs w:val="18"/>
              </w:rPr>
              <w:t>full-text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articles</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finally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included</w:t>
            </w:r>
            <w:proofErr w:type="spellEnd"/>
            <w:r w:rsidRPr="605509CC" w:rsidR="605509CC">
              <w:rPr>
                <w:rFonts w:ascii="Verdana" w:hAnsi="Verdana" w:eastAsia="Verdana" w:cs="Verdana"/>
                <w:sz w:val="18"/>
                <w:szCs w:val="18"/>
              </w:rPr>
              <w:t xml:space="preserve"> 70 </w:t>
            </w:r>
            <w:proofErr w:type="spellStart"/>
            <w:r w:rsidRPr="605509CC" w:rsidR="605509CC">
              <w:rPr>
                <w:rFonts w:ascii="Verdana" w:hAnsi="Verdana" w:eastAsia="Verdana" w:cs="Verdana"/>
                <w:sz w:val="18"/>
                <w:szCs w:val="18"/>
              </w:rPr>
              <w:t>records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referring</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to</w:t>
            </w:r>
            <w:proofErr w:type="spellEnd"/>
            <w:r w:rsidRPr="605509CC" w:rsidR="605509CC">
              <w:rPr>
                <w:rFonts w:ascii="Verdana" w:hAnsi="Verdana" w:eastAsia="Verdana" w:cs="Verdana"/>
                <w:sz w:val="18"/>
                <w:szCs w:val="18"/>
              </w:rPr>
              <w:t xml:space="preserve"> 48 </w:t>
            </w:r>
            <w:proofErr w:type="spellStart"/>
            <w:r w:rsidRPr="605509CC" w:rsidR="605509CC">
              <w:rPr>
                <w:rFonts w:ascii="Verdana" w:hAnsi="Verdana" w:eastAsia="Verdana" w:cs="Verdana"/>
                <w:sz w:val="18"/>
                <w:szCs w:val="18"/>
              </w:rPr>
              <w:t>studies</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our</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synthesis</w:t>
            </w:r>
            <w:proofErr w:type="spellEnd"/>
            <w:r w:rsidRPr="605509CC" w:rsidR="605509CC">
              <w:rPr>
                <w:rFonts w:ascii="Verdana" w:hAnsi="Verdana" w:eastAsia="Verdana" w:cs="Verdana"/>
                <w:sz w:val="18"/>
                <w:szCs w:val="18"/>
              </w:rPr>
              <w:t xml:space="preserve">. </w:t>
            </w:r>
          </w:p>
          <w:p w:rsidRPr="00185231" w:rsidR="00AC2F0F" w:rsidP="00002CA6" w:rsidRDefault="00AC2F0F" w14:paraId="7B4ADAE1" wp14:textId="2DF9020A">
            <w:pPr>
              <w:rPr>
                <w:rFonts w:ascii="Verdana" w:hAnsi="Verdana" w:cs="SabonLTStd-Roman"/>
                <w:color w:val="000080"/>
                <w:sz w:val="18"/>
                <w:szCs w:val="18"/>
              </w:rPr>
            </w:pPr>
            <w:proofErr w:type="spellStart"/>
            <w:r w:rsidRPr="605509CC" w:rsidR="605509CC">
              <w:rPr>
                <w:rFonts w:ascii="Verdana" w:hAnsi="Verdana" w:eastAsia="Verdana" w:cs="Verdana"/>
                <w:sz w:val="18"/>
                <w:szCs w:val="18"/>
                <w:u w:val="single"/>
              </w:rPr>
              <w:t>Conclusion</w:t>
            </w:r>
            <w:proofErr w:type="spellEnd"/>
            <w:r w:rsidRPr="605509CC" w:rsidR="605509CC">
              <w:rPr>
                <w:rFonts w:ascii="Verdana" w:hAnsi="Verdana" w:eastAsia="Verdana" w:cs="Verdana"/>
                <w:sz w:val="18"/>
                <w:szCs w:val="18"/>
                <w:u w:val="single"/>
              </w:rPr>
              <w:t>:</w:t>
            </w:r>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MMSE </w:t>
            </w:r>
            <w:proofErr w:type="spellStart"/>
            <w:r w:rsidRPr="605509CC" w:rsidR="605509CC">
              <w:rPr>
                <w:rFonts w:ascii="Verdana" w:hAnsi="Verdana" w:eastAsia="Verdana" w:cs="Verdana"/>
                <w:sz w:val="18"/>
                <w:szCs w:val="18"/>
              </w:rPr>
              <w:t>contributes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to</w:t>
            </w:r>
            <w:proofErr w:type="spellEnd"/>
            <w:r w:rsidRPr="605509CC" w:rsidR="605509CC">
              <w:rPr>
                <w:rFonts w:ascii="Verdana" w:hAnsi="Verdana" w:eastAsia="Verdana" w:cs="Verdana"/>
                <w:sz w:val="18"/>
                <w:szCs w:val="18"/>
              </w:rPr>
              <w:t xml:space="preserve"> a </w:t>
            </w:r>
            <w:proofErr w:type="spellStart"/>
            <w:r w:rsidRPr="605509CC" w:rsidR="605509CC">
              <w:rPr>
                <w:rFonts w:ascii="Verdana" w:hAnsi="Verdana" w:eastAsia="Verdana" w:cs="Verdana"/>
                <w:sz w:val="18"/>
                <w:szCs w:val="18"/>
              </w:rPr>
              <w:t>diagnosis</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dementia</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low</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prevalence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settings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but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should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not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be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used</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isolation</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to</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confirm</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or</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exclude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disease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We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recommend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that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future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work</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evaluates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diagnostic</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accuracy</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tests</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context</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diagnostic</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pathway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experienced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by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patient</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that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investigators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report</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how</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undergoing</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MMSE </w:t>
            </w:r>
            <w:proofErr w:type="spellStart"/>
            <w:r w:rsidRPr="605509CC" w:rsidR="605509CC">
              <w:rPr>
                <w:rFonts w:ascii="Verdana" w:hAnsi="Verdana" w:eastAsia="Verdana" w:cs="Verdana"/>
                <w:sz w:val="18"/>
                <w:szCs w:val="18"/>
              </w:rPr>
              <w:t>changes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patient</w:t>
            </w:r>
            <w:proofErr w:type="spellEnd"/>
            <w:r w:rsidRPr="605509CC" w:rsidR="605509CC">
              <w:rPr>
                <w:rFonts w:ascii="Verdana" w:hAnsi="Verdana" w:eastAsia="Verdana" w:cs="Verdana"/>
                <w:sz w:val="18"/>
                <w:szCs w:val="18"/>
              </w:rPr>
              <w:t xml:space="preserve">-relevant </w:t>
            </w:r>
            <w:proofErr w:type="spellStart"/>
            <w:r w:rsidRPr="605509CC" w:rsidR="605509CC">
              <w:rPr>
                <w:rFonts w:ascii="Verdana" w:hAnsi="Verdana" w:eastAsia="Verdana" w:cs="Verdana"/>
                <w:sz w:val="18"/>
                <w:szCs w:val="18"/>
              </w:rPr>
              <w:t>outcomes</w:t>
            </w:r>
            <w:proofErr w:type="spellEnd"/>
            <w:r w:rsidRPr="605509CC" w:rsidR="605509CC">
              <w:rPr>
                <w:rFonts w:ascii="Times New Roman" w:hAnsi="Times New Roman" w:eastAsia="Times New Roman" w:cs="Times New Roman"/>
                <w:sz w:val="24"/>
                <w:szCs w:val="24"/>
              </w:rPr>
              <w:t xml:space="preserve">. </w:t>
            </w:r>
          </w:p>
        </w:tc>
        <w:tc>
          <w:tcPr>
            <w:tcW w:w="3096" w:type="dxa"/>
            <w:shd w:val="clear" w:color="auto" w:fill="auto"/>
            <w:tcMar/>
          </w:tcPr>
          <w:p w:rsidRPr="00185231" w:rsidR="00AC2F0F" w:rsidP="00002CA6" w:rsidRDefault="00AC2F0F" w14:paraId="4AE55E93" wp14:textId="01A11ADF">
            <w:pPr>
              <w:rPr>
                <w:rFonts w:ascii="Verdana" w:hAnsi="Verdana" w:cs="SabonLTStd-Roman"/>
                <w:color w:val="000080"/>
                <w:sz w:val="18"/>
                <w:szCs w:val="18"/>
              </w:rPr>
            </w:pPr>
            <w:r w:rsidRPr="605509CC" w:rsidR="605509CC">
              <w:rPr>
                <w:rFonts w:ascii="Verdana" w:hAnsi="Verdana" w:eastAsia="Verdana" w:cs="Verdana"/>
                <w:sz w:val="18"/>
                <w:szCs w:val="18"/>
              </w:rPr>
              <w:t>4.</w:t>
            </w:r>
            <w:r w:rsidRPr="605509CC" w:rsidR="605509CC">
              <w:rPr>
                <w:rFonts w:ascii="Verdana" w:hAnsi="Verdana" w:eastAsia="Verdana" w:cs="Verdana"/>
                <w:sz w:val="18"/>
                <w:szCs w:val="18"/>
              </w:rPr>
              <w:t>Creavin</w:t>
            </w:r>
            <w:r w:rsidRPr="605509CC" w:rsidR="605509CC">
              <w:rPr>
                <w:rFonts w:ascii="Verdana" w:hAnsi="Verdana" w:eastAsia="Verdana" w:cs="Verdana"/>
                <w:sz w:val="18"/>
                <w:szCs w:val="18"/>
              </w:rPr>
              <w:t xml:space="preserve"> ST, </w:t>
            </w:r>
            <w:r w:rsidRPr="605509CC" w:rsidR="605509CC">
              <w:rPr>
                <w:rFonts w:ascii="Verdana" w:hAnsi="Verdana" w:eastAsia="Verdana" w:cs="Verdana"/>
                <w:sz w:val="18"/>
                <w:szCs w:val="18"/>
              </w:rPr>
              <w:t xml:space="preserve">et </w:t>
            </w:r>
            <w:proofErr w:type="spellStart"/>
            <w:r w:rsidRPr="605509CC" w:rsidR="605509CC">
              <w:rPr>
                <w:rFonts w:ascii="Verdana" w:hAnsi="Verdana" w:eastAsia="Verdana" w:cs="Verdana"/>
                <w:sz w:val="18"/>
                <w:szCs w:val="18"/>
              </w:rPr>
              <w:t>al</w:t>
            </w:r>
            <w:proofErr w:type="spellEnd"/>
            <w:r w:rsidRPr="605509CC" w:rsidR="605509CC">
              <w:rPr>
                <w:rFonts w:ascii="Verdana" w:hAnsi="Verdana" w:eastAsia="Verdana" w:cs="Verdana"/>
                <w:sz w:val="18"/>
                <w:szCs w:val="18"/>
              </w:rPr>
              <w:t xml:space="preserve">. </w:t>
            </w:r>
            <w:r w:rsidRPr="605509CC" w:rsidR="605509CC">
              <w:rPr>
                <w:rFonts w:ascii="Verdana" w:hAnsi="Verdana" w:eastAsia="Verdana" w:cs="Verdana"/>
                <w:sz w:val="18"/>
                <w:szCs w:val="18"/>
              </w:rPr>
              <w:t>Mini-</w:t>
            </w:r>
            <w:proofErr w:type="spellStart"/>
            <w:r w:rsidRPr="605509CC" w:rsidR="605509CC">
              <w:rPr>
                <w:rFonts w:ascii="Verdana" w:hAnsi="Verdana" w:eastAsia="Verdana" w:cs="Verdana"/>
                <w:sz w:val="18"/>
                <w:szCs w:val="18"/>
              </w:rPr>
              <w:t>Mental</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State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Examination</w:t>
            </w:r>
            <w:proofErr w:type="spellEnd"/>
            <w:r w:rsidRPr="605509CC" w:rsidR="605509CC">
              <w:rPr>
                <w:rFonts w:ascii="Verdana" w:hAnsi="Verdana" w:eastAsia="Verdana" w:cs="Verdana"/>
                <w:sz w:val="18"/>
                <w:szCs w:val="18"/>
              </w:rPr>
              <w:t xml:space="preserve"> (MMSE) </w:t>
            </w:r>
            <w:proofErr w:type="spellStart"/>
            <w:r w:rsidRPr="605509CC" w:rsidR="605509CC">
              <w:rPr>
                <w:rFonts w:ascii="Verdana" w:hAnsi="Verdana" w:eastAsia="Verdana" w:cs="Verdana"/>
                <w:sz w:val="18"/>
                <w:szCs w:val="18"/>
              </w:rPr>
              <w:t>for</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the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detection</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dementia</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clinically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unevaluated</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people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aged</w:t>
            </w:r>
            <w:proofErr w:type="spellEnd"/>
            <w:r w:rsidRPr="605509CC" w:rsidR="605509CC">
              <w:rPr>
                <w:rFonts w:ascii="Verdana" w:hAnsi="Verdana" w:eastAsia="Verdana" w:cs="Verdana"/>
                <w:sz w:val="18"/>
                <w:szCs w:val="18"/>
              </w:rPr>
              <w:t xml:space="preserve"> 65 and </w:t>
            </w:r>
            <w:proofErr w:type="spellStart"/>
            <w:r w:rsidRPr="605509CC" w:rsidR="605509CC">
              <w:rPr>
                <w:rFonts w:ascii="Verdana" w:hAnsi="Verdana" w:eastAsia="Verdana" w:cs="Verdana"/>
                <w:sz w:val="18"/>
                <w:szCs w:val="18"/>
              </w:rPr>
              <w:t>over</w:t>
            </w:r>
            <w:proofErr w:type="spellEnd"/>
            <w:r w:rsidRPr="605509CC" w:rsidR="605509CC">
              <w:rPr>
                <w:rFonts w:ascii="Verdana" w:hAnsi="Verdana" w:eastAsia="Verdana" w:cs="Verdana"/>
                <w:sz w:val="18"/>
                <w:szCs w:val="18"/>
              </w:rPr>
              <w:t xml:space="preserve"> in </w:t>
            </w:r>
            <w:proofErr w:type="spellStart"/>
            <w:r w:rsidRPr="605509CC" w:rsidR="605509CC">
              <w:rPr>
                <w:rFonts w:ascii="Verdana" w:hAnsi="Verdana" w:eastAsia="Verdana" w:cs="Verdana"/>
                <w:sz w:val="18"/>
                <w:szCs w:val="18"/>
              </w:rPr>
              <w:t>community</w:t>
            </w:r>
            <w:proofErr w:type="spellEnd"/>
            <w:r w:rsidRPr="605509CC" w:rsidR="605509CC">
              <w:rPr>
                <w:rFonts w:ascii="Verdana" w:hAnsi="Verdana" w:eastAsia="Verdana" w:cs="Verdana"/>
                <w:sz w:val="18"/>
                <w:szCs w:val="18"/>
              </w:rPr>
              <w:t xml:space="preserve"> and </w:t>
            </w:r>
            <w:proofErr w:type="spellStart"/>
            <w:r w:rsidRPr="605509CC" w:rsidR="605509CC">
              <w:rPr>
                <w:rFonts w:ascii="Verdana" w:hAnsi="Verdana" w:eastAsia="Verdana" w:cs="Verdana"/>
                <w:sz w:val="18"/>
                <w:szCs w:val="18"/>
              </w:rPr>
              <w:t>primary</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care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populations</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Cochrane</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Database</w:t>
            </w:r>
            <w:proofErr w:type="spellEnd"/>
            <w:r w:rsidRPr="605509CC" w:rsidR="605509CC">
              <w:rPr>
                <w:rFonts w:ascii="Verdana" w:hAnsi="Verdana" w:eastAsia="Verdana" w:cs="Verdana"/>
                <w:sz w:val="18"/>
                <w:szCs w:val="18"/>
              </w:rPr>
              <w:t xml:space="preserve"> of </w:t>
            </w:r>
            <w:proofErr w:type="spellStart"/>
            <w:r w:rsidRPr="605509CC" w:rsidR="605509CC">
              <w:rPr>
                <w:rFonts w:ascii="Verdana" w:hAnsi="Verdana" w:eastAsia="Verdana" w:cs="Verdana"/>
                <w:sz w:val="18"/>
                <w:szCs w:val="18"/>
              </w:rPr>
              <w:t>Systematic</w:t>
            </w:r>
            <w:proofErr w:type="spellEnd"/>
            <w:r w:rsidRPr="605509CC" w:rsidR="605509CC">
              <w:rPr>
                <w:rFonts w:ascii="Verdana" w:hAnsi="Verdana" w:eastAsia="Verdana" w:cs="Verdana"/>
                <w:sz w:val="18"/>
                <w:szCs w:val="18"/>
              </w:rPr>
              <w:t xml:space="preserve"> </w:t>
            </w:r>
            <w:proofErr w:type="spellStart"/>
            <w:r w:rsidRPr="605509CC" w:rsidR="605509CC">
              <w:rPr>
                <w:rFonts w:ascii="Verdana" w:hAnsi="Verdana" w:eastAsia="Verdana" w:cs="Verdana"/>
                <w:sz w:val="18"/>
                <w:szCs w:val="18"/>
              </w:rPr>
              <w:t>Reviews</w:t>
            </w:r>
            <w:proofErr w:type="spellEnd"/>
            <w:r w:rsidRPr="605509CC" w:rsidR="605509CC">
              <w:rPr>
                <w:rFonts w:ascii="Verdana" w:hAnsi="Verdana" w:eastAsia="Verdana" w:cs="Verdana"/>
                <w:sz w:val="18"/>
                <w:szCs w:val="18"/>
              </w:rPr>
              <w:t xml:space="preserve"> 2016, </w:t>
            </w:r>
            <w:proofErr w:type="spellStart"/>
            <w:r w:rsidRPr="605509CC" w:rsidR="605509CC">
              <w:rPr>
                <w:rFonts w:ascii="Verdana" w:hAnsi="Verdana" w:eastAsia="Verdana" w:cs="Verdana"/>
                <w:sz w:val="18"/>
                <w:szCs w:val="18"/>
              </w:rPr>
              <w:t>Issue</w:t>
            </w:r>
            <w:proofErr w:type="spellEnd"/>
            <w:r w:rsidRPr="605509CC" w:rsidR="605509CC">
              <w:rPr>
                <w:rFonts w:ascii="Verdana" w:hAnsi="Verdana" w:eastAsia="Verdana" w:cs="Verdana"/>
                <w:sz w:val="18"/>
                <w:szCs w:val="18"/>
              </w:rPr>
              <w:t xml:space="preserve"> 1. Art. No.: CD011145.</w:t>
            </w:r>
            <w:r w:rsidRPr="605509CC" w:rsidR="605509CC">
              <w:rPr>
                <w:rFonts w:ascii="Verdana" w:hAnsi="Verdana" w:eastAsia="Verdana" w:cs="Verdana"/>
                <w:sz w:val="18"/>
                <w:szCs w:val="18"/>
              </w:rPr>
              <w:t xml:space="preserve"> </w:t>
            </w:r>
          </w:p>
        </w:tc>
      </w:tr>
      <w:tr xmlns:wp14="http://schemas.microsoft.com/office/word/2010/wordml" w:rsidRPr="00FE17E8" w:rsidR="00AC2F0F" w:rsidTr="7ABC7D88" w14:paraId="009795BF" wp14:textId="77777777">
        <w:tc>
          <w:tcPr>
            <w:tcW w:w="6192" w:type="dxa"/>
            <w:shd w:val="clear" w:color="auto" w:fill="auto"/>
            <w:tcMar/>
          </w:tcPr>
          <w:p w:rsidRPr="00185231" w:rsidR="00AC2F0F" w:rsidP="7ABC7D88" w:rsidRDefault="00AC2F0F" w14:paraId="473B04E9" wp14:textId="5500B09F">
            <w:pPr>
              <w:spacing w:before="0" w:beforeAutospacing="0" w:after="0" w:afterAutospacing="0"/>
            </w:pPr>
            <w:r w:rsidRPr="7ABC7D88" w:rsidR="7ABC7D88">
              <w:rPr>
                <w:rFonts w:ascii="Verdana" w:hAnsi="Verdana" w:eastAsia="Verdana" w:cs="Verdana"/>
                <w:sz w:val="18"/>
                <w:szCs w:val="18"/>
              </w:rPr>
              <w:t>5.To</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determine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MMSE at </w:t>
            </w:r>
            <w:proofErr w:type="spellStart"/>
            <w:r w:rsidRPr="7ABC7D88" w:rsidR="7ABC7D88">
              <w:rPr>
                <w:rFonts w:ascii="Verdana" w:hAnsi="Verdana" w:eastAsia="Verdana" w:cs="Verdana"/>
                <w:sz w:val="18"/>
                <w:szCs w:val="18"/>
              </w:rPr>
              <w:t>various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thresholds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detecting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individuals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baseline</w:t>
            </w:r>
            <w:proofErr w:type="spellEnd"/>
            <w:r w:rsidRPr="7ABC7D88" w:rsidR="7ABC7D88">
              <w:rPr>
                <w:rFonts w:ascii="Verdana" w:hAnsi="Verdana" w:eastAsia="Verdana" w:cs="Verdana"/>
                <w:sz w:val="18"/>
                <w:szCs w:val="18"/>
              </w:rPr>
              <w:t xml:space="preserve"> MCI </w:t>
            </w:r>
            <w:proofErr w:type="spellStart"/>
            <w:r w:rsidRPr="7ABC7D88" w:rsidR="7ABC7D88">
              <w:rPr>
                <w:rFonts w:ascii="Verdana" w:hAnsi="Verdana" w:eastAsia="Verdana" w:cs="Verdana"/>
                <w:sz w:val="18"/>
                <w:szCs w:val="18"/>
              </w:rPr>
              <w:t>who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clinically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convert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general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Alzheimer’s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disease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other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forms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at </w:t>
            </w:r>
            <w:proofErr w:type="spellStart"/>
            <w:r w:rsidRPr="7ABC7D88" w:rsidR="7ABC7D88">
              <w:rPr>
                <w:rFonts w:ascii="Verdana" w:hAnsi="Verdana" w:eastAsia="Verdana" w:cs="Verdana"/>
                <w:sz w:val="18"/>
                <w:szCs w:val="18"/>
              </w:rPr>
              <w:t>follow-up</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searched</w:t>
            </w:r>
            <w:proofErr w:type="spellEnd"/>
            <w:r w:rsidRPr="7ABC7D88" w:rsidR="7ABC7D88">
              <w:rPr>
                <w:rFonts w:ascii="Verdana" w:hAnsi="Verdana" w:eastAsia="Verdana" w:cs="Verdana"/>
                <w:sz w:val="18"/>
                <w:szCs w:val="18"/>
              </w:rPr>
              <w:t xml:space="preserve"> ALOIS (</w:t>
            </w:r>
            <w:proofErr w:type="spellStart"/>
            <w:r w:rsidRPr="7ABC7D88" w:rsidR="7ABC7D88">
              <w:rPr>
                <w:rFonts w:ascii="Verdana" w:hAnsi="Verdana" w:eastAsia="Verdana" w:cs="Verdana"/>
                <w:sz w:val="18"/>
                <w:szCs w:val="18"/>
              </w:rPr>
              <w:t>Cochrane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Improvement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Specialized</w:t>
            </w:r>
            <w:proofErr w:type="spellEnd"/>
            <w:r w:rsidRPr="7ABC7D88" w:rsidR="7ABC7D88">
              <w:rPr>
                <w:rFonts w:ascii="Verdana" w:hAnsi="Verdana" w:eastAsia="Verdana" w:cs="Verdana"/>
                <w:sz w:val="18"/>
                <w:szCs w:val="18"/>
              </w:rPr>
              <w:t xml:space="preserve"> Register of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intervention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inception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MEDLINE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xml:space="preserve">) (1946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EMBASE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xml:space="preserve">) (1980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BIOSIS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w:t>
            </w:r>
            <w:proofErr w:type="spellStart"/>
            <w:r w:rsidRPr="7ABC7D88" w:rsidR="7ABC7D88">
              <w:rPr>
                <w:rFonts w:ascii="Verdana" w:hAnsi="Verdana" w:eastAsia="Verdana" w:cs="Verdana"/>
                <w:sz w:val="18"/>
                <w:szCs w:val="18"/>
              </w:rPr>
              <w:t>inception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Collection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including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Conference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Proceedings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Citation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Index</w:t>
            </w:r>
            <w:proofErr w:type="spellEnd"/>
            <w:r w:rsidRPr="7ABC7D88" w:rsidR="7ABC7D88">
              <w:rPr>
                <w:rFonts w:ascii="Verdana" w:hAnsi="Verdana" w:eastAsia="Verdana" w:cs="Verdana"/>
                <w:sz w:val="18"/>
                <w:szCs w:val="18"/>
              </w:rPr>
              <w:t xml:space="preserve"> (ISI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w:t>
            </w:r>
            <w:proofErr w:type="spellStart"/>
            <w:r w:rsidRPr="7ABC7D88" w:rsidR="7ABC7D88">
              <w:rPr>
                <w:rFonts w:ascii="Verdana" w:hAnsi="Verdana" w:eastAsia="Verdana" w:cs="Verdana"/>
                <w:sz w:val="18"/>
                <w:szCs w:val="18"/>
              </w:rPr>
              <w:t>inception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w:t>
            </w:r>
            <w:proofErr w:type="spellStart"/>
            <w:r w:rsidRPr="7ABC7D88" w:rsidR="7ABC7D88">
              <w:rPr>
                <w:rFonts w:ascii="Verdana" w:hAnsi="Verdana" w:eastAsia="Verdana" w:cs="Verdana"/>
                <w:sz w:val="18"/>
                <w:szCs w:val="18"/>
              </w:rPr>
              <w:t>PsycINFO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w:t>
            </w:r>
            <w:proofErr w:type="spellStart"/>
            <w:r w:rsidRPr="7ABC7D88" w:rsidR="7ABC7D88">
              <w:rPr>
                <w:rFonts w:ascii="Verdana" w:hAnsi="Verdana" w:eastAsia="Verdana" w:cs="Verdana"/>
                <w:sz w:val="18"/>
                <w:szCs w:val="18"/>
              </w:rPr>
              <w:t>inception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 and LILACS (BIREME) (1982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2014).</w:t>
            </w:r>
          </w:p>
          <w:p w:rsidRPr="00185231" w:rsidR="00AC2F0F" w:rsidP="7ABC7D88" w:rsidRDefault="00AC2F0F" w14:paraId="43093E2A" wp14:textId="227546EB">
            <w:pPr>
              <w:spacing w:before="0" w:beforeAutospacing="0" w:after="0" w:afterAutospacing="0"/>
            </w:pPr>
            <w:r w:rsidRPr="7ABC7D88" w:rsidR="7ABC7D88">
              <w:rPr>
                <w:rFonts w:ascii="Verdana" w:hAnsi="Verdana" w:eastAsia="Verdana" w:cs="Verdana"/>
                <w:sz w:val="18"/>
                <w:szCs w:val="18"/>
              </w:rPr>
              <w:t xml:space="preserve">In </w:t>
            </w:r>
            <w:proofErr w:type="spellStart"/>
            <w:r w:rsidRPr="7ABC7D88" w:rsidR="7ABC7D88">
              <w:rPr>
                <w:rFonts w:ascii="Verdana" w:hAnsi="Verdana" w:eastAsia="Verdana" w:cs="Verdana"/>
                <w:sz w:val="18"/>
                <w:szCs w:val="18"/>
              </w:rPr>
              <w:t>this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review</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included</w:t>
            </w:r>
            <w:proofErr w:type="spellEnd"/>
            <w:r w:rsidRPr="7ABC7D88" w:rsidR="7ABC7D88">
              <w:rPr>
                <w:rFonts w:ascii="Verdana" w:hAnsi="Verdana" w:eastAsia="Verdana" w:cs="Verdana"/>
                <w:sz w:val="18"/>
                <w:szCs w:val="18"/>
              </w:rPr>
              <w:t xml:space="preserve"> 11 </w:t>
            </w:r>
            <w:proofErr w:type="spellStart"/>
            <w:r w:rsidRPr="7ABC7D88" w:rsidR="7ABC7D88">
              <w:rPr>
                <w:rFonts w:ascii="Verdana" w:hAnsi="Verdana" w:eastAsia="Verdana" w:cs="Verdana"/>
                <w:sz w:val="18"/>
                <w:szCs w:val="18"/>
              </w:rPr>
              <w:t>heterogeneous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total</w:t>
            </w:r>
            <w:proofErr w:type="spellEnd"/>
            <w:r w:rsidRPr="7ABC7D88" w:rsidR="7ABC7D88">
              <w:rPr>
                <w:rFonts w:ascii="Verdana" w:hAnsi="Verdana" w:eastAsia="Verdana" w:cs="Verdana"/>
                <w:sz w:val="18"/>
                <w:szCs w:val="18"/>
              </w:rPr>
              <w:t xml:space="preserve"> number of 1569 MCI </w:t>
            </w:r>
            <w:proofErr w:type="spellStart"/>
            <w:r w:rsidRPr="7ABC7D88" w:rsidR="7ABC7D88">
              <w:rPr>
                <w:rFonts w:ascii="Verdana" w:hAnsi="Verdana" w:eastAsia="Verdana" w:cs="Verdana"/>
                <w:sz w:val="18"/>
                <w:szCs w:val="18"/>
              </w:rPr>
              <w:t>patients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followed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conversion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w:t>
            </w:r>
          </w:p>
          <w:p w:rsidRPr="00185231" w:rsidR="00AC2F0F" w:rsidP="7ABC7D88" w:rsidRDefault="00AC2F0F" w14:paraId="0360928E" wp14:textId="663C5E93">
            <w:pPr>
              <w:spacing w:before="0" w:beforeAutospacing="0" w:after="0" w:afterAutospacing="0"/>
              <w:rPr>
                <w:rFonts w:ascii="Verdana" w:hAnsi="Verdana" w:cs="Arial"/>
                <w:color w:val="000080"/>
                <w:sz w:val="18"/>
                <w:szCs w:val="18"/>
              </w:rPr>
            </w:pPr>
            <w:proofErr w:type="spellStart"/>
            <w:r w:rsidRPr="7ABC7D88" w:rsidR="7ABC7D88">
              <w:rPr>
                <w:rFonts w:ascii="Verdana" w:hAnsi="Verdana" w:eastAsia="Verdana" w:cs="Verdana"/>
                <w:sz w:val="18"/>
                <w:szCs w:val="18"/>
                <w:u w:val="single"/>
              </w:rPr>
              <w:t>Conclusion</w:t>
            </w:r>
            <w:proofErr w:type="spellEnd"/>
            <w:r w:rsidRPr="7ABC7D88" w:rsidR="7ABC7D88">
              <w:rPr>
                <w:rFonts w:ascii="Verdana" w:hAnsi="Verdana" w:eastAsia="Verdana" w:cs="Verdana"/>
                <w:sz w:val="18"/>
                <w:szCs w:val="18"/>
                <w:u w:val="single"/>
              </w:rPr>
              <w:t>:</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Our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review</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not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find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evidence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supporting</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substantial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role</w:t>
            </w:r>
            <w:proofErr w:type="spellEnd"/>
            <w:r w:rsidRPr="7ABC7D88" w:rsidR="7ABC7D88">
              <w:rPr>
                <w:rFonts w:ascii="Verdana" w:hAnsi="Verdana" w:eastAsia="Verdana" w:cs="Verdana"/>
                <w:sz w:val="18"/>
                <w:szCs w:val="18"/>
              </w:rPr>
              <w:t xml:space="preserve"> of MMSE </w:t>
            </w:r>
            <w:proofErr w:type="spellStart"/>
            <w:r w:rsidRPr="7ABC7D88" w:rsidR="7ABC7D88">
              <w:rPr>
                <w:rFonts w:ascii="Verdana" w:hAnsi="Verdana" w:eastAsia="Verdana" w:cs="Verdana"/>
                <w:sz w:val="18"/>
                <w:szCs w:val="18"/>
              </w:rPr>
              <w:t>as</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stand-alone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single-administration</w:t>
            </w:r>
            <w:proofErr w:type="spellEnd"/>
            <w:r w:rsidRPr="7ABC7D88" w:rsidR="7ABC7D88">
              <w:rPr>
                <w:rFonts w:ascii="Verdana" w:hAnsi="Verdana" w:eastAsia="Verdana" w:cs="Verdana"/>
                <w:sz w:val="18"/>
                <w:szCs w:val="18"/>
              </w:rPr>
              <w:t xml:space="preserve"> test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identification</w:t>
            </w:r>
            <w:proofErr w:type="spellEnd"/>
            <w:r w:rsidRPr="7ABC7D88" w:rsidR="7ABC7D88">
              <w:rPr>
                <w:rFonts w:ascii="Verdana" w:hAnsi="Verdana" w:eastAsia="Verdana" w:cs="Verdana"/>
                <w:sz w:val="18"/>
                <w:szCs w:val="18"/>
              </w:rPr>
              <w:t xml:space="preserve"> of MCI </w:t>
            </w:r>
            <w:proofErr w:type="spellStart"/>
            <w:r w:rsidRPr="7ABC7D88" w:rsidR="7ABC7D88">
              <w:rPr>
                <w:rFonts w:ascii="Verdana" w:hAnsi="Verdana" w:eastAsia="Verdana" w:cs="Verdana"/>
                <w:sz w:val="18"/>
                <w:szCs w:val="18"/>
              </w:rPr>
              <w:t>patients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who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develop</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Clinicians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prefer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request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additional</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extensive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sure </w:t>
            </w:r>
            <w:proofErr w:type="spellStart"/>
            <w:r w:rsidRPr="7ABC7D88" w:rsidR="7ABC7D88">
              <w:rPr>
                <w:rFonts w:ascii="Verdana" w:hAnsi="Verdana" w:eastAsia="Verdana" w:cs="Verdana"/>
                <w:sz w:val="18"/>
                <w:szCs w:val="18"/>
              </w:rPr>
              <w:t>about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management</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these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patients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important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aspect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future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updates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if</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conversion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from</w:t>
            </w:r>
            <w:proofErr w:type="spellEnd"/>
            <w:r w:rsidRPr="7ABC7D88" w:rsidR="7ABC7D88">
              <w:rPr>
                <w:rFonts w:ascii="Verdana" w:hAnsi="Verdana" w:eastAsia="Verdana" w:cs="Verdana"/>
                <w:sz w:val="18"/>
                <w:szCs w:val="18"/>
              </w:rPr>
              <w:t xml:space="preserve"> MCI </w:t>
            </w:r>
            <w:proofErr w:type="spellStart"/>
            <w:r w:rsidRPr="7ABC7D88" w:rsidR="7ABC7D88">
              <w:rPr>
                <w:rFonts w:ascii="Verdana" w:hAnsi="Verdana" w:eastAsia="Verdana" w:cs="Verdana"/>
                <w:sz w:val="18"/>
                <w:szCs w:val="18"/>
              </w:rPr>
              <w:t>stages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predicted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better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by</w:t>
            </w:r>
            <w:proofErr w:type="spellEnd"/>
            <w:r w:rsidRPr="7ABC7D88" w:rsidR="7ABC7D88">
              <w:rPr>
                <w:rFonts w:ascii="Verdana" w:hAnsi="Verdana" w:eastAsia="Verdana" w:cs="Verdana"/>
                <w:sz w:val="18"/>
                <w:szCs w:val="18"/>
              </w:rPr>
              <w:t xml:space="preserve"> MMSE </w:t>
            </w:r>
            <w:proofErr w:type="spellStart"/>
            <w:r w:rsidRPr="7ABC7D88" w:rsidR="7ABC7D88">
              <w:rPr>
                <w:rFonts w:ascii="Verdana" w:hAnsi="Verdana" w:eastAsia="Verdana" w:cs="Verdana"/>
                <w:sz w:val="18"/>
                <w:szCs w:val="18"/>
              </w:rPr>
              <w:t>changes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time</w:t>
            </w:r>
            <w:proofErr w:type="spellEnd"/>
            <w:r w:rsidRPr="7ABC7D88" w:rsidR="7ABC7D88">
              <w:rPr>
                <w:rFonts w:ascii="Verdana" w:hAnsi="Verdana" w:eastAsia="Verdana" w:cs="Verdana"/>
                <w:sz w:val="18"/>
                <w:szCs w:val="18"/>
              </w:rPr>
              <w:t xml:space="preserve"> instead of </w:t>
            </w:r>
            <w:proofErr w:type="spellStart"/>
            <w:r w:rsidRPr="7ABC7D88" w:rsidR="7ABC7D88">
              <w:rPr>
                <w:rFonts w:ascii="Verdana" w:hAnsi="Verdana" w:eastAsia="Verdana" w:cs="Verdana"/>
                <w:sz w:val="18"/>
                <w:szCs w:val="18"/>
              </w:rPr>
              <w:t>single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measurements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also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important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if</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set</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rather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isolated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more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successful</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predicting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conversion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from</w:t>
            </w:r>
            <w:proofErr w:type="spellEnd"/>
            <w:r w:rsidRPr="7ABC7D88" w:rsidR="7ABC7D88">
              <w:rPr>
                <w:rFonts w:ascii="Verdana" w:hAnsi="Verdana" w:eastAsia="Verdana" w:cs="Verdana"/>
                <w:sz w:val="18"/>
                <w:szCs w:val="18"/>
              </w:rPr>
              <w:t xml:space="preserve"> MCI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
        </w:tc>
        <w:tc>
          <w:tcPr>
            <w:tcW w:w="3096" w:type="dxa"/>
            <w:shd w:val="clear" w:color="auto" w:fill="auto"/>
            <w:tcMar/>
          </w:tcPr>
          <w:p w:rsidRPr="00185231" w:rsidR="00AC2F0F" w:rsidP="7ABC7D88" w:rsidRDefault="00AC2F0F" w14:paraId="1E1F8528" wp14:textId="6E67F514">
            <w:pPr>
              <w:jc w:val="both"/>
              <w:rPr>
                <w:rFonts w:ascii="Verdana" w:hAnsi="Verdana" w:cs="SabonLTStd-Roman"/>
                <w:color w:val="000080"/>
                <w:sz w:val="18"/>
                <w:szCs w:val="18"/>
              </w:rPr>
            </w:pPr>
            <w:r w:rsidRPr="7ABC7D88" w:rsidR="7ABC7D88">
              <w:rPr>
                <w:rFonts w:ascii="Verdana" w:hAnsi="Verdana" w:eastAsia="Verdana" w:cs="Verdana"/>
                <w:b w:val="0"/>
                <w:bCs w:val="0"/>
                <w:sz w:val="18"/>
                <w:szCs w:val="18"/>
                <w:u w:val="none"/>
              </w:rPr>
              <w:t>5.</w:t>
            </w:r>
            <w:r w:rsidRPr="7ABC7D88" w:rsidR="7ABC7D88">
              <w:rPr>
                <w:rFonts w:ascii="Verdana" w:hAnsi="Verdana" w:eastAsia="Verdana" w:cs="Verdana"/>
                <w:b w:val="0"/>
                <w:bCs w:val="0"/>
                <w:sz w:val="18"/>
                <w:szCs w:val="18"/>
                <w:u w:val="none"/>
              </w:rPr>
              <w:t>Arevalo-</w:t>
            </w:r>
            <w:proofErr w:type="spellStart"/>
            <w:r w:rsidRPr="7ABC7D88" w:rsidR="7ABC7D88">
              <w:rPr>
                <w:rFonts w:ascii="Verdana" w:hAnsi="Verdana" w:eastAsia="Verdana" w:cs="Verdana"/>
                <w:b w:val="0"/>
                <w:bCs w:val="0"/>
                <w:sz w:val="18"/>
                <w:szCs w:val="18"/>
                <w:u w:val="none"/>
              </w:rPr>
              <w:t>Rodriguez</w:t>
            </w:r>
            <w:proofErr w:type="spellEnd"/>
            <w:r w:rsidRPr="7ABC7D88" w:rsidR="7ABC7D88">
              <w:rPr>
                <w:rFonts w:ascii="Verdana" w:hAnsi="Verdana" w:eastAsia="Verdana" w:cs="Verdana"/>
                <w:b w:val="0"/>
                <w:bCs w:val="0"/>
                <w:sz w:val="18"/>
                <w:szCs w:val="18"/>
                <w:u w:val="none"/>
              </w:rPr>
              <w:t xml:space="preserve"> I, </w:t>
            </w:r>
            <w:proofErr w:type="spellStart"/>
            <w:r w:rsidRPr="7ABC7D88" w:rsidR="7ABC7D88">
              <w:rPr>
                <w:rFonts w:ascii="Verdana" w:hAnsi="Verdana" w:eastAsia="Verdana" w:cs="Verdana"/>
                <w:b w:val="0"/>
                <w:bCs w:val="0"/>
                <w:sz w:val="18"/>
                <w:szCs w:val="18"/>
                <w:u w:val="none"/>
              </w:rPr>
              <w:t>Smailagic</w:t>
            </w:r>
            <w:proofErr w:type="spellEnd"/>
            <w:r w:rsidRPr="7ABC7D88" w:rsidR="7ABC7D88">
              <w:rPr>
                <w:rFonts w:ascii="Verdana" w:hAnsi="Verdana" w:eastAsia="Verdana" w:cs="Verdana"/>
                <w:b w:val="0"/>
                <w:bCs w:val="0"/>
                <w:sz w:val="18"/>
                <w:szCs w:val="18"/>
                <w:u w:val="none"/>
              </w:rPr>
              <w:t xml:space="preserve"> N, </w:t>
            </w:r>
            <w:proofErr w:type="spellStart"/>
            <w:r w:rsidRPr="7ABC7D88" w:rsidR="7ABC7D88">
              <w:rPr>
                <w:rFonts w:ascii="Verdana" w:hAnsi="Verdana" w:eastAsia="Verdana" w:cs="Verdana"/>
                <w:b w:val="0"/>
                <w:bCs w:val="0"/>
                <w:sz w:val="18"/>
                <w:szCs w:val="18"/>
                <w:u w:val="none"/>
              </w:rPr>
              <w:t>Roqué</w:t>
            </w:r>
            <w:proofErr w:type="spellEnd"/>
            <w:r w:rsidRPr="7ABC7D88" w:rsidR="7ABC7D88">
              <w:rPr>
                <w:rFonts w:ascii="Verdana" w:hAnsi="Verdana" w:eastAsia="Verdana" w:cs="Verdana"/>
                <w:b w:val="0"/>
                <w:bCs w:val="0"/>
                <w:sz w:val="18"/>
                <w:szCs w:val="18"/>
                <w:u w:val="none"/>
              </w:rPr>
              <w:t xml:space="preserve"> i </w:t>
            </w:r>
            <w:proofErr w:type="spellStart"/>
            <w:r w:rsidRPr="7ABC7D88" w:rsidR="7ABC7D88">
              <w:rPr>
                <w:rFonts w:ascii="Verdana" w:hAnsi="Verdana" w:eastAsia="Verdana" w:cs="Verdana"/>
                <w:b w:val="0"/>
                <w:bCs w:val="0"/>
                <w:sz w:val="18"/>
                <w:szCs w:val="18"/>
                <w:u w:val="none"/>
              </w:rPr>
              <w:t>Figuls</w:t>
            </w:r>
            <w:proofErr w:type="spellEnd"/>
            <w:r w:rsidRPr="7ABC7D88" w:rsidR="7ABC7D88">
              <w:rPr>
                <w:rFonts w:ascii="Verdana" w:hAnsi="Verdana" w:eastAsia="Verdana" w:cs="Verdana"/>
                <w:b w:val="0"/>
                <w:bCs w:val="0"/>
                <w:sz w:val="18"/>
                <w:szCs w:val="18"/>
                <w:u w:val="none"/>
              </w:rPr>
              <w:t xml:space="preserve"> M, </w:t>
            </w:r>
            <w:proofErr w:type="spellStart"/>
            <w:r w:rsidRPr="7ABC7D88" w:rsidR="7ABC7D88">
              <w:rPr>
                <w:rFonts w:ascii="Verdana" w:hAnsi="Verdana" w:eastAsia="Verdana" w:cs="Verdana"/>
                <w:b w:val="0"/>
                <w:bCs w:val="0"/>
                <w:sz w:val="18"/>
                <w:szCs w:val="18"/>
                <w:u w:val="none"/>
              </w:rPr>
              <w:t>Ciapponi</w:t>
            </w:r>
            <w:proofErr w:type="spellEnd"/>
            <w:r w:rsidRPr="7ABC7D88" w:rsidR="7ABC7D88">
              <w:rPr>
                <w:rFonts w:ascii="Verdana" w:hAnsi="Verdana" w:eastAsia="Verdana" w:cs="Verdana"/>
                <w:b w:val="0"/>
                <w:bCs w:val="0"/>
                <w:sz w:val="18"/>
                <w:szCs w:val="18"/>
                <w:u w:val="none"/>
              </w:rPr>
              <w:t xml:space="preserve"> A, </w:t>
            </w:r>
            <w:proofErr w:type="spellStart"/>
            <w:r w:rsidRPr="7ABC7D88" w:rsidR="7ABC7D88">
              <w:rPr>
                <w:rFonts w:ascii="Verdana" w:hAnsi="Verdana" w:eastAsia="Verdana" w:cs="Verdana"/>
                <w:b w:val="0"/>
                <w:bCs w:val="0"/>
                <w:sz w:val="18"/>
                <w:szCs w:val="18"/>
                <w:u w:val="none"/>
              </w:rPr>
              <w:t>Sanchez-Perez</w:t>
            </w:r>
            <w:proofErr w:type="spellEnd"/>
            <w:r w:rsidRPr="7ABC7D88" w:rsidR="7ABC7D88">
              <w:rPr>
                <w:rFonts w:ascii="Verdana" w:hAnsi="Verdana" w:eastAsia="Verdana" w:cs="Verdana"/>
                <w:b w:val="0"/>
                <w:bCs w:val="0"/>
                <w:sz w:val="18"/>
                <w:szCs w:val="18"/>
                <w:u w:val="none"/>
              </w:rPr>
              <w:t xml:space="preserve"> E, </w:t>
            </w:r>
            <w:proofErr w:type="spellStart"/>
            <w:r w:rsidRPr="7ABC7D88" w:rsidR="7ABC7D88">
              <w:rPr>
                <w:rFonts w:ascii="Verdana" w:hAnsi="Verdana" w:eastAsia="Verdana" w:cs="Verdana"/>
                <w:b w:val="0"/>
                <w:bCs w:val="0"/>
                <w:sz w:val="18"/>
                <w:szCs w:val="18"/>
                <w:u w:val="none"/>
              </w:rPr>
              <w:t>Giannakou</w:t>
            </w:r>
            <w:proofErr w:type="spellEnd"/>
            <w:r w:rsidRPr="7ABC7D88" w:rsidR="7ABC7D88">
              <w:rPr>
                <w:rFonts w:ascii="Verdana" w:hAnsi="Verdana" w:eastAsia="Verdana" w:cs="Verdana"/>
                <w:b w:val="0"/>
                <w:bCs w:val="0"/>
                <w:sz w:val="18"/>
                <w:szCs w:val="18"/>
                <w:u w:val="none"/>
              </w:rPr>
              <w:t xml:space="preserve"> A, </w:t>
            </w:r>
            <w:proofErr w:type="spellStart"/>
            <w:r w:rsidRPr="7ABC7D88" w:rsidR="7ABC7D88">
              <w:rPr>
                <w:rFonts w:ascii="Verdana" w:hAnsi="Verdana" w:eastAsia="Verdana" w:cs="Verdana"/>
                <w:b w:val="0"/>
                <w:bCs w:val="0"/>
                <w:sz w:val="18"/>
                <w:szCs w:val="18"/>
                <w:u w:val="none"/>
              </w:rPr>
              <w:t>Pedraza</w:t>
            </w:r>
            <w:proofErr w:type="spellEnd"/>
            <w:r w:rsidRPr="7ABC7D88" w:rsidR="7ABC7D88">
              <w:rPr>
                <w:rFonts w:ascii="Verdana" w:hAnsi="Verdana" w:eastAsia="Verdana" w:cs="Verdana"/>
                <w:b w:val="0"/>
                <w:bCs w:val="0"/>
                <w:sz w:val="18"/>
                <w:szCs w:val="18"/>
                <w:u w:val="none"/>
              </w:rPr>
              <w:t xml:space="preserve"> OL, </w:t>
            </w:r>
            <w:proofErr w:type="spellStart"/>
            <w:r w:rsidRPr="7ABC7D88" w:rsidR="7ABC7D88">
              <w:rPr>
                <w:rFonts w:ascii="Verdana" w:hAnsi="Verdana" w:eastAsia="Verdana" w:cs="Verdana"/>
                <w:b w:val="0"/>
                <w:bCs w:val="0"/>
                <w:sz w:val="18"/>
                <w:szCs w:val="18"/>
                <w:u w:val="none"/>
              </w:rPr>
              <w:t>Bon</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fill</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Cosp</w:t>
            </w:r>
            <w:proofErr w:type="spellEnd"/>
            <w:r w:rsidRPr="7ABC7D88" w:rsidR="7ABC7D88">
              <w:rPr>
                <w:rFonts w:ascii="Verdana" w:hAnsi="Verdana" w:eastAsia="Verdana" w:cs="Verdana"/>
                <w:b w:val="0"/>
                <w:bCs w:val="0"/>
                <w:sz w:val="18"/>
                <w:szCs w:val="18"/>
                <w:u w:val="none"/>
              </w:rPr>
              <w:t xml:space="preserve"> X, </w:t>
            </w:r>
            <w:proofErr w:type="spellStart"/>
            <w:r w:rsidRPr="7ABC7D88" w:rsidR="7ABC7D88">
              <w:rPr>
                <w:rFonts w:ascii="Verdana" w:hAnsi="Verdana" w:eastAsia="Verdana" w:cs="Verdana"/>
                <w:b w:val="0"/>
                <w:bCs w:val="0"/>
                <w:sz w:val="18"/>
                <w:szCs w:val="18"/>
                <w:u w:val="none"/>
              </w:rPr>
              <w:t>Cullum</w:t>
            </w:r>
            <w:proofErr w:type="spellEnd"/>
            <w:r w:rsidRPr="7ABC7D88" w:rsidR="7ABC7D88">
              <w:rPr>
                <w:rFonts w:ascii="Verdana" w:hAnsi="Verdana" w:eastAsia="Verdana" w:cs="Verdana"/>
                <w:b w:val="0"/>
                <w:bCs w:val="0"/>
                <w:sz w:val="18"/>
                <w:szCs w:val="18"/>
                <w:u w:val="none"/>
              </w:rPr>
              <w:t xml:space="preserve"> S. Mini-</w:t>
            </w:r>
            <w:proofErr w:type="spellStart"/>
            <w:r w:rsidRPr="7ABC7D88" w:rsidR="7ABC7D88">
              <w:rPr>
                <w:rFonts w:ascii="Verdana" w:hAnsi="Verdana" w:eastAsia="Verdana" w:cs="Verdana"/>
                <w:b w:val="0"/>
                <w:bCs w:val="0"/>
                <w:sz w:val="18"/>
                <w:szCs w:val="18"/>
                <w:u w:val="none"/>
              </w:rPr>
              <w:t>Mental</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State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Examination</w:t>
            </w:r>
            <w:proofErr w:type="spellEnd"/>
            <w:r w:rsidRPr="7ABC7D88" w:rsidR="7ABC7D88">
              <w:rPr>
                <w:rFonts w:ascii="Verdana" w:hAnsi="Verdana" w:eastAsia="Verdana" w:cs="Verdana"/>
                <w:b w:val="0"/>
                <w:bCs w:val="0"/>
                <w:sz w:val="18"/>
                <w:szCs w:val="18"/>
                <w:u w:val="none"/>
              </w:rPr>
              <w:t xml:space="preserve"> (MMSE)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detection</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Alzheimer’s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disease</w:t>
            </w:r>
            <w:proofErr w:type="spellEnd"/>
            <w:r w:rsidRPr="7ABC7D88" w:rsidR="7ABC7D88">
              <w:rPr>
                <w:rFonts w:ascii="Verdana" w:hAnsi="Verdana" w:eastAsia="Verdana" w:cs="Verdana"/>
                <w:b w:val="0"/>
                <w:bCs w:val="0"/>
                <w:sz w:val="18"/>
                <w:szCs w:val="18"/>
                <w:u w:val="none"/>
              </w:rPr>
              <w:t xml:space="preserve"> and </w:t>
            </w:r>
            <w:proofErr w:type="spellStart"/>
            <w:r w:rsidRPr="7ABC7D88" w:rsidR="7ABC7D88">
              <w:rPr>
                <w:rFonts w:ascii="Verdana" w:hAnsi="Verdana" w:eastAsia="Verdana" w:cs="Verdana"/>
                <w:b w:val="0"/>
                <w:bCs w:val="0"/>
                <w:sz w:val="18"/>
                <w:szCs w:val="18"/>
                <w:u w:val="none"/>
              </w:rPr>
              <w:t>other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dementias</w:t>
            </w:r>
            <w:proofErr w:type="spellEnd"/>
            <w:r w:rsidRPr="7ABC7D88" w:rsidR="7ABC7D88">
              <w:rPr>
                <w:rFonts w:ascii="Verdana" w:hAnsi="Verdana" w:eastAsia="Verdana" w:cs="Verdana"/>
                <w:b w:val="0"/>
                <w:bCs w:val="0"/>
                <w:sz w:val="18"/>
                <w:szCs w:val="18"/>
                <w:u w:val="none"/>
              </w:rPr>
              <w:t xml:space="preserve"> in </w:t>
            </w:r>
            <w:proofErr w:type="spellStart"/>
            <w:r w:rsidRPr="7ABC7D88" w:rsidR="7ABC7D88">
              <w:rPr>
                <w:rFonts w:ascii="Verdana" w:hAnsi="Verdana" w:eastAsia="Verdana" w:cs="Verdana"/>
                <w:b w:val="0"/>
                <w:bCs w:val="0"/>
                <w:sz w:val="18"/>
                <w:szCs w:val="18"/>
                <w:u w:val="none"/>
              </w:rPr>
              <w:t>people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with</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mild</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cognitive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impairment</w:t>
            </w:r>
            <w:proofErr w:type="spellEnd"/>
            <w:r w:rsidRPr="7ABC7D88" w:rsidR="7ABC7D88">
              <w:rPr>
                <w:rFonts w:ascii="Verdana" w:hAnsi="Verdana" w:eastAsia="Verdana" w:cs="Verdana"/>
                <w:b w:val="0"/>
                <w:bCs w:val="0"/>
                <w:sz w:val="18"/>
                <w:szCs w:val="18"/>
                <w:u w:val="none"/>
              </w:rPr>
              <w:t xml:space="preserve"> (MCI). </w:t>
            </w:r>
            <w:proofErr w:type="spellStart"/>
            <w:r w:rsidRPr="7ABC7D88" w:rsidR="7ABC7D88">
              <w:rPr>
                <w:rFonts w:ascii="Verdana" w:hAnsi="Verdana" w:eastAsia="Verdana" w:cs="Verdana"/>
                <w:b w:val="0"/>
                <w:bCs w:val="0"/>
                <w:sz w:val="18"/>
                <w:szCs w:val="18"/>
                <w:u w:val="none"/>
              </w:rPr>
              <w:t>Cochrane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Database</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Systematic</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Reviews</w:t>
            </w:r>
            <w:proofErr w:type="spellEnd"/>
            <w:r w:rsidRPr="7ABC7D88" w:rsidR="7ABC7D88">
              <w:rPr>
                <w:rFonts w:ascii="Verdana" w:hAnsi="Verdana" w:eastAsia="Verdana" w:cs="Verdana"/>
                <w:b w:val="0"/>
                <w:bCs w:val="0"/>
                <w:sz w:val="18"/>
                <w:szCs w:val="18"/>
                <w:u w:val="none"/>
              </w:rPr>
              <w:t xml:space="preserve"> 2015, </w:t>
            </w:r>
            <w:proofErr w:type="spellStart"/>
            <w:r w:rsidRPr="7ABC7D88" w:rsidR="7ABC7D88">
              <w:rPr>
                <w:rFonts w:ascii="Verdana" w:hAnsi="Verdana" w:eastAsia="Verdana" w:cs="Verdana"/>
                <w:b w:val="0"/>
                <w:bCs w:val="0"/>
                <w:sz w:val="18"/>
                <w:szCs w:val="18"/>
                <w:u w:val="none"/>
              </w:rPr>
              <w:t>Issue</w:t>
            </w:r>
            <w:proofErr w:type="spellEnd"/>
            <w:r w:rsidRPr="7ABC7D88" w:rsidR="7ABC7D88">
              <w:rPr>
                <w:rFonts w:ascii="Verdana" w:hAnsi="Verdana" w:eastAsia="Verdana" w:cs="Verdana"/>
                <w:b w:val="0"/>
                <w:bCs w:val="0"/>
                <w:sz w:val="18"/>
                <w:szCs w:val="18"/>
                <w:u w:val="none"/>
              </w:rPr>
              <w:t xml:space="preserve"> 3</w:t>
            </w:r>
          </w:p>
        </w:tc>
      </w:tr>
      <w:tr xmlns:wp14="http://schemas.microsoft.com/office/word/2010/wordml" w:rsidRPr="00FE17E8" w:rsidR="00AC2F0F" w:rsidTr="7ABC7D88" w14:paraId="32AF14FB" wp14:textId="77777777">
        <w:tc>
          <w:tcPr>
            <w:tcW w:w="6192" w:type="dxa"/>
            <w:shd w:val="clear" w:color="auto" w:fill="auto"/>
            <w:tcMar/>
          </w:tcPr>
          <w:p w:rsidRPr="00185231" w:rsidR="00AC2F0F" w:rsidP="00002CA6" w:rsidRDefault="00AC2F0F" w14:paraId="2C8BF180" wp14:textId="0DBA6C95">
            <w:pPr/>
            <w:r w:rsidRPr="7ABC7D88" w:rsidR="7ABC7D88">
              <w:rPr>
                <w:rFonts w:ascii="Verdana" w:hAnsi="Verdana" w:eastAsia="Verdana" w:cs="Verdana"/>
                <w:sz w:val="18"/>
                <w:szCs w:val="18"/>
              </w:rPr>
              <w:t>6.We</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searched</w:t>
            </w:r>
            <w:proofErr w:type="spellEnd"/>
            <w:r w:rsidRPr="7ABC7D88" w:rsidR="7ABC7D88">
              <w:rPr>
                <w:rFonts w:ascii="Verdana" w:hAnsi="Verdana" w:eastAsia="Verdana" w:cs="Verdana"/>
                <w:sz w:val="18"/>
                <w:szCs w:val="18"/>
              </w:rPr>
              <w:t xml:space="preserve"> MEDLINE, EMBASE, BIOSIS </w:t>
            </w:r>
            <w:proofErr w:type="spellStart"/>
            <w:r w:rsidRPr="7ABC7D88" w:rsidR="7ABC7D88">
              <w:rPr>
                <w:rFonts w:ascii="Verdana" w:hAnsi="Verdana" w:eastAsia="Verdana" w:cs="Verdana"/>
                <w:sz w:val="18"/>
                <w:szCs w:val="18"/>
              </w:rPr>
              <w:t>Previews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Citation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Index</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PsycINFO</w:t>
            </w:r>
            <w:proofErr w:type="spellEnd"/>
            <w:r w:rsidRPr="7ABC7D88" w:rsidR="7ABC7D88">
              <w:rPr>
                <w:rFonts w:ascii="Verdana" w:hAnsi="Verdana" w:eastAsia="Verdana" w:cs="Verdana"/>
                <w:sz w:val="18"/>
                <w:szCs w:val="18"/>
              </w:rPr>
              <w:t xml:space="preserve"> and LILACS </w:t>
            </w:r>
            <w:proofErr w:type="spellStart"/>
            <w:r w:rsidRPr="7ABC7D88" w:rsidR="7ABC7D88">
              <w:rPr>
                <w:rFonts w:ascii="Verdana" w:hAnsi="Verdana" w:eastAsia="Verdana" w:cs="Verdana"/>
                <w:sz w:val="18"/>
                <w:szCs w:val="18"/>
              </w:rPr>
              <w:t>databases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August 2012. </w:t>
            </w:r>
            <w:proofErr w:type="spellStart"/>
            <w:r w:rsidRPr="7ABC7D88" w:rsidR="7ABC7D88">
              <w:rPr>
                <w:rFonts w:ascii="Verdana" w:hAnsi="Verdana" w:eastAsia="Verdana" w:cs="Verdana"/>
                <w:sz w:val="18"/>
                <w:szCs w:val="18"/>
              </w:rPr>
              <w:t>Seven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selected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three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memory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two</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hospital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none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primary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care</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two</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population-derived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samples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9422 </w:t>
            </w:r>
            <w:proofErr w:type="spellStart"/>
            <w:r w:rsidRPr="7ABC7D88" w:rsidR="7ABC7D88">
              <w:rPr>
                <w:rFonts w:ascii="Verdana" w:hAnsi="Verdana" w:eastAsia="Verdana" w:cs="Verdana"/>
                <w:sz w:val="18"/>
                <w:szCs w:val="18"/>
              </w:rPr>
              <w:t>participants</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total</w:t>
            </w:r>
            <w:proofErr w:type="spellEnd"/>
            <w:r w:rsidRPr="7ABC7D88" w:rsidR="7ABC7D88">
              <w:rPr>
                <w:rFonts w:ascii="Verdana" w:hAnsi="Verdana" w:eastAsia="Verdana" w:cs="Verdana"/>
                <w:sz w:val="18"/>
                <w:szCs w:val="18"/>
              </w:rPr>
              <w:t>.</w:t>
            </w:r>
          </w:p>
          <w:p w:rsidRPr="00185231" w:rsidR="00AC2F0F" w:rsidP="7ABC7D88" w:rsidRDefault="00AC2F0F" w14:paraId="48CEB121" wp14:textId="77354AE7">
            <w:pPr>
              <w:pStyle w:val="Normaallaad"/>
              <w:rPr>
                <w:rFonts w:ascii="Verdana" w:hAnsi="Verdana" w:cs="SabonLTStd-Roman"/>
                <w:color w:val="000080"/>
                <w:sz w:val="18"/>
                <w:szCs w:val="18"/>
              </w:rPr>
            </w:pPr>
            <w:proofErr w:type="spellStart"/>
            <w:r w:rsidRPr="7ABC7D88" w:rsidR="7ABC7D88">
              <w:rPr>
                <w:rFonts w:ascii="Verdana" w:hAnsi="Verdana" w:eastAsia="Verdana" w:cs="Verdana"/>
                <w:sz w:val="18"/>
                <w:szCs w:val="18"/>
                <w:u w:val="single"/>
              </w:rPr>
              <w:t>Conculsion</w:t>
            </w:r>
            <w:proofErr w:type="spellEnd"/>
            <w:r w:rsidRPr="7ABC7D88" w:rsidR="7ABC7D88">
              <w:rPr>
                <w:rFonts w:ascii="Verdana" w:hAnsi="Verdana" w:eastAsia="Verdana" w:cs="Verdana"/>
                <w:sz w:val="18"/>
                <w:szCs w:val="18"/>
                <w:u w:val="single"/>
              </w:rPr>
              <w:t>:</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overall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quality</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quantity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information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insufficient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make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recommendations</w:t>
            </w:r>
            <w:proofErr w:type="spellEnd"/>
            <w:r w:rsidRPr="7ABC7D88" w:rsidR="7ABC7D88">
              <w:rPr>
                <w:rFonts w:ascii="Verdana" w:hAnsi="Verdana" w:eastAsia="Verdana" w:cs="Verdana"/>
                <w:sz w:val="18"/>
                <w:szCs w:val="18"/>
              </w:rPr>
              <w:t xml:space="preserve"> on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utility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detecting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different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settings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Further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not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recruit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participants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based</w:t>
            </w:r>
            <w:proofErr w:type="spellEnd"/>
            <w:r w:rsidRPr="7ABC7D88" w:rsidR="7ABC7D88">
              <w:rPr>
                <w:rFonts w:ascii="Verdana" w:hAnsi="Verdana" w:eastAsia="Verdana" w:cs="Verdana"/>
                <w:sz w:val="18"/>
                <w:szCs w:val="18"/>
              </w:rPr>
              <w:t xml:space="preserve"> on </w:t>
            </w:r>
            <w:proofErr w:type="spellStart"/>
            <w:r w:rsidRPr="7ABC7D88" w:rsidR="7ABC7D88">
              <w:rPr>
                <w:rFonts w:ascii="Verdana" w:hAnsi="Verdana" w:eastAsia="Verdana" w:cs="Verdana"/>
                <w:sz w:val="18"/>
                <w:szCs w:val="18"/>
              </w:rPr>
              <w:t>diagnoses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already</w:t>
            </w:r>
            <w:proofErr w:type="spellEnd"/>
            <w:r w:rsidRPr="7ABC7D88" w:rsidR="7ABC7D88">
              <w:rPr>
                <w:rFonts w:ascii="Verdana" w:hAnsi="Verdana" w:eastAsia="Verdana" w:cs="Verdana"/>
                <w:sz w:val="18"/>
                <w:szCs w:val="18"/>
              </w:rPr>
              <w:t xml:space="preserve"> present (</w:t>
            </w:r>
            <w:proofErr w:type="spellStart"/>
            <w:r w:rsidRPr="7ABC7D88" w:rsidR="7ABC7D88">
              <w:rPr>
                <w:rFonts w:ascii="Verdana" w:hAnsi="Verdana" w:eastAsia="Verdana" w:cs="Verdana"/>
                <w:sz w:val="18"/>
                <w:szCs w:val="18"/>
              </w:rPr>
              <w:t>case-control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design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but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apply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reference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standards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prospectively</w:t>
            </w:r>
            <w:proofErr w:type="spellEnd"/>
            <w:r w:rsidRPr="7ABC7D88" w:rsidR="7ABC7D88">
              <w:rPr>
                <w:rFonts w:ascii="Verdana" w:hAnsi="Verdana" w:eastAsia="Verdana" w:cs="Verdana"/>
                <w:sz w:val="18"/>
                <w:szCs w:val="18"/>
              </w:rPr>
              <w:t xml:space="preserve"> are </w:t>
            </w:r>
            <w:proofErr w:type="spellStart"/>
            <w:r w:rsidRPr="7ABC7D88" w:rsidR="7ABC7D88">
              <w:rPr>
                <w:rFonts w:ascii="Verdana" w:hAnsi="Verdana" w:eastAsia="Verdana" w:cs="Verdana"/>
                <w:sz w:val="18"/>
                <w:szCs w:val="18"/>
              </w:rPr>
              <w:t>required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Methodological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clarity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improved</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subsequent</w:t>
            </w:r>
            <w:proofErr w:type="spellEnd"/>
            <w:r w:rsidRPr="7ABC7D88" w:rsidR="7ABC7D88">
              <w:rPr>
                <w:rFonts w:ascii="Verdana" w:hAnsi="Verdana" w:eastAsia="Verdana" w:cs="Verdana"/>
                <w:sz w:val="18"/>
                <w:szCs w:val="18"/>
              </w:rPr>
              <w:t xml:space="preserve"> DTA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reporting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findings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recommended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guidelines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STARDdem</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Thresholds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lower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than</w:t>
            </w:r>
            <w:proofErr w:type="spellEnd"/>
            <w:r w:rsidRPr="7ABC7D88" w:rsidR="7ABC7D88">
              <w:rPr>
                <w:rFonts w:ascii="Verdana" w:hAnsi="Verdana" w:eastAsia="Verdana" w:cs="Verdana"/>
                <w:sz w:val="18"/>
                <w:szCs w:val="18"/>
              </w:rPr>
              <w:t xml:space="preserve"> 26 are </w:t>
            </w:r>
            <w:proofErr w:type="spellStart"/>
            <w:r w:rsidRPr="7ABC7D88" w:rsidR="7ABC7D88">
              <w:rPr>
                <w:rFonts w:ascii="Verdana" w:hAnsi="Verdana" w:eastAsia="Verdana" w:cs="Verdana"/>
                <w:sz w:val="18"/>
                <w:szCs w:val="18"/>
              </w:rPr>
              <w:t>likely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more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useful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optimal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MoCA</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but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requires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confirmation</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further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
        </w:tc>
        <w:tc>
          <w:tcPr>
            <w:tcW w:w="3096" w:type="dxa"/>
            <w:shd w:val="clear" w:color="auto" w:fill="auto"/>
            <w:tcMar/>
          </w:tcPr>
          <w:p w:rsidRPr="00185231" w:rsidR="00AC2F0F" w:rsidP="7ABC7D88" w:rsidRDefault="00AC2F0F" w14:paraId="7613DCC2" wp14:textId="4ED3EBC0">
            <w:pPr>
              <w:pStyle w:val="Normaallaad"/>
              <w:jc w:val="both"/>
              <w:rPr>
                <w:rFonts w:ascii="Verdana" w:hAnsi="Verdana" w:cs="SabonLTStd-Roman"/>
                <w:color w:val="000080"/>
                <w:sz w:val="18"/>
                <w:szCs w:val="18"/>
              </w:rPr>
            </w:pPr>
            <w:r w:rsidRPr="7ABC7D88" w:rsidR="7ABC7D88">
              <w:rPr>
                <w:rFonts w:ascii="Verdana" w:hAnsi="Verdana" w:eastAsia="Verdana" w:cs="Verdana"/>
                <w:b w:val="0"/>
                <w:bCs w:val="0"/>
                <w:sz w:val="18"/>
                <w:szCs w:val="18"/>
                <w:u w:val="none"/>
              </w:rPr>
              <w:t>6.</w:t>
            </w:r>
            <w:r w:rsidRPr="7ABC7D88" w:rsidR="7ABC7D88">
              <w:rPr>
                <w:rFonts w:ascii="Verdana" w:hAnsi="Verdana" w:eastAsia="Verdana" w:cs="Verdana"/>
                <w:b w:val="0"/>
                <w:bCs w:val="0"/>
                <w:sz w:val="18"/>
                <w:szCs w:val="18"/>
                <w:u w:val="none"/>
              </w:rPr>
              <w:t>Davis</w:t>
            </w:r>
            <w:r w:rsidRPr="7ABC7D88" w:rsidR="7ABC7D88">
              <w:rPr>
                <w:rFonts w:ascii="Verdana" w:hAnsi="Verdana" w:eastAsia="Verdana" w:cs="Verdana"/>
                <w:b w:val="0"/>
                <w:bCs w:val="0"/>
                <w:sz w:val="18"/>
                <w:szCs w:val="18"/>
                <w:u w:val="none"/>
              </w:rPr>
              <w:t xml:space="preserve"> DHJ, </w:t>
            </w:r>
            <w:proofErr w:type="spellStart"/>
            <w:r w:rsidRPr="7ABC7D88" w:rsidR="7ABC7D88">
              <w:rPr>
                <w:rFonts w:ascii="Verdana" w:hAnsi="Verdana" w:eastAsia="Verdana" w:cs="Verdana"/>
                <w:b w:val="0"/>
                <w:bCs w:val="0"/>
                <w:sz w:val="18"/>
                <w:szCs w:val="18"/>
                <w:u w:val="none"/>
              </w:rPr>
              <w:t>Creavin</w:t>
            </w:r>
            <w:proofErr w:type="spellEnd"/>
            <w:r w:rsidRPr="7ABC7D88" w:rsidR="7ABC7D88">
              <w:rPr>
                <w:rFonts w:ascii="Verdana" w:hAnsi="Verdana" w:eastAsia="Verdana" w:cs="Verdana"/>
                <w:b w:val="0"/>
                <w:bCs w:val="0"/>
                <w:sz w:val="18"/>
                <w:szCs w:val="18"/>
                <w:u w:val="none"/>
              </w:rPr>
              <w:t xml:space="preserve"> ST, </w:t>
            </w:r>
            <w:proofErr w:type="spellStart"/>
            <w:r w:rsidRPr="7ABC7D88" w:rsidR="7ABC7D88">
              <w:rPr>
                <w:rFonts w:ascii="Verdana" w:hAnsi="Verdana" w:eastAsia="Verdana" w:cs="Verdana"/>
                <w:b w:val="0"/>
                <w:bCs w:val="0"/>
                <w:sz w:val="18"/>
                <w:szCs w:val="18"/>
                <w:u w:val="none"/>
              </w:rPr>
              <w:t>Yip</w:t>
            </w:r>
            <w:proofErr w:type="spellEnd"/>
            <w:r w:rsidRPr="7ABC7D88" w:rsidR="7ABC7D88">
              <w:rPr>
                <w:rFonts w:ascii="Verdana" w:hAnsi="Verdana" w:eastAsia="Verdana" w:cs="Verdana"/>
                <w:b w:val="0"/>
                <w:bCs w:val="0"/>
                <w:sz w:val="18"/>
                <w:szCs w:val="18"/>
                <w:u w:val="none"/>
              </w:rPr>
              <w:t xml:space="preserve"> JLY, </w:t>
            </w:r>
            <w:proofErr w:type="spellStart"/>
            <w:r w:rsidRPr="7ABC7D88" w:rsidR="7ABC7D88">
              <w:rPr>
                <w:rFonts w:ascii="Verdana" w:hAnsi="Verdana" w:eastAsia="Verdana" w:cs="Verdana"/>
                <w:b w:val="0"/>
                <w:bCs w:val="0"/>
                <w:sz w:val="18"/>
                <w:szCs w:val="18"/>
                <w:u w:val="none"/>
              </w:rPr>
              <w:t>Noel-Storr</w:t>
            </w:r>
            <w:proofErr w:type="spellEnd"/>
            <w:r w:rsidRPr="7ABC7D88" w:rsidR="7ABC7D88">
              <w:rPr>
                <w:rFonts w:ascii="Verdana" w:hAnsi="Verdana" w:eastAsia="Verdana" w:cs="Verdana"/>
                <w:b w:val="0"/>
                <w:bCs w:val="0"/>
                <w:sz w:val="18"/>
                <w:szCs w:val="18"/>
                <w:u w:val="none"/>
              </w:rPr>
              <w:t xml:space="preserve"> AH, </w:t>
            </w:r>
            <w:proofErr w:type="spellStart"/>
            <w:r w:rsidRPr="7ABC7D88" w:rsidR="7ABC7D88">
              <w:rPr>
                <w:rFonts w:ascii="Verdana" w:hAnsi="Verdana" w:eastAsia="Verdana" w:cs="Verdana"/>
                <w:b w:val="0"/>
                <w:bCs w:val="0"/>
                <w:sz w:val="18"/>
                <w:szCs w:val="18"/>
                <w:u w:val="none"/>
              </w:rPr>
              <w:t>Brayne</w:t>
            </w:r>
            <w:proofErr w:type="spellEnd"/>
            <w:r w:rsidRPr="7ABC7D88" w:rsidR="7ABC7D88">
              <w:rPr>
                <w:rFonts w:ascii="Verdana" w:hAnsi="Verdana" w:eastAsia="Verdana" w:cs="Verdana"/>
                <w:b w:val="0"/>
                <w:bCs w:val="0"/>
                <w:sz w:val="18"/>
                <w:szCs w:val="18"/>
                <w:u w:val="none"/>
              </w:rPr>
              <w:t xml:space="preserve"> C, </w:t>
            </w:r>
            <w:proofErr w:type="spellStart"/>
            <w:r w:rsidRPr="7ABC7D88" w:rsidR="7ABC7D88">
              <w:rPr>
                <w:rFonts w:ascii="Verdana" w:hAnsi="Verdana" w:eastAsia="Verdana" w:cs="Verdana"/>
                <w:b w:val="0"/>
                <w:bCs w:val="0"/>
                <w:sz w:val="18"/>
                <w:szCs w:val="18"/>
                <w:u w:val="none"/>
              </w:rPr>
              <w:t>Cullum</w:t>
            </w:r>
            <w:proofErr w:type="spellEnd"/>
            <w:r w:rsidRPr="7ABC7D88" w:rsidR="7ABC7D88">
              <w:rPr>
                <w:rFonts w:ascii="Verdana" w:hAnsi="Verdana" w:eastAsia="Verdana" w:cs="Verdana"/>
                <w:b w:val="0"/>
                <w:bCs w:val="0"/>
                <w:sz w:val="18"/>
                <w:szCs w:val="18"/>
                <w:u w:val="none"/>
              </w:rPr>
              <w:t xml:space="preserve"> S. Montreal </w:t>
            </w:r>
            <w:proofErr w:type="spellStart"/>
            <w:r w:rsidRPr="7ABC7D88" w:rsidR="7ABC7D88">
              <w:rPr>
                <w:rFonts w:ascii="Verdana" w:hAnsi="Verdana" w:eastAsia="Verdana" w:cs="Verdana"/>
                <w:b w:val="0"/>
                <w:bCs w:val="0"/>
                <w:sz w:val="18"/>
                <w:szCs w:val="18"/>
                <w:u w:val="none"/>
              </w:rPr>
              <w:t>Cognitive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Assessment</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diagnosis</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Alzheimer’s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disease</w:t>
            </w:r>
            <w:proofErr w:type="spellEnd"/>
            <w:r w:rsidRPr="7ABC7D88" w:rsidR="7ABC7D88">
              <w:rPr>
                <w:rFonts w:ascii="Verdana" w:hAnsi="Verdana" w:eastAsia="Verdana" w:cs="Verdana"/>
                <w:b w:val="0"/>
                <w:bCs w:val="0"/>
                <w:sz w:val="18"/>
                <w:szCs w:val="18"/>
                <w:u w:val="none"/>
              </w:rPr>
              <w:t xml:space="preserve"> and </w:t>
            </w:r>
            <w:proofErr w:type="spellStart"/>
            <w:r w:rsidRPr="7ABC7D88" w:rsidR="7ABC7D88">
              <w:rPr>
                <w:rFonts w:ascii="Verdana" w:hAnsi="Verdana" w:eastAsia="Verdana" w:cs="Verdana"/>
                <w:b w:val="0"/>
                <w:bCs w:val="0"/>
                <w:sz w:val="18"/>
                <w:szCs w:val="18"/>
                <w:u w:val="none"/>
              </w:rPr>
              <w:t>other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dementias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Cochrane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Database</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Systematic</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Reviews</w:t>
            </w:r>
            <w:proofErr w:type="spellEnd"/>
            <w:r w:rsidRPr="7ABC7D88" w:rsidR="7ABC7D88">
              <w:rPr>
                <w:rFonts w:ascii="Verdana" w:hAnsi="Verdana" w:eastAsia="Verdana" w:cs="Verdana"/>
                <w:b w:val="0"/>
                <w:bCs w:val="0"/>
                <w:sz w:val="18"/>
                <w:szCs w:val="18"/>
                <w:u w:val="none"/>
              </w:rPr>
              <w:t xml:space="preserve"> 2015, </w:t>
            </w:r>
            <w:proofErr w:type="spellStart"/>
            <w:r w:rsidRPr="7ABC7D88" w:rsidR="7ABC7D88">
              <w:rPr>
                <w:rFonts w:ascii="Verdana" w:hAnsi="Verdana" w:eastAsia="Verdana" w:cs="Verdana"/>
                <w:b w:val="0"/>
                <w:bCs w:val="0"/>
                <w:sz w:val="18"/>
                <w:szCs w:val="18"/>
                <w:u w:val="none"/>
              </w:rPr>
              <w:t>Issue</w:t>
            </w:r>
            <w:proofErr w:type="spellEnd"/>
            <w:r w:rsidRPr="7ABC7D88" w:rsidR="7ABC7D88">
              <w:rPr>
                <w:rFonts w:ascii="Verdana" w:hAnsi="Verdana" w:eastAsia="Verdana" w:cs="Verdana"/>
                <w:b w:val="0"/>
                <w:bCs w:val="0"/>
                <w:sz w:val="18"/>
                <w:szCs w:val="18"/>
                <w:u w:val="none"/>
              </w:rPr>
              <w:t xml:space="preserve"> 10</w:t>
            </w:r>
          </w:p>
        </w:tc>
      </w:tr>
      <w:tr w:rsidR="7ABC7D88" w:rsidTr="7ABC7D88" w14:paraId="463A83B1">
        <w:tc>
          <w:tcPr>
            <w:tcW w:w="6192" w:type="dxa"/>
            <w:shd w:val="clear" w:color="auto" w:fill="auto"/>
            <w:tcMar/>
          </w:tcPr>
          <w:p w:rsidR="7ABC7D88" w:rsidRDefault="7ABC7D88" w14:paraId="0BB4EB08" w14:textId="21524D05">
            <w:r w:rsidRPr="7ABC7D88" w:rsidR="7ABC7D88">
              <w:rPr>
                <w:rFonts w:ascii="Verdana" w:hAnsi="Verdana" w:eastAsia="Verdana" w:cs="Verdana"/>
                <w:sz w:val="18"/>
                <w:szCs w:val="18"/>
              </w:rPr>
              <w:t>7.We</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searched</w:t>
            </w:r>
            <w:proofErr w:type="spellEnd"/>
            <w:r w:rsidRPr="7ABC7D88" w:rsidR="7ABC7D88">
              <w:rPr>
                <w:rFonts w:ascii="Verdana" w:hAnsi="Verdana" w:eastAsia="Verdana" w:cs="Verdana"/>
                <w:sz w:val="18"/>
                <w:szCs w:val="18"/>
              </w:rPr>
              <w:t xml:space="preserve"> MEDLINE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EMBASE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PsycINFO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Ovid</w:t>
            </w:r>
            <w:proofErr w:type="spellEnd"/>
            <w:r w:rsidRPr="7ABC7D88" w:rsidR="7ABC7D88">
              <w:rPr>
                <w:rFonts w:ascii="Verdana" w:hAnsi="Verdana" w:eastAsia="Verdana" w:cs="Verdana"/>
                <w:sz w:val="18"/>
                <w:szCs w:val="18"/>
              </w:rPr>
              <w:t xml:space="preserve"> SP),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Citation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Index</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BIOSIS </w:t>
            </w:r>
            <w:proofErr w:type="spellStart"/>
            <w:r w:rsidRPr="7ABC7D88" w:rsidR="7ABC7D88">
              <w:rPr>
                <w:rFonts w:ascii="Verdana" w:hAnsi="Verdana" w:eastAsia="Verdana" w:cs="Verdana"/>
                <w:sz w:val="18"/>
                <w:szCs w:val="18"/>
              </w:rPr>
              <w:t>previews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LILACS (BIREME), and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Cochrane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Group’s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developing</w:t>
            </w:r>
            <w:proofErr w:type="spellEnd"/>
            <w:r w:rsidRPr="7ABC7D88" w:rsidR="7ABC7D88">
              <w:rPr>
                <w:rFonts w:ascii="Verdana" w:hAnsi="Verdana" w:eastAsia="Verdana" w:cs="Verdana"/>
                <w:sz w:val="18"/>
                <w:szCs w:val="18"/>
              </w:rPr>
              <w:t xml:space="preserve"> register of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test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March</w:t>
            </w:r>
            <w:proofErr w:type="spellEnd"/>
            <w:r w:rsidRPr="7ABC7D88" w:rsidR="7ABC7D88">
              <w:rPr>
                <w:rFonts w:ascii="Verdana" w:hAnsi="Verdana" w:eastAsia="Verdana" w:cs="Verdana"/>
                <w:sz w:val="18"/>
                <w:szCs w:val="18"/>
              </w:rPr>
              <w:t xml:space="preserve"> 2013.</w:t>
            </w:r>
          </w:p>
          <w:p w:rsidR="7ABC7D88" w:rsidRDefault="7ABC7D88" w14:paraId="0A09D648" w14:textId="12EAF8D4">
            <w:proofErr w:type="spellStart"/>
            <w:r w:rsidRPr="7ABC7D88" w:rsidR="7ABC7D88">
              <w:rPr>
                <w:rFonts w:ascii="Verdana" w:hAnsi="Verdana" w:eastAsia="Verdana" w:cs="Verdana"/>
                <w:sz w:val="18"/>
                <w:szCs w:val="18"/>
              </w:rPr>
              <w:t>Three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criteria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total</w:t>
            </w:r>
            <w:proofErr w:type="spellEnd"/>
            <w:r w:rsidRPr="7ABC7D88" w:rsidR="7ABC7D88">
              <w:rPr>
                <w:rFonts w:ascii="Verdana" w:hAnsi="Verdana" w:eastAsia="Verdana" w:cs="Verdana"/>
                <w:sz w:val="18"/>
                <w:szCs w:val="18"/>
              </w:rPr>
              <w:t xml:space="preserve"> of 1620 </w:t>
            </w:r>
            <w:proofErr w:type="spellStart"/>
            <w:r w:rsidRPr="7ABC7D88" w:rsidR="7ABC7D88">
              <w:rPr>
                <w:rFonts w:ascii="Verdana" w:hAnsi="Verdana" w:eastAsia="Verdana" w:cs="Verdana"/>
                <w:sz w:val="18"/>
                <w:szCs w:val="18"/>
              </w:rPr>
              <w:t>participants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sensitivities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individual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reported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w:t>
            </w:r>
            <w:proofErr w:type="spellEnd"/>
            <w:r w:rsidRPr="7ABC7D88" w:rsidR="7ABC7D88">
              <w:rPr>
                <w:rFonts w:ascii="Verdana" w:hAnsi="Verdana" w:eastAsia="Verdana" w:cs="Verdana"/>
                <w:sz w:val="18"/>
                <w:szCs w:val="18"/>
              </w:rPr>
              <w:t xml:space="preserve"> 0.99, 0.76 and 0.99.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specificity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varied</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individual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was</w:t>
            </w:r>
            <w:proofErr w:type="spellEnd"/>
            <w:r w:rsidRPr="7ABC7D88" w:rsidR="7ABC7D88">
              <w:rPr>
                <w:rFonts w:ascii="Verdana" w:hAnsi="Verdana" w:eastAsia="Verdana" w:cs="Verdana"/>
                <w:sz w:val="18"/>
                <w:szCs w:val="18"/>
              </w:rPr>
              <w:t xml:space="preserve"> 0.93, 0.89 and 0.83. </w:t>
            </w:r>
            <w:proofErr w:type="spellStart"/>
            <w:r w:rsidRPr="7ABC7D88" w:rsidR="7ABC7D88">
              <w:rPr>
                <w:rFonts w:ascii="Verdana" w:hAnsi="Verdana" w:eastAsia="Verdana" w:cs="Verdana"/>
                <w:sz w:val="18"/>
                <w:szCs w:val="18"/>
              </w:rPr>
              <w:t>There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clinical</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methodological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heterogeneity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between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which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precluded</w:t>
            </w:r>
            <w:proofErr w:type="spellEnd"/>
            <w:r w:rsidRPr="7ABC7D88" w:rsidR="7ABC7D88">
              <w:rPr>
                <w:rFonts w:ascii="Verdana" w:hAnsi="Verdana" w:eastAsia="Verdana" w:cs="Verdana"/>
                <w:sz w:val="18"/>
                <w:szCs w:val="18"/>
              </w:rPr>
              <w:t xml:space="preserve"> a pooled </w:t>
            </w:r>
            <w:proofErr w:type="spellStart"/>
            <w:r w:rsidRPr="7ABC7D88" w:rsidR="7ABC7D88">
              <w:rPr>
                <w:rFonts w:ascii="Verdana" w:hAnsi="Verdana" w:eastAsia="Verdana" w:cs="Verdana"/>
                <w:sz w:val="18"/>
                <w:szCs w:val="18"/>
              </w:rPr>
              <w:t>meta-analysis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results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Methodological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limitations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present in all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introducing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potential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sources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bias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specifically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respect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participant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selection</w:t>
            </w:r>
            <w:proofErr w:type="spellEnd"/>
            <w:r w:rsidRPr="7ABC7D88" w:rsidR="7ABC7D88">
              <w:rPr>
                <w:rFonts w:ascii="Verdana" w:hAnsi="Verdana" w:eastAsia="Verdana" w:cs="Verdana"/>
                <w:sz w:val="18"/>
                <w:szCs w:val="18"/>
              </w:rPr>
              <w:t xml:space="preserve">. </w:t>
            </w:r>
          </w:p>
          <w:p w:rsidR="7ABC7D88" w:rsidRDefault="7ABC7D88" w14:paraId="53ED2D82" w14:textId="5DABF31F">
            <w:proofErr w:type="spellStart"/>
            <w:r w:rsidRPr="7ABC7D88" w:rsidR="7ABC7D88">
              <w:rPr>
                <w:rFonts w:ascii="Verdana" w:hAnsi="Verdana" w:eastAsia="Verdana" w:cs="Verdana"/>
                <w:sz w:val="18"/>
                <w:szCs w:val="18"/>
                <w:u w:val="single"/>
              </w:rPr>
              <w:t>Conclusion</w:t>
            </w:r>
            <w:proofErr w:type="spellEnd"/>
            <w:r w:rsidRPr="7ABC7D88" w:rsidR="7ABC7D88">
              <w:rPr>
                <w:rFonts w:ascii="Verdana" w:hAnsi="Verdana" w:eastAsia="Verdana" w:cs="Verdana"/>
                <w:sz w:val="18"/>
                <w:szCs w:val="18"/>
                <w:u w:val="single"/>
              </w:rPr>
              <w:t>:</w:t>
            </w:r>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There</w:t>
            </w:r>
            <w:proofErr w:type="spellEnd"/>
            <w:r w:rsidRPr="7ABC7D88" w:rsidR="7ABC7D88">
              <w:rPr>
                <w:rFonts w:ascii="Verdana" w:hAnsi="Verdana" w:eastAsia="Verdana" w:cs="Verdana"/>
                <w:sz w:val="18"/>
                <w:szCs w:val="18"/>
              </w:rPr>
              <w:t xml:space="preserve"> are </w:t>
            </w:r>
            <w:proofErr w:type="spellStart"/>
            <w:r w:rsidRPr="7ABC7D88" w:rsidR="7ABC7D88">
              <w:rPr>
                <w:rFonts w:ascii="Verdana" w:hAnsi="Verdana" w:eastAsia="Verdana" w:cs="Verdana"/>
                <w:sz w:val="18"/>
                <w:szCs w:val="18"/>
              </w:rPr>
              <w:t>currently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few</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diagnostic</w:t>
            </w:r>
            <w:proofErr w:type="spellEnd"/>
            <w:r w:rsidRPr="7ABC7D88" w:rsidR="7ABC7D88">
              <w:rPr>
                <w:rFonts w:ascii="Verdana" w:hAnsi="Verdana" w:eastAsia="Verdana" w:cs="Verdana"/>
                <w:sz w:val="18"/>
                <w:szCs w:val="18"/>
              </w:rPr>
              <w:t xml:space="preserve"> test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community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settings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limited</w:t>
            </w:r>
            <w:proofErr w:type="spellEnd"/>
            <w:r w:rsidRPr="7ABC7D88" w:rsidR="7ABC7D88">
              <w:rPr>
                <w:rFonts w:ascii="Verdana" w:hAnsi="Verdana" w:eastAsia="Verdana" w:cs="Verdana"/>
                <w:sz w:val="18"/>
                <w:szCs w:val="18"/>
              </w:rPr>
              <w:t xml:space="preserve"> number of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methodological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limitations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are present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current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make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difficult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provide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recommendations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against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test in </w:t>
            </w:r>
            <w:proofErr w:type="spellStart"/>
            <w:r w:rsidRPr="7ABC7D88" w:rsidR="7ABC7D88">
              <w:rPr>
                <w:rFonts w:ascii="Verdana" w:hAnsi="Verdana" w:eastAsia="Verdana" w:cs="Verdana"/>
                <w:sz w:val="18"/>
                <w:szCs w:val="18"/>
              </w:rPr>
              <w:t>community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settings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Additional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well-designed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comparing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other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brief</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are </w:t>
            </w:r>
            <w:proofErr w:type="spellStart"/>
            <w:r w:rsidRPr="7ABC7D88" w:rsidR="7ABC7D88">
              <w:rPr>
                <w:rFonts w:ascii="Verdana" w:hAnsi="Verdana" w:eastAsia="Verdana" w:cs="Verdana"/>
                <w:sz w:val="18"/>
                <w:szCs w:val="18"/>
              </w:rPr>
              <w:t>required</w:t>
            </w:r>
            <w:proofErr w:type="spellEnd"/>
            <w:r w:rsidRPr="7ABC7D88" w:rsidR="7ABC7D88">
              <w:rPr>
                <w:rFonts w:ascii="Verdana" w:hAnsi="Verdana" w:eastAsia="Verdana" w:cs="Verdana"/>
                <w:sz w:val="18"/>
                <w:szCs w:val="18"/>
              </w:rPr>
              <w:t xml:space="preserve"> in order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determine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utility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Mini-</w:t>
            </w:r>
            <w:proofErr w:type="spellStart"/>
            <w:r w:rsidRPr="7ABC7D88" w:rsidR="7ABC7D88">
              <w:rPr>
                <w:rFonts w:ascii="Verdana" w:hAnsi="Verdana" w:eastAsia="Verdana" w:cs="Verdana"/>
                <w:sz w:val="18"/>
                <w:szCs w:val="18"/>
              </w:rPr>
              <w:t>Cog</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community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based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settings</w:t>
            </w:r>
            <w:proofErr w:type="spellEnd"/>
            <w:r w:rsidRPr="7ABC7D88" w:rsidR="7ABC7D88">
              <w:rPr>
                <w:rFonts w:ascii="Verdana" w:hAnsi="Verdana" w:eastAsia="Verdana" w:cs="Verdana"/>
                <w:sz w:val="18"/>
                <w:szCs w:val="18"/>
              </w:rPr>
              <w:t xml:space="preserve">. </w:t>
            </w:r>
          </w:p>
        </w:tc>
        <w:tc>
          <w:tcPr>
            <w:tcW w:w="3096" w:type="dxa"/>
            <w:shd w:val="clear" w:color="auto" w:fill="auto"/>
            <w:tcMar/>
          </w:tcPr>
          <w:p w:rsidR="7ABC7D88" w:rsidP="7ABC7D88" w:rsidRDefault="7ABC7D88" w14:paraId="727E0C37" w14:textId="3ED9C9E4">
            <w:pPr>
              <w:pStyle w:val="Normaallaad"/>
              <w:jc w:val="both"/>
            </w:pPr>
            <w:r w:rsidRPr="7ABC7D88" w:rsidR="7ABC7D88">
              <w:rPr>
                <w:rFonts w:ascii="Verdana" w:hAnsi="Verdana" w:eastAsia="Verdana" w:cs="Verdana"/>
                <w:b w:val="0"/>
                <w:bCs w:val="0"/>
                <w:sz w:val="18"/>
                <w:szCs w:val="18"/>
                <w:u w:val="none"/>
              </w:rPr>
              <w:t>7.</w:t>
            </w:r>
            <w:r w:rsidRPr="7ABC7D88" w:rsidR="7ABC7D88">
              <w:rPr>
                <w:rFonts w:ascii="Verdana" w:hAnsi="Verdana" w:eastAsia="Verdana" w:cs="Verdana"/>
                <w:b w:val="0"/>
                <w:bCs w:val="0"/>
                <w:sz w:val="18"/>
                <w:szCs w:val="18"/>
                <w:u w:val="none"/>
              </w:rPr>
              <w:t xml:space="preserve">Fage BA, </w:t>
            </w:r>
            <w:proofErr w:type="spellStart"/>
            <w:r w:rsidRPr="7ABC7D88" w:rsidR="7ABC7D88">
              <w:rPr>
                <w:rFonts w:ascii="Verdana" w:hAnsi="Verdana" w:eastAsia="Verdana" w:cs="Verdana"/>
                <w:b w:val="0"/>
                <w:bCs w:val="0"/>
                <w:sz w:val="18"/>
                <w:szCs w:val="18"/>
                <w:u w:val="none"/>
              </w:rPr>
              <w:t>Chan</w:t>
            </w:r>
            <w:proofErr w:type="spellEnd"/>
            <w:r w:rsidRPr="7ABC7D88" w:rsidR="7ABC7D88">
              <w:rPr>
                <w:rFonts w:ascii="Verdana" w:hAnsi="Verdana" w:eastAsia="Verdana" w:cs="Verdana"/>
                <w:b w:val="0"/>
                <w:bCs w:val="0"/>
                <w:sz w:val="18"/>
                <w:szCs w:val="18"/>
                <w:u w:val="none"/>
              </w:rPr>
              <w:t xml:space="preserve"> CCH, Gill SS, </w:t>
            </w:r>
            <w:proofErr w:type="spellStart"/>
            <w:r w:rsidRPr="7ABC7D88" w:rsidR="7ABC7D88">
              <w:rPr>
                <w:rFonts w:ascii="Verdana" w:hAnsi="Verdana" w:eastAsia="Verdana" w:cs="Verdana"/>
                <w:b w:val="0"/>
                <w:bCs w:val="0"/>
                <w:sz w:val="18"/>
                <w:szCs w:val="18"/>
                <w:u w:val="none"/>
              </w:rPr>
              <w:t>Noel-Storr</w:t>
            </w:r>
            <w:proofErr w:type="spellEnd"/>
            <w:r w:rsidRPr="7ABC7D88" w:rsidR="7ABC7D88">
              <w:rPr>
                <w:rFonts w:ascii="Verdana" w:hAnsi="Verdana" w:eastAsia="Verdana" w:cs="Verdana"/>
                <w:b w:val="0"/>
                <w:bCs w:val="0"/>
                <w:sz w:val="18"/>
                <w:szCs w:val="18"/>
                <w:u w:val="none"/>
              </w:rPr>
              <w:t xml:space="preserve"> AH, </w:t>
            </w:r>
            <w:proofErr w:type="spellStart"/>
            <w:r w:rsidRPr="7ABC7D88" w:rsidR="7ABC7D88">
              <w:rPr>
                <w:rFonts w:ascii="Verdana" w:hAnsi="Verdana" w:eastAsia="Verdana" w:cs="Verdana"/>
                <w:b w:val="0"/>
                <w:bCs w:val="0"/>
                <w:sz w:val="18"/>
                <w:szCs w:val="18"/>
                <w:u w:val="none"/>
              </w:rPr>
              <w:t>Herrmann</w:t>
            </w:r>
            <w:proofErr w:type="spellEnd"/>
            <w:r w:rsidRPr="7ABC7D88" w:rsidR="7ABC7D88">
              <w:rPr>
                <w:rFonts w:ascii="Verdana" w:hAnsi="Verdana" w:eastAsia="Verdana" w:cs="Verdana"/>
                <w:b w:val="0"/>
                <w:bCs w:val="0"/>
                <w:sz w:val="18"/>
                <w:szCs w:val="18"/>
                <w:u w:val="none"/>
              </w:rPr>
              <w:t xml:space="preserve"> N, </w:t>
            </w:r>
            <w:proofErr w:type="spellStart"/>
            <w:r w:rsidRPr="7ABC7D88" w:rsidR="7ABC7D88">
              <w:rPr>
                <w:rFonts w:ascii="Verdana" w:hAnsi="Verdana" w:eastAsia="Verdana" w:cs="Verdana"/>
                <w:b w:val="0"/>
                <w:bCs w:val="0"/>
                <w:sz w:val="18"/>
                <w:szCs w:val="18"/>
                <w:u w:val="none"/>
              </w:rPr>
              <w:t>Smailagic</w:t>
            </w:r>
            <w:proofErr w:type="spellEnd"/>
            <w:r w:rsidRPr="7ABC7D88" w:rsidR="7ABC7D88">
              <w:rPr>
                <w:rFonts w:ascii="Verdana" w:hAnsi="Verdana" w:eastAsia="Verdana" w:cs="Verdana"/>
                <w:b w:val="0"/>
                <w:bCs w:val="0"/>
                <w:sz w:val="18"/>
                <w:szCs w:val="18"/>
                <w:u w:val="none"/>
              </w:rPr>
              <w:t xml:space="preserve"> N, </w:t>
            </w:r>
            <w:proofErr w:type="spellStart"/>
            <w:r w:rsidRPr="7ABC7D88" w:rsidR="7ABC7D88">
              <w:rPr>
                <w:rFonts w:ascii="Verdana" w:hAnsi="Verdana" w:eastAsia="Verdana" w:cs="Verdana"/>
                <w:b w:val="0"/>
                <w:bCs w:val="0"/>
                <w:sz w:val="18"/>
                <w:szCs w:val="18"/>
                <w:u w:val="none"/>
              </w:rPr>
              <w:t>Nikolaou</w:t>
            </w:r>
            <w:proofErr w:type="spellEnd"/>
            <w:r w:rsidRPr="7ABC7D88" w:rsidR="7ABC7D88">
              <w:rPr>
                <w:rFonts w:ascii="Verdana" w:hAnsi="Verdana" w:eastAsia="Verdana" w:cs="Verdana"/>
                <w:b w:val="0"/>
                <w:bCs w:val="0"/>
                <w:sz w:val="18"/>
                <w:szCs w:val="18"/>
                <w:u w:val="none"/>
              </w:rPr>
              <w:t xml:space="preserve"> V, </w:t>
            </w:r>
            <w:proofErr w:type="spellStart"/>
            <w:r w:rsidRPr="7ABC7D88" w:rsidR="7ABC7D88">
              <w:rPr>
                <w:rFonts w:ascii="Verdana" w:hAnsi="Verdana" w:eastAsia="Verdana" w:cs="Verdana"/>
                <w:b w:val="0"/>
                <w:bCs w:val="0"/>
                <w:sz w:val="18"/>
                <w:szCs w:val="18"/>
                <w:u w:val="none"/>
              </w:rPr>
              <w:t>Seitz</w:t>
            </w:r>
            <w:proofErr w:type="spellEnd"/>
            <w:r w:rsidRPr="7ABC7D88" w:rsidR="7ABC7D88">
              <w:rPr>
                <w:rFonts w:ascii="Verdana" w:hAnsi="Verdana" w:eastAsia="Verdana" w:cs="Verdana"/>
                <w:b w:val="0"/>
                <w:bCs w:val="0"/>
                <w:sz w:val="18"/>
                <w:szCs w:val="18"/>
                <w:u w:val="none"/>
              </w:rPr>
              <w:t xml:space="preserve"> DP. Mini-</w:t>
            </w:r>
            <w:proofErr w:type="spellStart"/>
            <w:r w:rsidRPr="7ABC7D88" w:rsidR="7ABC7D88">
              <w:rPr>
                <w:rFonts w:ascii="Verdana" w:hAnsi="Verdana" w:eastAsia="Verdana" w:cs="Verdana"/>
                <w:b w:val="0"/>
                <w:bCs w:val="0"/>
                <w:sz w:val="18"/>
                <w:szCs w:val="18"/>
                <w:u w:val="none"/>
              </w:rPr>
              <w:t>Cog</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diagnosis</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Alzheimer’s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disease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dementia</w:t>
            </w:r>
            <w:proofErr w:type="spellEnd"/>
            <w:r w:rsidRPr="7ABC7D88" w:rsidR="7ABC7D88">
              <w:rPr>
                <w:rFonts w:ascii="Verdana" w:hAnsi="Verdana" w:eastAsia="Verdana" w:cs="Verdana"/>
                <w:b w:val="0"/>
                <w:bCs w:val="0"/>
                <w:sz w:val="18"/>
                <w:szCs w:val="18"/>
                <w:u w:val="none"/>
              </w:rPr>
              <w:t xml:space="preserve"> and </w:t>
            </w:r>
            <w:proofErr w:type="spellStart"/>
            <w:r w:rsidRPr="7ABC7D88" w:rsidR="7ABC7D88">
              <w:rPr>
                <w:rFonts w:ascii="Verdana" w:hAnsi="Verdana" w:eastAsia="Verdana" w:cs="Verdana"/>
                <w:b w:val="0"/>
                <w:bCs w:val="0"/>
                <w:sz w:val="18"/>
                <w:szCs w:val="18"/>
                <w:u w:val="none"/>
              </w:rPr>
              <w:t>other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dementias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within</w:t>
            </w:r>
            <w:proofErr w:type="spellEnd"/>
            <w:r w:rsidRPr="7ABC7D88" w:rsidR="7ABC7D88">
              <w:rPr>
                <w:rFonts w:ascii="Verdana" w:hAnsi="Verdana" w:eastAsia="Verdana" w:cs="Verdana"/>
                <w:b w:val="0"/>
                <w:bCs w:val="0"/>
                <w:sz w:val="18"/>
                <w:szCs w:val="18"/>
                <w:u w:val="none"/>
              </w:rPr>
              <w:t xml:space="preserve"> a </w:t>
            </w:r>
            <w:proofErr w:type="spellStart"/>
            <w:r w:rsidRPr="7ABC7D88" w:rsidR="7ABC7D88">
              <w:rPr>
                <w:rFonts w:ascii="Verdana" w:hAnsi="Verdana" w:eastAsia="Verdana" w:cs="Verdana"/>
                <w:b w:val="0"/>
                <w:bCs w:val="0"/>
                <w:sz w:val="18"/>
                <w:szCs w:val="18"/>
                <w:u w:val="none"/>
              </w:rPr>
              <w:t>community</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setting</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Cochrane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Database</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Systematic</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Reviews</w:t>
            </w:r>
            <w:proofErr w:type="spellEnd"/>
            <w:r w:rsidRPr="7ABC7D88" w:rsidR="7ABC7D88">
              <w:rPr>
                <w:rFonts w:ascii="Verdana" w:hAnsi="Verdana" w:eastAsia="Verdana" w:cs="Verdana"/>
                <w:b w:val="0"/>
                <w:bCs w:val="0"/>
                <w:sz w:val="18"/>
                <w:szCs w:val="18"/>
                <w:u w:val="none"/>
              </w:rPr>
              <w:t xml:space="preserve"> 2015, </w:t>
            </w:r>
            <w:proofErr w:type="spellStart"/>
            <w:r w:rsidRPr="7ABC7D88" w:rsidR="7ABC7D88">
              <w:rPr>
                <w:rFonts w:ascii="Verdana" w:hAnsi="Verdana" w:eastAsia="Verdana" w:cs="Verdana"/>
                <w:b w:val="0"/>
                <w:bCs w:val="0"/>
                <w:sz w:val="18"/>
                <w:szCs w:val="18"/>
                <w:u w:val="none"/>
              </w:rPr>
              <w:t>Issue</w:t>
            </w:r>
            <w:proofErr w:type="spellEnd"/>
            <w:r w:rsidRPr="7ABC7D88" w:rsidR="7ABC7D88">
              <w:rPr>
                <w:rFonts w:ascii="Verdana" w:hAnsi="Verdana" w:eastAsia="Verdana" w:cs="Verdana"/>
                <w:b w:val="0"/>
                <w:bCs w:val="0"/>
                <w:sz w:val="18"/>
                <w:szCs w:val="18"/>
                <w:u w:val="none"/>
              </w:rPr>
              <w:t xml:space="preserve"> 2.</w:t>
            </w:r>
          </w:p>
        </w:tc>
      </w:tr>
      <w:tr w:rsidR="7ABC7D88" w:rsidTr="7ABC7D88" w14:paraId="2E1DA769">
        <w:tc>
          <w:tcPr>
            <w:tcW w:w="6192" w:type="dxa"/>
            <w:shd w:val="clear" w:color="auto" w:fill="auto"/>
            <w:tcMar/>
          </w:tcPr>
          <w:p w:rsidR="7ABC7D88" w:rsidP="7ABC7D88" w:rsidRDefault="7ABC7D88" w14:paraId="1347D67A" w14:textId="343EC33C">
            <w:pPr>
              <w:pStyle w:val="Normaallaad"/>
            </w:pPr>
            <w:r w:rsidRPr="7ABC7D88" w:rsidR="7ABC7D88">
              <w:rPr>
                <w:rFonts w:ascii="Verdana" w:hAnsi="Verdana" w:eastAsia="Verdana" w:cs="Verdana"/>
                <w:sz w:val="18"/>
                <w:szCs w:val="18"/>
              </w:rPr>
              <w:t>8.</w:t>
            </w:r>
            <w:r w:rsidRPr="7ABC7D88" w:rsidR="7ABC7D88">
              <w:rPr>
                <w:rFonts w:ascii="Verdana" w:hAnsi="Verdana" w:eastAsia="Verdana" w:cs="Verdana"/>
                <w:sz w:val="18"/>
                <w:szCs w:val="18"/>
              </w:rPr>
              <w:t xml:space="preserve">MEDLINE, </w:t>
            </w:r>
            <w:proofErr w:type="spellStart"/>
            <w:r w:rsidRPr="7ABC7D88" w:rsidR="7ABC7D88">
              <w:rPr>
                <w:rFonts w:ascii="Verdana" w:hAnsi="Verdana" w:eastAsia="Verdana" w:cs="Verdana"/>
                <w:sz w:val="18"/>
                <w:szCs w:val="18"/>
              </w:rPr>
              <w:t>PsycINFO</w:t>
            </w:r>
            <w:proofErr w:type="spellEnd"/>
            <w:r w:rsidRPr="7ABC7D88" w:rsidR="7ABC7D88">
              <w:rPr>
                <w:rFonts w:ascii="Verdana" w:hAnsi="Verdana" w:eastAsia="Verdana" w:cs="Verdana"/>
                <w:sz w:val="18"/>
                <w:szCs w:val="18"/>
              </w:rPr>
              <w:t xml:space="preserve">, EMBASE,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Cochrane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Library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experts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bibliographies</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reviews</w:t>
            </w:r>
            <w:proofErr w:type="spellEnd"/>
            <w:r w:rsidRPr="7ABC7D88" w:rsidR="7ABC7D88">
              <w:rPr>
                <w:rFonts w:ascii="Verdana" w:hAnsi="Verdana" w:eastAsia="Verdana" w:cs="Verdana"/>
                <w:sz w:val="18"/>
                <w:szCs w:val="18"/>
              </w:rPr>
              <w:t>.</w:t>
            </w:r>
          </w:p>
          <w:p w:rsidR="7ABC7D88" w:rsidRDefault="7ABC7D88" w14:paraId="7EC167E1" w14:textId="792B1325">
            <w:proofErr w:type="spellStart"/>
            <w:r w:rsidRPr="7ABC7D88" w:rsidR="7ABC7D88">
              <w:rPr>
                <w:rFonts w:ascii="Verdana" w:hAnsi="Verdana" w:eastAsia="Verdana" w:cs="Verdana"/>
                <w:sz w:val="18"/>
                <w:szCs w:val="18"/>
              </w:rPr>
              <w:t>Two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reviewers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abstracted</w:t>
            </w:r>
            <w:proofErr w:type="spellEnd"/>
            <w:r w:rsidRPr="7ABC7D88" w:rsidR="7ABC7D88">
              <w:rPr>
                <w:rFonts w:ascii="Verdana" w:hAnsi="Verdana" w:eastAsia="Verdana" w:cs="Verdana"/>
                <w:sz w:val="18"/>
                <w:szCs w:val="18"/>
              </w:rPr>
              <w:t xml:space="preserve"> relevant </w:t>
            </w:r>
            <w:proofErr w:type="spellStart"/>
            <w:r w:rsidRPr="7ABC7D88" w:rsidR="7ABC7D88">
              <w:rPr>
                <w:rFonts w:ascii="Verdana" w:hAnsi="Verdana" w:eastAsia="Verdana" w:cs="Verdana"/>
                <w:sz w:val="18"/>
                <w:szCs w:val="18"/>
              </w:rPr>
              <w:t>information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standardized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abstraction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forms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graded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article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quality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according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U.S. </w:t>
            </w:r>
            <w:proofErr w:type="spellStart"/>
            <w:r w:rsidRPr="7ABC7D88" w:rsidR="7ABC7D88">
              <w:rPr>
                <w:rFonts w:ascii="Verdana" w:hAnsi="Verdana" w:eastAsia="Verdana" w:cs="Verdana"/>
                <w:sz w:val="18"/>
                <w:szCs w:val="18"/>
              </w:rPr>
              <w:t>Preventive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Services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Task</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criteria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Data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Synthesis</w:t>
            </w:r>
            <w:proofErr w:type="spellEnd"/>
            <w:r w:rsidRPr="7ABC7D88" w:rsidR="7ABC7D88">
              <w:rPr>
                <w:rFonts w:ascii="Verdana" w:hAnsi="Verdana" w:eastAsia="Verdana" w:cs="Verdana"/>
                <w:sz w:val="18"/>
                <w:szCs w:val="18"/>
              </w:rPr>
              <w:t xml:space="preserve">: No </w:t>
            </w:r>
            <w:proofErr w:type="spellStart"/>
            <w:r w:rsidRPr="7ABC7D88" w:rsidR="7ABC7D88">
              <w:rPr>
                <w:rFonts w:ascii="Verdana" w:hAnsi="Verdana" w:eastAsia="Verdana" w:cs="Verdana"/>
                <w:sz w:val="18"/>
                <w:szCs w:val="18"/>
              </w:rPr>
              <w:t>randomized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controlled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trial</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has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been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completed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Brief</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tools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can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detect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some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persons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early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positive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predictive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value</w:t>
            </w:r>
            <w:proofErr w:type="spellEnd"/>
            <w:r w:rsidRPr="7ABC7D88" w:rsidR="7ABC7D88">
              <w:rPr>
                <w:rFonts w:ascii="Verdana" w:hAnsi="Verdana" w:eastAsia="Verdana" w:cs="Verdana"/>
                <w:sz w:val="18"/>
                <w:szCs w:val="18"/>
              </w:rPr>
              <w:t xml:space="preserve"> &lt;50%).</w:t>
            </w:r>
          </w:p>
          <w:p w:rsidR="7ABC7D88" w:rsidRDefault="7ABC7D88" w14:paraId="5961325D" w14:textId="2F8A4D89">
            <w:proofErr w:type="spellStart"/>
            <w:r w:rsidRPr="7ABC7D88" w:rsidR="7ABC7D88">
              <w:rPr>
                <w:rFonts w:ascii="Verdana" w:hAnsi="Verdana" w:eastAsia="Verdana" w:cs="Verdana"/>
                <w:sz w:val="18"/>
                <w:szCs w:val="18"/>
              </w:rPr>
              <w:t>Conclusion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can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detect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undiagnosed</w:t>
            </w:r>
            <w:proofErr w:type="spellEnd"/>
            <w:r w:rsidRPr="7ABC7D88" w:rsidR="7ABC7D88">
              <w:rPr>
                <w:rFonts w:ascii="Verdana" w:hAnsi="Verdana" w:eastAsia="Verdana" w:cs="Verdana"/>
                <w:sz w:val="18"/>
                <w:szCs w:val="18"/>
              </w:rPr>
              <w:t xml:space="preserve"> dementia</w:t>
            </w:r>
          </w:p>
        </w:tc>
        <w:tc>
          <w:tcPr>
            <w:tcW w:w="3096" w:type="dxa"/>
            <w:shd w:val="clear" w:color="auto" w:fill="auto"/>
            <w:tcMar/>
          </w:tcPr>
          <w:p w:rsidR="7ABC7D88" w:rsidP="7ABC7D88" w:rsidRDefault="7ABC7D88" w14:paraId="6CC5007E" w14:textId="64163BD2">
            <w:pPr>
              <w:jc w:val="both"/>
            </w:pPr>
            <w:r w:rsidRPr="7ABC7D88" w:rsidR="7ABC7D88">
              <w:rPr>
                <w:rFonts w:ascii="Verdana" w:hAnsi="Verdana" w:eastAsia="Verdana" w:cs="Verdana"/>
                <w:b w:val="0"/>
                <w:bCs w:val="0"/>
                <w:sz w:val="18"/>
                <w:szCs w:val="18"/>
                <w:u w:val="none"/>
              </w:rPr>
              <w:t>8.</w:t>
            </w:r>
            <w:r w:rsidRPr="7ABC7D88" w:rsidR="7ABC7D88">
              <w:rPr>
                <w:rFonts w:ascii="Verdana" w:hAnsi="Verdana" w:eastAsia="Verdana" w:cs="Verdana"/>
                <w:b w:val="0"/>
                <w:bCs w:val="0"/>
                <w:sz w:val="18"/>
                <w:szCs w:val="18"/>
                <w:u w:val="none"/>
              </w:rPr>
              <w:t xml:space="preserve">Malaz </w:t>
            </w:r>
            <w:proofErr w:type="spellStart"/>
            <w:r w:rsidRPr="7ABC7D88" w:rsidR="7ABC7D88">
              <w:rPr>
                <w:rFonts w:ascii="Verdana" w:hAnsi="Verdana" w:eastAsia="Verdana" w:cs="Verdana"/>
                <w:b w:val="0"/>
                <w:bCs w:val="0"/>
                <w:sz w:val="18"/>
                <w:szCs w:val="18"/>
                <w:u w:val="none"/>
              </w:rPr>
              <w:t>Boustani</w:t>
            </w:r>
            <w:proofErr w:type="spellEnd"/>
            <w:r w:rsidRPr="7ABC7D88" w:rsidR="7ABC7D88">
              <w:rPr>
                <w:rFonts w:ascii="Verdana" w:hAnsi="Verdana" w:eastAsia="Verdana" w:cs="Verdana"/>
                <w:b w:val="0"/>
                <w:bCs w:val="0"/>
                <w:sz w:val="18"/>
                <w:szCs w:val="18"/>
                <w:u w:val="none"/>
              </w:rPr>
              <w:t xml:space="preserve">, et </w:t>
            </w:r>
            <w:proofErr w:type="spellStart"/>
            <w:r w:rsidRPr="7ABC7D88" w:rsidR="7ABC7D88">
              <w:rPr>
                <w:rFonts w:ascii="Verdana" w:hAnsi="Verdana" w:eastAsia="Verdana" w:cs="Verdana"/>
                <w:b w:val="0"/>
                <w:bCs w:val="0"/>
                <w:sz w:val="18"/>
                <w:szCs w:val="18"/>
                <w:u w:val="none"/>
              </w:rPr>
              <w:t>al</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Screening</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Dementia</w:t>
            </w:r>
            <w:proofErr w:type="spellEnd"/>
            <w:r w:rsidRPr="7ABC7D88" w:rsidR="7ABC7D88">
              <w:rPr>
                <w:rFonts w:ascii="Verdana" w:hAnsi="Verdana" w:eastAsia="Verdana" w:cs="Verdana"/>
                <w:b w:val="0"/>
                <w:bCs w:val="0"/>
                <w:sz w:val="18"/>
                <w:szCs w:val="18"/>
                <w:u w:val="none"/>
              </w:rPr>
              <w:t xml:space="preserve"> in </w:t>
            </w:r>
            <w:proofErr w:type="spellStart"/>
            <w:r w:rsidRPr="7ABC7D88" w:rsidR="7ABC7D88">
              <w:rPr>
                <w:rFonts w:ascii="Verdana" w:hAnsi="Verdana" w:eastAsia="Verdana" w:cs="Verdana"/>
                <w:b w:val="0"/>
                <w:bCs w:val="0"/>
                <w:sz w:val="18"/>
                <w:szCs w:val="18"/>
                <w:u w:val="none"/>
              </w:rPr>
              <w:t>Primary</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Care</w:t>
            </w:r>
            <w:proofErr w:type="spellEnd"/>
            <w:r w:rsidRPr="7ABC7D88" w:rsidR="7ABC7D88">
              <w:rPr>
                <w:rFonts w:ascii="Verdana" w:hAnsi="Verdana" w:eastAsia="Verdana" w:cs="Verdana"/>
                <w:b w:val="0"/>
                <w:bCs w:val="0"/>
                <w:sz w:val="18"/>
                <w:szCs w:val="18"/>
                <w:u w:val="none"/>
              </w:rPr>
              <w:t xml:space="preserve">: A </w:t>
            </w:r>
            <w:proofErr w:type="spellStart"/>
            <w:r w:rsidRPr="7ABC7D88" w:rsidR="7ABC7D88">
              <w:rPr>
                <w:rFonts w:ascii="Verdana" w:hAnsi="Verdana" w:eastAsia="Verdana" w:cs="Verdana"/>
                <w:b w:val="0"/>
                <w:bCs w:val="0"/>
                <w:sz w:val="18"/>
                <w:szCs w:val="18"/>
                <w:u w:val="none"/>
              </w:rPr>
              <w:t>Summary</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Evidence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U.S. </w:t>
            </w:r>
            <w:proofErr w:type="spellStart"/>
            <w:r w:rsidRPr="7ABC7D88" w:rsidR="7ABC7D88">
              <w:rPr>
                <w:rFonts w:ascii="Verdana" w:hAnsi="Verdana" w:eastAsia="Verdana" w:cs="Verdana"/>
                <w:b w:val="0"/>
                <w:bCs w:val="0"/>
                <w:sz w:val="18"/>
                <w:szCs w:val="18"/>
                <w:u w:val="none"/>
              </w:rPr>
              <w:t>Preventive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Services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Task</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Force</w:t>
            </w:r>
            <w:proofErr w:type="spellEnd"/>
            <w:r w:rsidRPr="7ABC7D88" w:rsidR="7ABC7D88">
              <w:rPr>
                <w:rFonts w:ascii="Verdana" w:hAnsi="Verdana" w:eastAsia="Verdana" w:cs="Verdana"/>
                <w:b w:val="0"/>
                <w:bCs w:val="0"/>
                <w:sz w:val="18"/>
                <w:szCs w:val="18"/>
                <w:u w:val="none"/>
              </w:rPr>
              <w:t xml:space="preserve">. </w:t>
            </w:r>
            <w:r w:rsidRPr="7ABC7D88" w:rsidR="7ABC7D88">
              <w:rPr>
                <w:rFonts w:ascii="Verdana" w:hAnsi="Verdana" w:eastAsia="Verdana" w:cs="Verdana"/>
                <w:b w:val="0"/>
                <w:bCs w:val="0"/>
                <w:sz w:val="18"/>
                <w:szCs w:val="18"/>
                <w:u w:val="none"/>
              </w:rPr>
              <w:t xml:space="preserve">Ann Intern </w:t>
            </w:r>
            <w:proofErr w:type="spellStart"/>
            <w:r w:rsidRPr="7ABC7D88" w:rsidR="7ABC7D88">
              <w:rPr>
                <w:rFonts w:ascii="Verdana" w:hAnsi="Verdana" w:eastAsia="Verdana" w:cs="Verdana"/>
                <w:b w:val="0"/>
                <w:bCs w:val="0"/>
                <w:sz w:val="18"/>
                <w:szCs w:val="18"/>
                <w:u w:val="none"/>
              </w:rPr>
              <w:t>Med</w:t>
            </w:r>
            <w:proofErr w:type="spellEnd"/>
            <w:r w:rsidRPr="7ABC7D88" w:rsidR="7ABC7D88">
              <w:rPr>
                <w:rFonts w:ascii="Verdana" w:hAnsi="Verdana" w:eastAsia="Verdana" w:cs="Verdana"/>
                <w:b w:val="0"/>
                <w:bCs w:val="0"/>
                <w:sz w:val="18"/>
                <w:szCs w:val="18"/>
                <w:u w:val="none"/>
              </w:rPr>
              <w:t>. 2003;138:927-937</w:t>
            </w:r>
          </w:p>
        </w:tc>
      </w:tr>
      <w:tr w:rsidR="7ABC7D88" w:rsidTr="7ABC7D88" w14:paraId="463E71FF">
        <w:tc>
          <w:tcPr>
            <w:tcW w:w="6192" w:type="dxa"/>
            <w:shd w:val="clear" w:color="auto" w:fill="auto"/>
            <w:tcMar/>
          </w:tcPr>
          <w:p w:rsidR="7ABC7D88" w:rsidP="7ABC7D88" w:rsidRDefault="7ABC7D88" w14:paraId="1C6DB706" w14:textId="69736B9C">
            <w:pPr>
              <w:pStyle w:val="Normaallaad"/>
            </w:pPr>
            <w:r w:rsidRPr="7ABC7D88" w:rsidR="7ABC7D88">
              <w:rPr>
                <w:rFonts w:ascii="Verdana" w:hAnsi="Verdana" w:eastAsia="Verdana" w:cs="Verdana"/>
                <w:sz w:val="18"/>
                <w:szCs w:val="18"/>
              </w:rPr>
              <w:t>9.</w:t>
            </w:r>
            <w:r w:rsidRPr="7ABC7D88" w:rsidR="7ABC7D88">
              <w:rPr>
                <w:rFonts w:ascii="Verdana" w:hAnsi="Verdana" w:eastAsia="Verdana" w:cs="Verdana"/>
                <w:sz w:val="18"/>
                <w:szCs w:val="18"/>
              </w:rPr>
              <w:t>Background/</w:t>
            </w:r>
            <w:proofErr w:type="spellStart"/>
            <w:r w:rsidRPr="7ABC7D88" w:rsidR="7ABC7D88">
              <w:rPr>
                <w:rFonts w:ascii="Verdana" w:hAnsi="Verdana" w:eastAsia="Verdana" w:cs="Verdana"/>
                <w:sz w:val="18"/>
                <w:szCs w:val="18"/>
              </w:rPr>
              <w:t>Aims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Clock</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Drawing</w:t>
            </w:r>
            <w:proofErr w:type="spellEnd"/>
            <w:r w:rsidRPr="7ABC7D88" w:rsidR="7ABC7D88">
              <w:rPr>
                <w:rFonts w:ascii="Verdana" w:hAnsi="Verdana" w:eastAsia="Verdana" w:cs="Verdana"/>
                <w:sz w:val="18"/>
                <w:szCs w:val="18"/>
              </w:rPr>
              <w:t xml:space="preserve"> Test (CDT)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used</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clinical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practice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disorders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systematic</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review</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aims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present and </w:t>
            </w:r>
            <w:proofErr w:type="spellStart"/>
            <w:r w:rsidRPr="7ABC7D88" w:rsidR="7ABC7D88">
              <w:rPr>
                <w:rFonts w:ascii="Verdana" w:hAnsi="Verdana" w:eastAsia="Verdana" w:cs="Verdana"/>
                <w:sz w:val="18"/>
                <w:szCs w:val="18"/>
              </w:rPr>
              <w:t>discuss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CDT </w:t>
            </w:r>
            <w:proofErr w:type="spellStart"/>
            <w:r w:rsidRPr="7ABC7D88" w:rsidR="7ABC7D88">
              <w:rPr>
                <w:rFonts w:ascii="Verdana" w:hAnsi="Verdana" w:eastAsia="Verdana" w:cs="Verdana"/>
                <w:sz w:val="18"/>
                <w:szCs w:val="18"/>
              </w:rPr>
              <w:t>scoring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available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literature</w:t>
            </w:r>
            <w:proofErr w:type="spellEnd"/>
            <w:r w:rsidRPr="7ABC7D88" w:rsidR="7ABC7D88">
              <w:rPr>
                <w:rFonts w:ascii="Verdana" w:hAnsi="Verdana" w:eastAsia="Verdana" w:cs="Verdana"/>
                <w:sz w:val="18"/>
                <w:szCs w:val="18"/>
              </w:rPr>
              <w:t xml:space="preserve">, in order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find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differences</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administration</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utility</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CDT. </w:t>
            </w:r>
            <w:proofErr w:type="spellStart"/>
            <w:r w:rsidRPr="7ABC7D88" w:rsidR="7ABC7D88">
              <w:rPr>
                <w:rFonts w:ascii="Verdana" w:hAnsi="Verdana" w:eastAsia="Verdana" w:cs="Verdana"/>
                <w:sz w:val="18"/>
                <w:szCs w:val="18"/>
              </w:rPr>
              <w:t>Methods</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literature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carried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out</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Medline</w:t>
            </w:r>
            <w:proofErr w:type="spellEnd"/>
            <w:r w:rsidRPr="7ABC7D88" w:rsidR="7ABC7D88">
              <w:rPr>
                <w:rFonts w:ascii="Verdana" w:hAnsi="Verdana" w:eastAsia="Verdana" w:cs="Verdana"/>
                <w:sz w:val="18"/>
                <w:szCs w:val="18"/>
              </w:rPr>
              <w:t xml:space="preserve"> (1966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June</w:t>
            </w:r>
            <w:proofErr w:type="spellEnd"/>
            <w:r w:rsidRPr="7ABC7D88" w:rsidR="7ABC7D88">
              <w:rPr>
                <w:rFonts w:ascii="Verdana" w:hAnsi="Verdana" w:eastAsia="Verdana" w:cs="Verdana"/>
                <w:sz w:val="18"/>
                <w:szCs w:val="18"/>
              </w:rPr>
              <w:t xml:space="preserve"> 2008), </w:t>
            </w:r>
            <w:proofErr w:type="spellStart"/>
            <w:r w:rsidRPr="7ABC7D88" w:rsidR="7ABC7D88">
              <w:rPr>
                <w:rFonts w:ascii="Verdana" w:hAnsi="Verdana" w:eastAsia="Verdana" w:cs="Verdana"/>
                <w:sz w:val="18"/>
                <w:szCs w:val="18"/>
              </w:rPr>
              <w:t>Psychinfo</w:t>
            </w:r>
            <w:proofErr w:type="spellEnd"/>
            <w:r w:rsidRPr="7ABC7D88" w:rsidR="7ABC7D88">
              <w:rPr>
                <w:rFonts w:ascii="Verdana" w:hAnsi="Verdana" w:eastAsia="Verdana" w:cs="Verdana"/>
                <w:sz w:val="18"/>
                <w:szCs w:val="18"/>
              </w:rPr>
              <w:t xml:space="preserve"> (1967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June</w:t>
            </w:r>
            <w:proofErr w:type="spellEnd"/>
            <w:r w:rsidRPr="7ABC7D88" w:rsidR="7ABC7D88">
              <w:rPr>
                <w:rFonts w:ascii="Verdana" w:hAnsi="Verdana" w:eastAsia="Verdana" w:cs="Verdana"/>
                <w:sz w:val="18"/>
                <w:szCs w:val="18"/>
              </w:rPr>
              <w:t xml:space="preserve"> 2008) and EMBASE (1980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June</w:t>
            </w:r>
            <w:proofErr w:type="spellEnd"/>
            <w:r w:rsidRPr="7ABC7D88" w:rsidR="7ABC7D88">
              <w:rPr>
                <w:rFonts w:ascii="Verdana" w:hAnsi="Verdana" w:eastAsia="Verdana" w:cs="Verdana"/>
                <w:sz w:val="18"/>
                <w:szCs w:val="18"/>
              </w:rPr>
              <w:t xml:space="preserve"> 2008). </w:t>
            </w:r>
            <w:proofErr w:type="spellStart"/>
            <w:r w:rsidRPr="7ABC7D88" w:rsidR="7ABC7D88">
              <w:rPr>
                <w:rFonts w:ascii="Verdana" w:hAnsi="Verdana" w:eastAsia="Verdana" w:cs="Verdana"/>
                <w:sz w:val="18"/>
                <w:szCs w:val="18"/>
              </w:rPr>
              <w:t>Results</w:t>
            </w:r>
            <w:proofErr w:type="spellEnd"/>
            <w:r w:rsidRPr="7ABC7D88" w:rsidR="7ABC7D88">
              <w:rPr>
                <w:rFonts w:ascii="Verdana" w:hAnsi="Verdana" w:eastAsia="Verdana" w:cs="Verdana"/>
                <w:sz w:val="18"/>
                <w:szCs w:val="18"/>
              </w:rPr>
              <w:t xml:space="preserve">: All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showed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good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interrater</w:t>
            </w:r>
            <w:proofErr w:type="spellEnd"/>
            <w:r w:rsidRPr="7ABC7D88" w:rsidR="7ABC7D88">
              <w:rPr>
                <w:rFonts w:ascii="Verdana" w:hAnsi="Verdana" w:eastAsia="Verdana" w:cs="Verdana"/>
                <w:sz w:val="18"/>
                <w:szCs w:val="18"/>
              </w:rPr>
              <w:t xml:space="preserve"> and test-</w:t>
            </w:r>
            <w:proofErr w:type="spellStart"/>
            <w:r w:rsidRPr="7ABC7D88" w:rsidR="7ABC7D88">
              <w:rPr>
                <w:rFonts w:ascii="Verdana" w:hAnsi="Verdana" w:eastAsia="Verdana" w:cs="Verdana"/>
                <w:sz w:val="18"/>
                <w:szCs w:val="18"/>
              </w:rPr>
              <w:t>retest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reliabilities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correlation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other</w:t>
            </w:r>
            <w:proofErr w:type="spellEnd"/>
            <w:r w:rsidRPr="7ABC7D88" w:rsidR="7ABC7D88">
              <w:rPr>
                <w:rFonts w:ascii="Verdana" w:hAnsi="Verdana" w:eastAsia="Verdana" w:cs="Verdana"/>
                <w:sz w:val="18"/>
                <w:szCs w:val="18"/>
              </w:rPr>
              <w:t xml:space="preserve"> standard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tests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statistically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significant</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most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but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results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influenced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age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education</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language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included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patients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mild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questionable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CDT </w:t>
            </w:r>
            <w:proofErr w:type="spellStart"/>
            <w:r w:rsidRPr="7ABC7D88" w:rsidR="7ABC7D88">
              <w:rPr>
                <w:rFonts w:ascii="Verdana" w:hAnsi="Verdana" w:eastAsia="Verdana" w:cs="Verdana"/>
                <w:sz w:val="18"/>
                <w:szCs w:val="18"/>
              </w:rPr>
              <w:t>had</w:t>
            </w:r>
            <w:proofErr w:type="spellEnd"/>
            <w:r w:rsidRPr="7ABC7D88" w:rsidR="7ABC7D88">
              <w:rPr>
                <w:rFonts w:ascii="Verdana" w:hAnsi="Verdana" w:eastAsia="Verdana" w:cs="Verdana"/>
                <w:sz w:val="18"/>
                <w:szCs w:val="18"/>
              </w:rPr>
              <w:t xml:space="preserve"> a </w:t>
            </w:r>
            <w:proofErr w:type="spellStart"/>
            <w:r w:rsidRPr="7ABC7D88" w:rsidR="7ABC7D88">
              <w:rPr>
                <w:rFonts w:ascii="Verdana" w:hAnsi="Verdana" w:eastAsia="Verdana" w:cs="Verdana"/>
                <w:sz w:val="18"/>
                <w:szCs w:val="18"/>
              </w:rPr>
              <w:t>low</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sensitivity</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variable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specificity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Conclusion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CDT </w:t>
            </w:r>
            <w:proofErr w:type="spellStart"/>
            <w:r w:rsidRPr="7ABC7D88" w:rsidR="7ABC7D88">
              <w:rPr>
                <w:rFonts w:ascii="Verdana" w:hAnsi="Verdana" w:eastAsia="Verdana" w:cs="Verdana"/>
                <w:sz w:val="18"/>
                <w:szCs w:val="18"/>
              </w:rPr>
              <w:t>has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characteristics</w:t>
            </w:r>
            <w:proofErr w:type="spellEnd"/>
            <w:r w:rsidRPr="7ABC7D88" w:rsidR="7ABC7D88">
              <w:rPr>
                <w:rFonts w:ascii="Verdana" w:hAnsi="Verdana" w:eastAsia="Verdana" w:cs="Verdana"/>
                <w:sz w:val="18"/>
                <w:szCs w:val="18"/>
              </w:rPr>
              <w:t xml:space="preserve"> of a </w:t>
            </w:r>
            <w:proofErr w:type="spellStart"/>
            <w:r w:rsidRPr="7ABC7D88" w:rsidR="7ABC7D88">
              <w:rPr>
                <w:rFonts w:ascii="Verdana" w:hAnsi="Verdana" w:eastAsia="Verdana" w:cs="Verdana"/>
                <w:sz w:val="18"/>
                <w:szCs w:val="18"/>
              </w:rPr>
              <w:t>good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screening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moderate</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severe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However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scoring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used</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potential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confounders</w:t>
            </w:r>
            <w:proofErr w:type="spellEnd"/>
            <w:r w:rsidRPr="7ABC7D88" w:rsidR="7ABC7D88">
              <w:rPr>
                <w:rFonts w:ascii="Verdana" w:hAnsi="Verdana" w:eastAsia="Verdana" w:cs="Verdana"/>
                <w:sz w:val="18"/>
                <w:szCs w:val="18"/>
              </w:rPr>
              <w:t xml:space="preserve"> need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taken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consideration</w:t>
            </w:r>
            <w:proofErr w:type="spellEnd"/>
          </w:p>
        </w:tc>
        <w:tc>
          <w:tcPr>
            <w:tcW w:w="3096" w:type="dxa"/>
            <w:shd w:val="clear" w:color="auto" w:fill="auto"/>
            <w:tcMar/>
          </w:tcPr>
          <w:p w:rsidR="7ABC7D88" w:rsidP="7ABC7D88" w:rsidRDefault="7ABC7D88" w14:paraId="5CF45300" w14:textId="58876A34">
            <w:pPr>
              <w:pStyle w:val="Normaallaad"/>
              <w:jc w:val="both"/>
            </w:pPr>
            <w:r w:rsidRPr="7ABC7D88" w:rsidR="7ABC7D88">
              <w:rPr>
                <w:rFonts w:ascii="Verdana" w:hAnsi="Verdana" w:eastAsia="Verdana" w:cs="Verdana"/>
                <w:b w:val="0"/>
                <w:bCs w:val="0"/>
                <w:sz w:val="18"/>
                <w:szCs w:val="18"/>
                <w:u w:val="none"/>
              </w:rPr>
              <w:t xml:space="preserve">9.Pinto </w:t>
            </w:r>
            <w:proofErr w:type="spellStart"/>
            <w:r w:rsidRPr="7ABC7D88" w:rsidR="7ABC7D88">
              <w:rPr>
                <w:rFonts w:ascii="Verdana" w:hAnsi="Verdana" w:eastAsia="Verdana" w:cs="Verdana"/>
                <w:b w:val="0"/>
                <w:bCs w:val="0"/>
                <w:sz w:val="18"/>
                <w:szCs w:val="18"/>
                <w:u w:val="none"/>
              </w:rPr>
              <w:t>el</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al</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Literature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Review</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Clock</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Drawing</w:t>
            </w:r>
            <w:proofErr w:type="spellEnd"/>
            <w:r w:rsidRPr="7ABC7D88" w:rsidR="7ABC7D88">
              <w:rPr>
                <w:rFonts w:ascii="Verdana" w:hAnsi="Verdana" w:eastAsia="Verdana" w:cs="Verdana"/>
                <w:b w:val="0"/>
                <w:bCs w:val="0"/>
                <w:sz w:val="18"/>
                <w:szCs w:val="18"/>
                <w:u w:val="none"/>
              </w:rPr>
              <w:t xml:space="preserve"> Test </w:t>
            </w:r>
            <w:proofErr w:type="spellStart"/>
            <w:r w:rsidRPr="7ABC7D88" w:rsidR="7ABC7D88">
              <w:rPr>
                <w:rFonts w:ascii="Verdana" w:hAnsi="Verdana" w:eastAsia="Verdana" w:cs="Verdana"/>
                <w:b w:val="0"/>
                <w:bCs w:val="0"/>
                <w:sz w:val="18"/>
                <w:szCs w:val="18"/>
                <w:u w:val="none"/>
              </w:rPr>
              <w:t>as</w:t>
            </w:r>
            <w:proofErr w:type="spellEnd"/>
            <w:r w:rsidRPr="7ABC7D88" w:rsidR="7ABC7D88">
              <w:rPr>
                <w:rFonts w:ascii="Verdana" w:hAnsi="Verdana" w:eastAsia="Verdana" w:cs="Verdana"/>
                <w:b w:val="0"/>
                <w:bCs w:val="0"/>
                <w:sz w:val="18"/>
                <w:szCs w:val="18"/>
                <w:u w:val="none"/>
              </w:rPr>
              <w:t xml:space="preserve"> a Tool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Cognitive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Screening</w:t>
            </w:r>
            <w:r w:rsidRPr="7ABC7D88" w:rsidR="7ABC7D88">
              <w:rPr>
                <w:rFonts w:ascii="Verdana" w:hAnsi="Verdana" w:eastAsia="Verdana" w:cs="Verdana"/>
                <w:b w:val="0"/>
                <w:bCs w:val="0"/>
                <w:sz w:val="18"/>
                <w:szCs w:val="18"/>
                <w:u w:val="none"/>
              </w:rPr>
              <w:t>Dement</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Geriatr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Cogn</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Disord</w:t>
            </w:r>
            <w:proofErr w:type="spellEnd"/>
            <w:r w:rsidRPr="7ABC7D88" w:rsidR="7ABC7D88">
              <w:rPr>
                <w:rFonts w:ascii="Verdana" w:hAnsi="Verdana" w:eastAsia="Verdana" w:cs="Verdana"/>
                <w:b w:val="0"/>
                <w:bCs w:val="0"/>
                <w:sz w:val="18"/>
                <w:szCs w:val="18"/>
                <w:u w:val="none"/>
              </w:rPr>
              <w:t xml:space="preserve"> 2009;27:201–21</w:t>
            </w:r>
          </w:p>
        </w:tc>
      </w:tr>
      <w:tr w:rsidR="7ABC7D88" w:rsidTr="7ABC7D88" w14:paraId="2C39307C">
        <w:tc>
          <w:tcPr>
            <w:tcW w:w="6192" w:type="dxa"/>
            <w:shd w:val="clear" w:color="auto" w:fill="auto"/>
            <w:tcMar/>
          </w:tcPr>
          <w:p w:rsidR="7ABC7D88" w:rsidRDefault="7ABC7D88" w14:paraId="18603CBB" w14:textId="2AA893E9">
            <w:proofErr w:type="spellStart"/>
            <w:r w:rsidRPr="7ABC7D88" w:rsidR="7ABC7D88">
              <w:rPr>
                <w:rFonts w:ascii="Verdana" w:hAnsi="Verdana" w:eastAsia="Verdana" w:cs="Verdana"/>
                <w:sz w:val="18"/>
                <w:szCs w:val="18"/>
              </w:rPr>
              <w:t>Various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tools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exist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initial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assessment</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possible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no </w:t>
            </w:r>
            <w:proofErr w:type="spellStart"/>
            <w:r w:rsidRPr="7ABC7D88" w:rsidR="7ABC7D88">
              <w:rPr>
                <w:rFonts w:ascii="Verdana" w:hAnsi="Verdana" w:eastAsia="Verdana" w:cs="Verdana"/>
                <w:sz w:val="18"/>
                <w:szCs w:val="18"/>
              </w:rPr>
              <w:t>consensus</w:t>
            </w:r>
            <w:proofErr w:type="spellEnd"/>
            <w:r w:rsidRPr="7ABC7D88" w:rsidR="7ABC7D88">
              <w:rPr>
                <w:rFonts w:ascii="Verdana" w:hAnsi="Verdana" w:eastAsia="Verdana" w:cs="Verdana"/>
                <w:sz w:val="18"/>
                <w:szCs w:val="18"/>
              </w:rPr>
              <w:t xml:space="preserve"> on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optimal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assessment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method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Instruments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collateral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sources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change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function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time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have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particular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utility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most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commonly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informant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assessment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Informant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Questionnaire</w:t>
            </w:r>
            <w:proofErr w:type="spellEnd"/>
            <w:r w:rsidRPr="7ABC7D88" w:rsidR="7ABC7D88">
              <w:rPr>
                <w:rFonts w:ascii="Verdana" w:hAnsi="Verdana" w:eastAsia="Verdana" w:cs="Verdana"/>
                <w:sz w:val="18"/>
                <w:szCs w:val="18"/>
              </w:rPr>
              <w:t xml:space="preserve"> on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Decline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Elderly</w:t>
            </w:r>
            <w:proofErr w:type="spellEnd"/>
            <w:r w:rsidRPr="7ABC7D88" w:rsidR="7ABC7D88">
              <w:rPr>
                <w:rFonts w:ascii="Verdana" w:hAnsi="Verdana" w:eastAsia="Verdana" w:cs="Verdana"/>
                <w:sz w:val="18"/>
                <w:szCs w:val="18"/>
              </w:rPr>
              <w:t xml:space="preserve"> (IQCODE). </w:t>
            </w:r>
          </w:p>
          <w:p w:rsidR="7ABC7D88" w:rsidRDefault="7ABC7D88" w14:paraId="25B80537" w14:textId="1656E829">
            <w:proofErr w:type="spellStart"/>
            <w:r w:rsidRPr="7ABC7D88" w:rsidR="7ABC7D88">
              <w:rPr>
                <w:rFonts w:ascii="Verdana" w:hAnsi="Verdana" w:eastAsia="Verdana" w:cs="Verdana"/>
                <w:sz w:val="18"/>
                <w:szCs w:val="18"/>
              </w:rPr>
              <w:t>We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searched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following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sources</w:t>
            </w:r>
            <w:proofErr w:type="spellEnd"/>
            <w:r w:rsidRPr="7ABC7D88" w:rsidR="7ABC7D88">
              <w:rPr>
                <w:rFonts w:ascii="Verdana" w:hAnsi="Verdana" w:eastAsia="Verdana" w:cs="Verdana"/>
                <w:sz w:val="18"/>
                <w:szCs w:val="18"/>
              </w:rPr>
              <w:t xml:space="preserve"> on 28 </w:t>
            </w:r>
            <w:proofErr w:type="spellStart"/>
            <w:r w:rsidRPr="7ABC7D88" w:rsidR="7ABC7D88">
              <w:rPr>
                <w:rFonts w:ascii="Verdana" w:hAnsi="Verdana" w:eastAsia="Verdana" w:cs="Verdana"/>
                <w:sz w:val="18"/>
                <w:szCs w:val="18"/>
              </w:rPr>
              <w:t>January</w:t>
            </w:r>
            <w:proofErr w:type="spellEnd"/>
            <w:r w:rsidRPr="7ABC7D88" w:rsidR="7ABC7D88">
              <w:rPr>
                <w:rFonts w:ascii="Verdana" w:hAnsi="Verdana" w:eastAsia="Verdana" w:cs="Verdana"/>
                <w:sz w:val="18"/>
                <w:szCs w:val="18"/>
              </w:rPr>
              <w:t xml:space="preserve"> 2013: ALOIS (</w:t>
            </w:r>
            <w:proofErr w:type="spellStart"/>
            <w:r w:rsidRPr="7ABC7D88" w:rsidR="7ABC7D88">
              <w:rPr>
                <w:rFonts w:ascii="Verdana" w:hAnsi="Verdana" w:eastAsia="Verdana" w:cs="Verdana"/>
                <w:sz w:val="18"/>
                <w:szCs w:val="18"/>
              </w:rPr>
              <w:t>Cochrane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Cognitive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Improvement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Group</w:t>
            </w:r>
            <w:proofErr w:type="spellEnd"/>
            <w:r w:rsidRPr="7ABC7D88" w:rsidR="7ABC7D88">
              <w:rPr>
                <w:rFonts w:ascii="Verdana" w:hAnsi="Verdana" w:eastAsia="Verdana" w:cs="Verdana"/>
                <w:sz w:val="18"/>
                <w:szCs w:val="18"/>
              </w:rPr>
              <w:t>), MEDLINE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EMBASE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PsycINFO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OvidSP</w:t>
            </w:r>
            <w:proofErr w:type="spellEnd"/>
            <w:r w:rsidRPr="7ABC7D88" w:rsidR="7ABC7D88">
              <w:rPr>
                <w:rFonts w:ascii="Verdana" w:hAnsi="Verdana" w:eastAsia="Verdana" w:cs="Verdana"/>
                <w:sz w:val="18"/>
                <w:szCs w:val="18"/>
              </w:rPr>
              <w:t xml:space="preserve">), BIOSIS </w:t>
            </w:r>
            <w:proofErr w:type="spellStart"/>
            <w:r w:rsidRPr="7ABC7D88" w:rsidR="7ABC7D88">
              <w:rPr>
                <w:rFonts w:ascii="Verdana" w:hAnsi="Verdana" w:eastAsia="Verdana" w:cs="Verdana"/>
                <w:sz w:val="18"/>
                <w:szCs w:val="18"/>
              </w:rPr>
              <w:t>Previews</w:t>
            </w:r>
            <w:proofErr w:type="spellEnd"/>
            <w:r w:rsidRPr="7ABC7D88" w:rsidR="7ABC7D88">
              <w:rPr>
                <w:rFonts w:ascii="Verdana" w:hAnsi="Verdana" w:eastAsia="Verdana" w:cs="Verdana"/>
                <w:sz w:val="18"/>
                <w:szCs w:val="18"/>
              </w:rPr>
              <w:t xml:space="preserve"> (ISI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Knowledge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Science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Conference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Proceedings</w:t>
            </w:r>
            <w:proofErr w:type="spellEnd"/>
            <w:r w:rsidRPr="7ABC7D88" w:rsidR="7ABC7D88">
              <w:rPr>
                <w:rFonts w:ascii="Verdana" w:hAnsi="Verdana" w:eastAsia="Verdana" w:cs="Verdana"/>
                <w:sz w:val="18"/>
                <w:szCs w:val="18"/>
              </w:rPr>
              <w:t xml:space="preserve"> (ISI </w:t>
            </w:r>
            <w:proofErr w:type="spellStart"/>
            <w:r w:rsidRPr="7ABC7D88" w:rsidR="7ABC7D88">
              <w:rPr>
                <w:rFonts w:ascii="Verdana" w:hAnsi="Verdana" w:eastAsia="Verdana" w:cs="Verdana"/>
                <w:sz w:val="18"/>
                <w:szCs w:val="18"/>
              </w:rPr>
              <w:t>Web</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Knowledge</w:t>
            </w:r>
            <w:proofErr w:type="spellEnd"/>
            <w:r w:rsidRPr="7ABC7D88" w:rsidR="7ABC7D88">
              <w:rPr>
                <w:rFonts w:ascii="Verdana" w:hAnsi="Verdana" w:eastAsia="Verdana" w:cs="Verdana"/>
                <w:sz w:val="18"/>
                <w:szCs w:val="18"/>
              </w:rPr>
              <w:t>), LILACS (BIREME).</w:t>
            </w:r>
          </w:p>
          <w:p w:rsidR="7ABC7D88" w:rsidRDefault="7ABC7D88" w14:paraId="3EF0D7B4" w14:textId="499E1207">
            <w:proofErr w:type="spellStart"/>
            <w:r w:rsidRPr="7ABC7D88" w:rsidR="7ABC7D88">
              <w:rPr>
                <w:rFonts w:ascii="Verdana" w:hAnsi="Verdana" w:eastAsia="Verdana" w:cs="Verdana"/>
                <w:sz w:val="18"/>
                <w:szCs w:val="18"/>
              </w:rPr>
              <w:t>From</w:t>
            </w:r>
            <w:proofErr w:type="spellEnd"/>
            <w:r w:rsidRPr="7ABC7D88" w:rsidR="7ABC7D88">
              <w:rPr>
                <w:rFonts w:ascii="Verdana" w:hAnsi="Verdana" w:eastAsia="Verdana" w:cs="Verdana"/>
                <w:sz w:val="18"/>
                <w:szCs w:val="18"/>
              </w:rPr>
              <w:t xml:space="preserve"> 16,144 </w:t>
            </w:r>
            <w:proofErr w:type="spellStart"/>
            <w:r w:rsidRPr="7ABC7D88" w:rsidR="7ABC7D88">
              <w:rPr>
                <w:rFonts w:ascii="Verdana" w:hAnsi="Verdana" w:eastAsia="Verdana" w:cs="Verdana"/>
                <w:sz w:val="18"/>
                <w:szCs w:val="18"/>
              </w:rPr>
              <w:t>citations</w:t>
            </w:r>
            <w:proofErr w:type="spellEnd"/>
            <w:r w:rsidRPr="7ABC7D88" w:rsidR="7ABC7D88">
              <w:rPr>
                <w:rFonts w:ascii="Verdana" w:hAnsi="Verdana" w:eastAsia="Verdana" w:cs="Verdana"/>
                <w:sz w:val="18"/>
                <w:szCs w:val="18"/>
              </w:rPr>
              <w:t xml:space="preserve">, 71 </w:t>
            </w:r>
            <w:proofErr w:type="spellStart"/>
            <w:r w:rsidRPr="7ABC7D88" w:rsidR="7ABC7D88">
              <w:rPr>
                <w:rFonts w:ascii="Verdana" w:hAnsi="Verdana" w:eastAsia="Verdana" w:cs="Verdana"/>
                <w:sz w:val="18"/>
                <w:szCs w:val="18"/>
              </w:rPr>
              <w:t>papers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described</w:t>
            </w:r>
            <w:proofErr w:type="spellEnd"/>
            <w:r w:rsidRPr="7ABC7D88" w:rsidR="7ABC7D88">
              <w:rPr>
                <w:rFonts w:ascii="Verdana" w:hAnsi="Verdana" w:eastAsia="Verdana" w:cs="Verdana"/>
                <w:sz w:val="18"/>
                <w:szCs w:val="18"/>
              </w:rPr>
              <w:t xml:space="preserve"> IQCODE test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included</w:t>
            </w:r>
            <w:proofErr w:type="spellEnd"/>
            <w:r w:rsidRPr="7ABC7D88" w:rsidR="7ABC7D88">
              <w:rPr>
                <w:rFonts w:ascii="Verdana" w:hAnsi="Verdana" w:eastAsia="Verdana" w:cs="Verdana"/>
                <w:sz w:val="18"/>
                <w:szCs w:val="18"/>
              </w:rPr>
              <w:t xml:space="preserve"> 10 </w:t>
            </w:r>
            <w:proofErr w:type="spellStart"/>
            <w:r w:rsidRPr="7ABC7D88" w:rsidR="7ABC7D88">
              <w:rPr>
                <w:rFonts w:ascii="Verdana" w:hAnsi="Verdana" w:eastAsia="Verdana" w:cs="Verdana"/>
                <w:sz w:val="18"/>
                <w:szCs w:val="18"/>
              </w:rPr>
              <w:t>papers</w:t>
            </w:r>
            <w:proofErr w:type="spellEnd"/>
            <w:r w:rsidRPr="7ABC7D88" w:rsidR="7ABC7D88">
              <w:rPr>
                <w:rFonts w:ascii="Verdana" w:hAnsi="Verdana" w:eastAsia="Verdana" w:cs="Verdana"/>
                <w:sz w:val="18"/>
                <w:szCs w:val="18"/>
              </w:rPr>
              <w:t xml:space="preserve"> (11 </w:t>
            </w:r>
            <w:proofErr w:type="spellStart"/>
            <w:r w:rsidRPr="7ABC7D88" w:rsidR="7ABC7D88">
              <w:rPr>
                <w:rFonts w:ascii="Verdana" w:hAnsi="Verdana" w:eastAsia="Verdana" w:cs="Verdana"/>
                <w:sz w:val="18"/>
                <w:szCs w:val="18"/>
              </w:rPr>
              <w:t>independent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datasets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representing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data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from</w:t>
            </w:r>
            <w:proofErr w:type="spellEnd"/>
            <w:r w:rsidRPr="7ABC7D88" w:rsidR="7ABC7D88">
              <w:rPr>
                <w:rFonts w:ascii="Verdana" w:hAnsi="Verdana" w:eastAsia="Verdana" w:cs="Verdana"/>
                <w:sz w:val="18"/>
                <w:szCs w:val="18"/>
              </w:rPr>
              <w:t xml:space="preserve"> 2644 </w:t>
            </w:r>
            <w:proofErr w:type="spellStart"/>
            <w:r w:rsidRPr="7ABC7D88" w:rsidR="7ABC7D88">
              <w:rPr>
                <w:rFonts w:ascii="Verdana" w:hAnsi="Verdana" w:eastAsia="Verdana" w:cs="Verdana"/>
                <w:sz w:val="18"/>
                <w:szCs w:val="18"/>
              </w:rPr>
              <w:t>individuals</w:t>
            </w:r>
            <w:proofErr w:type="spellEnd"/>
            <w:r w:rsidRPr="7ABC7D88" w:rsidR="7ABC7D88">
              <w:rPr>
                <w:rFonts w:ascii="Verdana" w:hAnsi="Verdana" w:eastAsia="Verdana" w:cs="Verdana"/>
                <w:sz w:val="18"/>
                <w:szCs w:val="18"/>
              </w:rPr>
              <w:t xml:space="preserve"> (n = 379 (14%)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dementia</w:t>
            </w:r>
            <w:proofErr w:type="spellEnd"/>
            <w:r w:rsidRPr="7ABC7D88" w:rsidR="7ABC7D88">
              <w:rPr>
                <w:rFonts w:ascii="Verdana" w:hAnsi="Verdana" w:eastAsia="Verdana" w:cs="Verdana"/>
                <w:sz w:val="18"/>
                <w:szCs w:val="18"/>
              </w:rPr>
              <w:t xml:space="preserve">). </w:t>
            </w:r>
          </w:p>
          <w:p w:rsidR="7ABC7D88" w:rsidRDefault="7ABC7D88" w14:paraId="380501B5" w14:textId="56826F34">
            <w:proofErr w:type="spellStart"/>
            <w:r w:rsidRPr="7ABC7D88" w:rsidR="7ABC7D88">
              <w:rPr>
                <w:rFonts w:ascii="Verdana" w:hAnsi="Verdana" w:eastAsia="Verdana" w:cs="Verdana"/>
                <w:sz w:val="18"/>
                <w:szCs w:val="18"/>
              </w:rPr>
              <w:t>Published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data</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suggest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if</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IQCODE </w:t>
            </w:r>
            <w:proofErr w:type="spellStart"/>
            <w:r w:rsidRPr="7ABC7D88" w:rsidR="7ABC7D88">
              <w:rPr>
                <w:rFonts w:ascii="Verdana" w:hAnsi="Verdana" w:eastAsia="Verdana" w:cs="Verdana"/>
                <w:sz w:val="18"/>
                <w:szCs w:val="18"/>
              </w:rPr>
              <w:t>for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community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dwelling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older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adults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16 </w:t>
            </w:r>
            <w:proofErr w:type="spellStart"/>
            <w:r w:rsidRPr="7ABC7D88" w:rsidR="7ABC7D88">
              <w:rPr>
                <w:rFonts w:ascii="Verdana" w:hAnsi="Verdana" w:eastAsia="Verdana" w:cs="Verdana"/>
                <w:sz w:val="18"/>
                <w:szCs w:val="18"/>
              </w:rPr>
              <w:t>item</w:t>
            </w:r>
            <w:proofErr w:type="spellEnd"/>
            <w:r w:rsidRPr="7ABC7D88" w:rsidR="7ABC7D88">
              <w:rPr>
                <w:rFonts w:ascii="Verdana" w:hAnsi="Verdana" w:eastAsia="Verdana" w:cs="Verdana"/>
                <w:sz w:val="18"/>
                <w:szCs w:val="18"/>
              </w:rPr>
              <w:t xml:space="preserve"> IQCODE </w:t>
            </w:r>
            <w:proofErr w:type="spellStart"/>
            <w:r w:rsidRPr="7ABC7D88" w:rsidR="7ABC7D88">
              <w:rPr>
                <w:rFonts w:ascii="Verdana" w:hAnsi="Verdana" w:eastAsia="Verdana" w:cs="Verdana"/>
                <w:sz w:val="18"/>
                <w:szCs w:val="18"/>
              </w:rPr>
              <w:t>may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preferable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traditional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scale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due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to</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lesser</w:t>
            </w:r>
            <w:proofErr w:type="spellEnd"/>
            <w:r w:rsidRPr="7ABC7D88" w:rsidR="7ABC7D88">
              <w:rPr>
                <w:rFonts w:ascii="Verdana" w:hAnsi="Verdana" w:eastAsia="Verdana" w:cs="Verdana"/>
                <w:sz w:val="18"/>
                <w:szCs w:val="18"/>
              </w:rPr>
              <w:t xml:space="preserve"> test </w:t>
            </w:r>
            <w:proofErr w:type="spellStart"/>
            <w:r w:rsidRPr="7ABC7D88" w:rsidR="7ABC7D88">
              <w:rPr>
                <w:rFonts w:ascii="Verdana" w:hAnsi="Verdana" w:eastAsia="Verdana" w:cs="Verdana"/>
                <w:sz w:val="18"/>
                <w:szCs w:val="18"/>
              </w:rPr>
              <w:t>burden</w:t>
            </w:r>
            <w:proofErr w:type="spellEnd"/>
            <w:r w:rsidRPr="7ABC7D88" w:rsidR="7ABC7D88">
              <w:rPr>
                <w:rFonts w:ascii="Verdana" w:hAnsi="Verdana" w:eastAsia="Verdana" w:cs="Verdana"/>
                <w:sz w:val="18"/>
                <w:szCs w:val="18"/>
              </w:rPr>
              <w:t xml:space="preserve"> and no </w:t>
            </w:r>
            <w:proofErr w:type="spellStart"/>
            <w:r w:rsidRPr="7ABC7D88" w:rsidR="7ABC7D88">
              <w:rPr>
                <w:rFonts w:ascii="Verdana" w:hAnsi="Verdana" w:eastAsia="Verdana" w:cs="Verdana"/>
                <w:sz w:val="18"/>
                <w:szCs w:val="18"/>
              </w:rPr>
              <w:t>obvious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difference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Although</w:t>
            </w:r>
            <w:proofErr w:type="spellEnd"/>
            <w:r w:rsidRPr="7ABC7D88" w:rsidR="7ABC7D88">
              <w:rPr>
                <w:rFonts w:ascii="Verdana" w:hAnsi="Verdana" w:eastAsia="Verdana" w:cs="Verdana"/>
                <w:sz w:val="18"/>
                <w:szCs w:val="18"/>
              </w:rPr>
              <w:t xml:space="preserve"> IQCODE test </w:t>
            </w:r>
            <w:proofErr w:type="spellStart"/>
            <w:r w:rsidRPr="7ABC7D88" w:rsidR="7ABC7D88">
              <w:rPr>
                <w:rFonts w:ascii="Verdana" w:hAnsi="Verdana" w:eastAsia="Verdana" w:cs="Verdana"/>
                <w:sz w:val="18"/>
                <w:szCs w:val="18"/>
              </w:rPr>
              <w:t>accuracy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w:t>
            </w:r>
            <w:proofErr w:type="spellEnd"/>
            <w:r w:rsidRPr="7ABC7D88" w:rsidR="7ABC7D88">
              <w:rPr>
                <w:rFonts w:ascii="Verdana" w:hAnsi="Verdana" w:eastAsia="Verdana" w:cs="Verdana"/>
                <w:sz w:val="18"/>
                <w:szCs w:val="18"/>
              </w:rPr>
              <w:t xml:space="preserve"> in a range </w:t>
            </w:r>
            <w:proofErr w:type="spellStart"/>
            <w:r w:rsidRPr="7ABC7D88" w:rsidR="7ABC7D88">
              <w:rPr>
                <w:rFonts w:ascii="Verdana" w:hAnsi="Verdana" w:eastAsia="Verdana" w:cs="Verdana"/>
                <w:sz w:val="18"/>
                <w:szCs w:val="18"/>
              </w:rPr>
              <w:t>that</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many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consider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reasonable</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context</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community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or</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population</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settings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use</w:t>
            </w:r>
            <w:proofErr w:type="spellEnd"/>
            <w:r w:rsidRPr="7ABC7D88" w:rsidR="7ABC7D88">
              <w:rPr>
                <w:rFonts w:ascii="Verdana" w:hAnsi="Verdana" w:eastAsia="Verdana" w:cs="Verdana"/>
                <w:sz w:val="18"/>
                <w:szCs w:val="18"/>
              </w:rPr>
              <w:t xml:space="preserve"> of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IQCODE </w:t>
            </w:r>
            <w:proofErr w:type="spellStart"/>
            <w:r w:rsidRPr="7ABC7D88" w:rsidR="7ABC7D88">
              <w:rPr>
                <w:rFonts w:ascii="Verdana" w:hAnsi="Verdana" w:eastAsia="Verdana" w:cs="Verdana"/>
                <w:sz w:val="18"/>
                <w:szCs w:val="18"/>
              </w:rPr>
              <w:t>alone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would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result</w:t>
            </w:r>
            <w:proofErr w:type="spellEnd"/>
            <w:r w:rsidRPr="7ABC7D88" w:rsidR="7ABC7D88">
              <w:rPr>
                <w:rFonts w:ascii="Verdana" w:hAnsi="Verdana" w:eastAsia="Verdana" w:cs="Verdana"/>
                <w:sz w:val="18"/>
                <w:szCs w:val="18"/>
              </w:rPr>
              <w:t xml:space="preserve"> in </w:t>
            </w:r>
            <w:proofErr w:type="spellStart"/>
            <w:r w:rsidRPr="7ABC7D88" w:rsidR="7ABC7D88">
              <w:rPr>
                <w:rFonts w:ascii="Verdana" w:hAnsi="Verdana" w:eastAsia="Verdana" w:cs="Verdana"/>
                <w:sz w:val="18"/>
                <w:szCs w:val="18"/>
              </w:rPr>
              <w:t>substantial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misdiagnosis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false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reassurance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Across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included</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studies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there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were</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issues</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with</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heterogeneity</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several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potential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biases</w:t>
            </w:r>
            <w:proofErr w:type="spellEnd"/>
            <w:r w:rsidRPr="7ABC7D88" w:rsidR="7ABC7D88">
              <w:rPr>
                <w:rFonts w:ascii="Verdana" w:hAnsi="Verdana" w:eastAsia="Verdana" w:cs="Verdana"/>
                <w:sz w:val="18"/>
                <w:szCs w:val="18"/>
              </w:rPr>
              <w:t xml:space="preserve"> and </w:t>
            </w:r>
            <w:proofErr w:type="spellStart"/>
            <w:r w:rsidRPr="7ABC7D88" w:rsidR="7ABC7D88">
              <w:rPr>
                <w:rFonts w:ascii="Verdana" w:hAnsi="Verdana" w:eastAsia="Verdana" w:cs="Verdana"/>
                <w:sz w:val="18"/>
                <w:szCs w:val="18"/>
              </w:rPr>
              <w:t>suboptimal</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reporting</w:t>
            </w:r>
            <w:proofErr w:type="spellEnd"/>
            <w:r w:rsidRPr="7ABC7D88" w:rsidR="7ABC7D88">
              <w:rPr>
                <w:rFonts w:ascii="Verdana" w:hAnsi="Verdana" w:eastAsia="Verdana" w:cs="Verdana"/>
                <w:sz w:val="18"/>
                <w:szCs w:val="18"/>
              </w:rPr>
              <w:t xml:space="preserve"> </w:t>
            </w:r>
            <w:proofErr w:type="spellStart"/>
            <w:r w:rsidRPr="7ABC7D88" w:rsidR="7ABC7D88">
              <w:rPr>
                <w:rFonts w:ascii="Verdana" w:hAnsi="Verdana" w:eastAsia="Verdana" w:cs="Verdana"/>
                <w:sz w:val="18"/>
                <w:szCs w:val="18"/>
              </w:rPr>
              <w:t>quality</w:t>
            </w:r>
            <w:proofErr w:type="spellEnd"/>
            <w:r w:rsidRPr="7ABC7D88" w:rsidR="7ABC7D88">
              <w:rPr>
                <w:rFonts w:ascii="Verdana" w:hAnsi="Verdana" w:eastAsia="Verdana" w:cs="Verdana"/>
                <w:sz w:val="18"/>
                <w:szCs w:val="18"/>
              </w:rPr>
              <w:t>.</w:t>
            </w:r>
          </w:p>
        </w:tc>
        <w:tc>
          <w:tcPr>
            <w:tcW w:w="3096" w:type="dxa"/>
            <w:shd w:val="clear" w:color="auto" w:fill="auto"/>
            <w:tcMar/>
          </w:tcPr>
          <w:p w:rsidR="7ABC7D88" w:rsidP="7ABC7D88" w:rsidRDefault="7ABC7D88" w14:paraId="73BBD92E" w14:textId="32286A7E">
            <w:pPr>
              <w:pStyle w:val="Normaallaad"/>
              <w:jc w:val="both"/>
            </w:pPr>
            <w:r w:rsidRPr="7ABC7D88" w:rsidR="7ABC7D88">
              <w:rPr>
                <w:rFonts w:ascii="Verdana" w:hAnsi="Verdana" w:eastAsia="Verdana" w:cs="Verdana"/>
                <w:b w:val="0"/>
                <w:bCs w:val="0"/>
                <w:sz w:val="18"/>
                <w:szCs w:val="18"/>
                <w:u w:val="none"/>
              </w:rPr>
              <w:t>10.</w:t>
            </w:r>
            <w:r w:rsidRPr="7ABC7D88" w:rsidR="7ABC7D88">
              <w:rPr>
                <w:rFonts w:ascii="Verdana" w:hAnsi="Verdana" w:eastAsia="Verdana" w:cs="Verdana"/>
                <w:b w:val="0"/>
                <w:bCs w:val="0"/>
                <w:sz w:val="18"/>
                <w:szCs w:val="18"/>
                <w:u w:val="none"/>
              </w:rPr>
              <w:t xml:space="preserve">Quinn TJ, </w:t>
            </w:r>
            <w:proofErr w:type="spellStart"/>
            <w:r w:rsidRPr="7ABC7D88" w:rsidR="7ABC7D88">
              <w:rPr>
                <w:rFonts w:ascii="Verdana" w:hAnsi="Verdana" w:eastAsia="Verdana" w:cs="Verdana"/>
                <w:b w:val="0"/>
                <w:bCs w:val="0"/>
                <w:sz w:val="18"/>
                <w:szCs w:val="18"/>
                <w:u w:val="none"/>
              </w:rPr>
              <w:t>Fearon</w:t>
            </w:r>
            <w:proofErr w:type="spellEnd"/>
            <w:r w:rsidRPr="7ABC7D88" w:rsidR="7ABC7D88">
              <w:rPr>
                <w:rFonts w:ascii="Verdana" w:hAnsi="Verdana" w:eastAsia="Verdana" w:cs="Verdana"/>
                <w:b w:val="0"/>
                <w:bCs w:val="0"/>
                <w:sz w:val="18"/>
                <w:szCs w:val="18"/>
                <w:u w:val="none"/>
              </w:rPr>
              <w:t xml:space="preserve"> P, </w:t>
            </w:r>
            <w:proofErr w:type="spellStart"/>
            <w:r w:rsidRPr="7ABC7D88" w:rsidR="7ABC7D88">
              <w:rPr>
                <w:rFonts w:ascii="Verdana" w:hAnsi="Verdana" w:eastAsia="Verdana" w:cs="Verdana"/>
                <w:b w:val="0"/>
                <w:bCs w:val="0"/>
                <w:sz w:val="18"/>
                <w:szCs w:val="18"/>
                <w:u w:val="none"/>
              </w:rPr>
              <w:t>Noel-Storr</w:t>
            </w:r>
            <w:proofErr w:type="spellEnd"/>
            <w:r w:rsidRPr="7ABC7D88" w:rsidR="7ABC7D88">
              <w:rPr>
                <w:rFonts w:ascii="Verdana" w:hAnsi="Verdana" w:eastAsia="Verdana" w:cs="Verdana"/>
                <w:b w:val="0"/>
                <w:bCs w:val="0"/>
                <w:sz w:val="18"/>
                <w:szCs w:val="18"/>
                <w:u w:val="none"/>
              </w:rPr>
              <w:t xml:space="preserve"> AH, </w:t>
            </w:r>
            <w:proofErr w:type="spellStart"/>
            <w:r w:rsidRPr="7ABC7D88" w:rsidR="7ABC7D88">
              <w:rPr>
                <w:rFonts w:ascii="Verdana" w:hAnsi="Verdana" w:eastAsia="Verdana" w:cs="Verdana"/>
                <w:b w:val="0"/>
                <w:bCs w:val="0"/>
                <w:sz w:val="18"/>
                <w:szCs w:val="18"/>
                <w:u w:val="none"/>
              </w:rPr>
              <w:t>Young</w:t>
            </w:r>
            <w:proofErr w:type="spellEnd"/>
            <w:r w:rsidRPr="7ABC7D88" w:rsidR="7ABC7D88">
              <w:rPr>
                <w:rFonts w:ascii="Verdana" w:hAnsi="Verdana" w:eastAsia="Verdana" w:cs="Verdana"/>
                <w:b w:val="0"/>
                <w:bCs w:val="0"/>
                <w:sz w:val="18"/>
                <w:szCs w:val="18"/>
                <w:u w:val="none"/>
              </w:rPr>
              <w:t xml:space="preserve"> C, </w:t>
            </w:r>
            <w:proofErr w:type="spellStart"/>
            <w:r w:rsidRPr="7ABC7D88" w:rsidR="7ABC7D88">
              <w:rPr>
                <w:rFonts w:ascii="Verdana" w:hAnsi="Verdana" w:eastAsia="Verdana" w:cs="Verdana"/>
                <w:b w:val="0"/>
                <w:bCs w:val="0"/>
                <w:sz w:val="18"/>
                <w:szCs w:val="18"/>
                <w:u w:val="none"/>
              </w:rPr>
              <w:t>McShane</w:t>
            </w:r>
            <w:proofErr w:type="spellEnd"/>
            <w:r w:rsidRPr="7ABC7D88" w:rsidR="7ABC7D88">
              <w:rPr>
                <w:rFonts w:ascii="Verdana" w:hAnsi="Verdana" w:eastAsia="Verdana" w:cs="Verdana"/>
                <w:b w:val="0"/>
                <w:bCs w:val="0"/>
                <w:sz w:val="18"/>
                <w:szCs w:val="18"/>
                <w:u w:val="none"/>
              </w:rPr>
              <w:t xml:space="preserve"> R, </w:t>
            </w:r>
            <w:proofErr w:type="spellStart"/>
            <w:r w:rsidRPr="7ABC7D88" w:rsidR="7ABC7D88">
              <w:rPr>
                <w:rFonts w:ascii="Verdana" w:hAnsi="Verdana" w:eastAsia="Verdana" w:cs="Verdana"/>
                <w:b w:val="0"/>
                <w:bCs w:val="0"/>
                <w:sz w:val="18"/>
                <w:szCs w:val="18"/>
                <w:u w:val="none"/>
              </w:rPr>
              <w:t>Stott</w:t>
            </w:r>
            <w:proofErr w:type="spellEnd"/>
            <w:r w:rsidRPr="7ABC7D88" w:rsidR="7ABC7D88">
              <w:rPr>
                <w:rFonts w:ascii="Verdana" w:hAnsi="Verdana" w:eastAsia="Verdana" w:cs="Verdana"/>
                <w:b w:val="0"/>
                <w:bCs w:val="0"/>
                <w:sz w:val="18"/>
                <w:szCs w:val="18"/>
                <w:u w:val="none"/>
              </w:rPr>
              <w:t xml:space="preserve"> DJ. </w:t>
            </w:r>
            <w:proofErr w:type="spellStart"/>
            <w:r w:rsidRPr="7ABC7D88" w:rsidR="7ABC7D88">
              <w:rPr>
                <w:rFonts w:ascii="Verdana" w:hAnsi="Verdana" w:eastAsia="Verdana" w:cs="Verdana"/>
                <w:b w:val="0"/>
                <w:bCs w:val="0"/>
                <w:sz w:val="18"/>
                <w:szCs w:val="18"/>
                <w:u w:val="none"/>
              </w:rPr>
              <w:t>Informant</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Questionnaire</w:t>
            </w:r>
            <w:proofErr w:type="spellEnd"/>
            <w:r w:rsidRPr="7ABC7D88" w:rsidR="7ABC7D88">
              <w:rPr>
                <w:rFonts w:ascii="Verdana" w:hAnsi="Verdana" w:eastAsia="Verdana" w:cs="Verdana"/>
                <w:b w:val="0"/>
                <w:bCs w:val="0"/>
                <w:sz w:val="18"/>
                <w:szCs w:val="18"/>
                <w:u w:val="none"/>
              </w:rPr>
              <w:t xml:space="preserve"> on </w:t>
            </w:r>
            <w:proofErr w:type="spellStart"/>
            <w:r w:rsidRPr="7ABC7D88" w:rsidR="7ABC7D88">
              <w:rPr>
                <w:rFonts w:ascii="Verdana" w:hAnsi="Verdana" w:eastAsia="Verdana" w:cs="Verdana"/>
                <w:b w:val="0"/>
                <w:bCs w:val="0"/>
                <w:sz w:val="18"/>
                <w:szCs w:val="18"/>
                <w:u w:val="none"/>
              </w:rPr>
              <w:t>Cognitive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Decline</w:t>
            </w:r>
            <w:proofErr w:type="spellEnd"/>
            <w:r w:rsidRPr="7ABC7D88" w:rsidR="7ABC7D88">
              <w:rPr>
                <w:rFonts w:ascii="Verdana" w:hAnsi="Verdana" w:eastAsia="Verdana" w:cs="Verdana"/>
                <w:b w:val="0"/>
                <w:bCs w:val="0"/>
                <w:sz w:val="18"/>
                <w:szCs w:val="18"/>
                <w:u w:val="none"/>
              </w:rPr>
              <w:t xml:space="preserve"> in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Elderly</w:t>
            </w:r>
            <w:proofErr w:type="spellEnd"/>
            <w:r w:rsidRPr="7ABC7D88" w:rsidR="7ABC7D88">
              <w:rPr>
                <w:rFonts w:ascii="Verdana" w:hAnsi="Verdana" w:eastAsia="Verdana" w:cs="Verdana"/>
                <w:b w:val="0"/>
                <w:bCs w:val="0"/>
                <w:sz w:val="18"/>
                <w:szCs w:val="18"/>
                <w:u w:val="none"/>
              </w:rPr>
              <w:t xml:space="preserve"> (IQCODE) </w:t>
            </w:r>
            <w:proofErr w:type="spellStart"/>
            <w:r w:rsidRPr="7ABC7D88" w:rsidR="7ABC7D88">
              <w:rPr>
                <w:rFonts w:ascii="Verdana" w:hAnsi="Verdana" w:eastAsia="Verdana" w:cs="Verdana"/>
                <w:b w:val="0"/>
                <w:bCs w:val="0"/>
                <w:sz w:val="18"/>
                <w:szCs w:val="18"/>
                <w:u w:val="none"/>
              </w:rPr>
              <w:t>for</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the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diagnosis</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dementia</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within</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community</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dwelling</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populations</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Cochrane</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Database</w:t>
            </w:r>
            <w:proofErr w:type="spellEnd"/>
            <w:r w:rsidRPr="7ABC7D88" w:rsidR="7ABC7D88">
              <w:rPr>
                <w:rFonts w:ascii="Verdana" w:hAnsi="Verdana" w:eastAsia="Verdana" w:cs="Verdana"/>
                <w:b w:val="0"/>
                <w:bCs w:val="0"/>
                <w:sz w:val="18"/>
                <w:szCs w:val="18"/>
                <w:u w:val="none"/>
              </w:rPr>
              <w:t xml:space="preserve"> of </w:t>
            </w:r>
            <w:proofErr w:type="spellStart"/>
            <w:r w:rsidRPr="7ABC7D88" w:rsidR="7ABC7D88">
              <w:rPr>
                <w:rFonts w:ascii="Verdana" w:hAnsi="Verdana" w:eastAsia="Verdana" w:cs="Verdana"/>
                <w:b w:val="0"/>
                <w:bCs w:val="0"/>
                <w:sz w:val="18"/>
                <w:szCs w:val="18"/>
                <w:u w:val="none"/>
              </w:rPr>
              <w:t>Systematic</w:t>
            </w:r>
            <w:proofErr w:type="spellEnd"/>
            <w:r w:rsidRPr="7ABC7D88" w:rsidR="7ABC7D88">
              <w:rPr>
                <w:rFonts w:ascii="Verdana" w:hAnsi="Verdana" w:eastAsia="Verdana" w:cs="Verdana"/>
                <w:b w:val="0"/>
                <w:bCs w:val="0"/>
                <w:sz w:val="18"/>
                <w:szCs w:val="18"/>
                <w:u w:val="none"/>
              </w:rPr>
              <w:t xml:space="preserve"> </w:t>
            </w:r>
            <w:proofErr w:type="spellStart"/>
            <w:r w:rsidRPr="7ABC7D88" w:rsidR="7ABC7D88">
              <w:rPr>
                <w:rFonts w:ascii="Verdana" w:hAnsi="Verdana" w:eastAsia="Verdana" w:cs="Verdana"/>
                <w:b w:val="0"/>
                <w:bCs w:val="0"/>
                <w:sz w:val="18"/>
                <w:szCs w:val="18"/>
                <w:u w:val="none"/>
              </w:rPr>
              <w:t>Reviews</w:t>
            </w:r>
            <w:proofErr w:type="spellEnd"/>
            <w:r w:rsidRPr="7ABC7D88" w:rsidR="7ABC7D88">
              <w:rPr>
                <w:rFonts w:ascii="Verdana" w:hAnsi="Verdana" w:eastAsia="Verdana" w:cs="Verdana"/>
                <w:b w:val="0"/>
                <w:bCs w:val="0"/>
                <w:sz w:val="18"/>
                <w:szCs w:val="18"/>
                <w:u w:val="none"/>
              </w:rPr>
              <w:t xml:space="preserve"> 2014, </w:t>
            </w:r>
            <w:proofErr w:type="spellStart"/>
            <w:r w:rsidRPr="7ABC7D88" w:rsidR="7ABC7D88">
              <w:rPr>
                <w:rFonts w:ascii="Verdana" w:hAnsi="Verdana" w:eastAsia="Verdana" w:cs="Verdana"/>
                <w:b w:val="0"/>
                <w:bCs w:val="0"/>
                <w:sz w:val="18"/>
                <w:szCs w:val="18"/>
                <w:u w:val="none"/>
              </w:rPr>
              <w:t>Issue</w:t>
            </w:r>
            <w:proofErr w:type="spellEnd"/>
            <w:r w:rsidRPr="7ABC7D88" w:rsidR="7ABC7D88">
              <w:rPr>
                <w:rFonts w:ascii="Verdana" w:hAnsi="Verdana" w:eastAsia="Verdana" w:cs="Verdana"/>
                <w:b w:val="0"/>
                <w:bCs w:val="0"/>
                <w:sz w:val="18"/>
                <w:szCs w:val="18"/>
                <w:u w:val="none"/>
              </w:rPr>
              <w:t xml:space="preserve"> 4.</w:t>
            </w:r>
          </w:p>
        </w:tc>
      </w:tr>
    </w:tbl>
    <w:p xmlns:wp14="http://schemas.microsoft.com/office/word/2010/wordml" w:rsidR="003B0510" w:rsidP="003E1B67" w:rsidRDefault="003B0510" w14:paraId="144D00AC" wp14:textId="5B7E958C">
      <w:pPr>
        <w:rPr>
          <w:lang w:val="en-US"/>
        </w:rPr>
      </w:pPr>
    </w:p>
    <w:p xmlns:wp14="http://schemas.microsoft.com/office/word/2010/wordml" w:rsidR="002D065A" w:rsidP="003E1B67" w:rsidRDefault="002D065A" w14:paraId="0AE4B7CB" wp14:textId="77777777">
      <w:pPr>
        <w:rPr>
          <w:lang w:val="en-US"/>
        </w:rPr>
      </w:pPr>
    </w:p>
    <w:p xmlns:wp14="http://schemas.microsoft.com/office/word/2010/wordml" w:rsidRPr="00042FF2" w:rsidR="002D065A" w:rsidP="002D065A" w:rsidRDefault="002D065A" w14:paraId="7D5635DD" wp14:textId="77777777" wp14:noSpellErr="1">
      <w:pPr>
        <w:jc w:val="both"/>
        <w:rPr>
          <w:rFonts w:ascii="Verdana" w:hAnsi="Verdana"/>
          <w:b/>
          <w:color w:val="000080"/>
          <w:sz w:val="18"/>
          <w:szCs w:val="18"/>
        </w:rPr>
      </w:pPr>
      <w:r w:rsidRPr="3FAFA00B" w:rsidR="3FAFA00B">
        <w:rPr>
          <w:rFonts w:ascii="Verdana" w:hAnsi="Verdana" w:eastAsia="Verdana" w:cs="Verdana"/>
          <w:b w:val="1"/>
          <w:bCs w:val="1"/>
          <w:color w:val="000080"/>
          <w:sz w:val="18"/>
          <w:szCs w:val="18"/>
        </w:rPr>
        <w:t>Ravijuhendid</w:t>
      </w:r>
    </w:p>
    <w:p w:rsidR="31897A2A" w:rsidP="31897A2A" w:rsidRDefault="31897A2A" w14:paraId="79114BC0" w14:textId="6A699A8B">
      <w:pPr>
        <w:jc w:val="both"/>
      </w:pPr>
      <w:r w:rsidRPr="2E9C8D5A" w:rsidR="2E9C8D5A">
        <w:rPr>
          <w:rFonts w:ascii="Verdana" w:hAnsi="Verdana" w:eastAsia="Verdana" w:cs="Verdana"/>
          <w:b w:val="1"/>
          <w:bCs w:val="1"/>
          <w:sz w:val="18"/>
          <w:szCs w:val="18"/>
          <w:u w:val="single"/>
          <w:lang w:val="et-EE"/>
        </w:rPr>
        <w:t xml:space="preserve">1.EFNS </w:t>
      </w:r>
      <w:proofErr w:type="spellStart"/>
      <w:r w:rsidRPr="2E9C8D5A" w:rsidR="2E9C8D5A">
        <w:rPr>
          <w:rFonts w:ascii="Verdana" w:hAnsi="Verdana" w:eastAsia="Verdana" w:cs="Verdana"/>
          <w:b w:val="1"/>
          <w:bCs w:val="1"/>
          <w:sz w:val="18"/>
          <w:szCs w:val="18"/>
          <w:u w:val="single"/>
          <w:lang w:val="et-EE"/>
        </w:rPr>
        <w:t>guidelines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for</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the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diagnosis</w:t>
      </w:r>
      <w:proofErr w:type="spellEnd"/>
      <w:r w:rsidRPr="2E9C8D5A" w:rsidR="2E9C8D5A">
        <w:rPr>
          <w:rFonts w:ascii="Verdana" w:hAnsi="Verdana" w:eastAsia="Verdana" w:cs="Verdana"/>
          <w:b w:val="1"/>
          <w:bCs w:val="1"/>
          <w:sz w:val="18"/>
          <w:szCs w:val="18"/>
          <w:u w:val="single"/>
          <w:lang w:val="et-EE"/>
        </w:rPr>
        <w:t xml:space="preserve"> and </w:t>
      </w:r>
      <w:proofErr w:type="spellStart"/>
      <w:r w:rsidRPr="2E9C8D5A" w:rsidR="2E9C8D5A">
        <w:rPr>
          <w:rFonts w:ascii="Verdana" w:hAnsi="Verdana" w:eastAsia="Verdana" w:cs="Verdana"/>
          <w:b w:val="1"/>
          <w:bCs w:val="1"/>
          <w:sz w:val="18"/>
          <w:szCs w:val="18"/>
          <w:u w:val="single"/>
          <w:lang w:val="et-EE"/>
        </w:rPr>
        <w:t>management</w:t>
      </w:r>
      <w:proofErr w:type="spellEnd"/>
      <w:r w:rsidRPr="2E9C8D5A" w:rsidR="2E9C8D5A">
        <w:rPr>
          <w:rFonts w:ascii="Verdana" w:hAnsi="Verdana" w:eastAsia="Verdana" w:cs="Verdana"/>
          <w:b w:val="1"/>
          <w:bCs w:val="1"/>
          <w:sz w:val="18"/>
          <w:szCs w:val="18"/>
          <w:u w:val="single"/>
          <w:lang w:val="et-EE"/>
        </w:rPr>
        <w:t xml:space="preserve"> of </w:t>
      </w:r>
      <w:proofErr w:type="spellStart"/>
      <w:r w:rsidRPr="2E9C8D5A" w:rsidR="2E9C8D5A">
        <w:rPr>
          <w:rFonts w:ascii="Verdana" w:hAnsi="Verdana" w:eastAsia="Verdana" w:cs="Verdana"/>
          <w:b w:val="1"/>
          <w:bCs w:val="1"/>
          <w:sz w:val="18"/>
          <w:szCs w:val="18"/>
          <w:u w:val="single"/>
          <w:lang w:val="et-EE"/>
        </w:rPr>
        <w:t>Alzheimer's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disease</w:t>
      </w:r>
      <w:proofErr w:type="spellEnd"/>
      <w:r w:rsidRPr="2E9C8D5A" w:rsidR="2E9C8D5A">
        <w:rPr>
          <w:rFonts w:ascii="Verdana" w:hAnsi="Verdana" w:eastAsia="Verdana" w:cs="Verdana"/>
          <w:b w:val="1"/>
          <w:bCs w:val="1"/>
          <w:sz w:val="18"/>
          <w:szCs w:val="18"/>
          <w:u w:val="single"/>
          <w:lang w:val="et-EE"/>
        </w:rPr>
        <w:t xml:space="preserve">. J. </w:t>
      </w:r>
      <w:proofErr w:type="spellStart"/>
      <w:r w:rsidRPr="2E9C8D5A" w:rsidR="2E9C8D5A">
        <w:rPr>
          <w:rFonts w:ascii="Verdana" w:hAnsi="Verdana" w:eastAsia="Verdana" w:cs="Verdana"/>
          <w:b w:val="1"/>
          <w:bCs w:val="1"/>
          <w:sz w:val="18"/>
          <w:szCs w:val="18"/>
          <w:u w:val="single"/>
          <w:lang w:val="et-EE"/>
        </w:rPr>
        <w:t>Horta</w:t>
      </w:r>
      <w:proofErr w:type="spellEnd"/>
      <w:r w:rsidRPr="2E9C8D5A" w:rsidR="2E9C8D5A">
        <w:rPr>
          <w:rFonts w:ascii="Verdana" w:hAnsi="Verdana" w:eastAsia="Verdana" w:cs="Verdana"/>
          <w:b w:val="1"/>
          <w:bCs w:val="1"/>
          <w:sz w:val="18"/>
          <w:szCs w:val="18"/>
          <w:u w:val="single"/>
          <w:lang w:val="et-EE"/>
        </w:rPr>
        <w:t xml:space="preserve">, J. T. </w:t>
      </w:r>
      <w:proofErr w:type="spellStart"/>
      <w:r w:rsidRPr="2E9C8D5A" w:rsidR="2E9C8D5A">
        <w:rPr>
          <w:rFonts w:ascii="Verdana" w:hAnsi="Verdana" w:eastAsia="Verdana" w:cs="Verdana"/>
          <w:b w:val="1"/>
          <w:bCs w:val="1"/>
          <w:sz w:val="18"/>
          <w:szCs w:val="18"/>
          <w:u w:val="single"/>
          <w:lang w:val="et-EE"/>
        </w:rPr>
        <w:t>OBrienb</w:t>
      </w:r>
      <w:proofErr w:type="spellEnd"/>
      <w:r w:rsidRPr="2E9C8D5A" w:rsidR="2E9C8D5A">
        <w:rPr>
          <w:rFonts w:ascii="Verdana" w:hAnsi="Verdana" w:eastAsia="Verdana" w:cs="Verdana"/>
          <w:b w:val="1"/>
          <w:bCs w:val="1"/>
          <w:sz w:val="18"/>
          <w:szCs w:val="18"/>
          <w:u w:val="single"/>
          <w:lang w:val="et-EE"/>
        </w:rPr>
        <w:t xml:space="preserve">, G. </w:t>
      </w:r>
      <w:proofErr w:type="spellStart"/>
      <w:r w:rsidRPr="2E9C8D5A" w:rsidR="2E9C8D5A">
        <w:rPr>
          <w:rFonts w:ascii="Verdana" w:hAnsi="Verdana" w:eastAsia="Verdana" w:cs="Verdana"/>
          <w:b w:val="1"/>
          <w:bCs w:val="1"/>
          <w:sz w:val="18"/>
          <w:szCs w:val="18"/>
          <w:u w:val="single"/>
          <w:lang w:val="et-EE"/>
        </w:rPr>
        <w:t>Gainottic</w:t>
      </w:r>
      <w:proofErr w:type="spellEnd"/>
      <w:r w:rsidRPr="2E9C8D5A" w:rsidR="2E9C8D5A">
        <w:rPr>
          <w:rFonts w:ascii="Verdana" w:hAnsi="Verdana" w:eastAsia="Verdana" w:cs="Verdana"/>
          <w:b w:val="1"/>
          <w:bCs w:val="1"/>
          <w:sz w:val="18"/>
          <w:szCs w:val="18"/>
          <w:u w:val="single"/>
          <w:lang w:val="et-EE"/>
        </w:rPr>
        <w:t xml:space="preserve">, T. </w:t>
      </w:r>
      <w:proofErr w:type="spellStart"/>
      <w:r w:rsidRPr="2E9C8D5A" w:rsidR="2E9C8D5A">
        <w:rPr>
          <w:rFonts w:ascii="Verdana" w:hAnsi="Verdana" w:eastAsia="Verdana" w:cs="Verdana"/>
          <w:b w:val="1"/>
          <w:bCs w:val="1"/>
          <w:sz w:val="18"/>
          <w:szCs w:val="18"/>
          <w:u w:val="single"/>
          <w:lang w:val="et-EE"/>
        </w:rPr>
        <w:t>Pirttilad</w:t>
      </w:r>
      <w:proofErr w:type="spellEnd"/>
      <w:r w:rsidRPr="2E9C8D5A" w:rsidR="2E9C8D5A">
        <w:rPr>
          <w:rFonts w:ascii="Verdana" w:hAnsi="Verdana" w:eastAsia="Verdana" w:cs="Verdana"/>
          <w:b w:val="1"/>
          <w:bCs w:val="1"/>
          <w:sz w:val="18"/>
          <w:szCs w:val="18"/>
          <w:u w:val="single"/>
          <w:lang w:val="et-EE"/>
        </w:rPr>
        <w:t xml:space="preserve">,, B. O. </w:t>
      </w:r>
      <w:proofErr w:type="spellStart"/>
      <w:r w:rsidRPr="2E9C8D5A" w:rsidR="2E9C8D5A">
        <w:rPr>
          <w:rFonts w:ascii="Verdana" w:hAnsi="Verdana" w:eastAsia="Verdana" w:cs="Verdana"/>
          <w:b w:val="1"/>
          <w:bCs w:val="1"/>
          <w:sz w:val="18"/>
          <w:szCs w:val="18"/>
          <w:u w:val="single"/>
          <w:lang w:val="et-EE"/>
        </w:rPr>
        <w:t>Popescue</w:t>
      </w:r>
      <w:proofErr w:type="spellEnd"/>
      <w:r w:rsidRPr="2E9C8D5A" w:rsidR="2E9C8D5A">
        <w:rPr>
          <w:rFonts w:ascii="Verdana" w:hAnsi="Verdana" w:eastAsia="Verdana" w:cs="Verdana"/>
          <w:b w:val="1"/>
          <w:bCs w:val="1"/>
          <w:sz w:val="18"/>
          <w:szCs w:val="18"/>
          <w:u w:val="single"/>
          <w:lang w:val="et-EE"/>
        </w:rPr>
        <w:t xml:space="preserve">, I. </w:t>
      </w:r>
      <w:proofErr w:type="spellStart"/>
      <w:r w:rsidRPr="2E9C8D5A" w:rsidR="2E9C8D5A">
        <w:rPr>
          <w:rFonts w:ascii="Verdana" w:hAnsi="Verdana" w:eastAsia="Verdana" w:cs="Verdana"/>
          <w:b w:val="1"/>
          <w:bCs w:val="1"/>
          <w:sz w:val="18"/>
          <w:szCs w:val="18"/>
          <w:u w:val="single"/>
          <w:lang w:val="et-EE"/>
        </w:rPr>
        <w:t>Rektorovaf</w:t>
      </w:r>
      <w:proofErr w:type="spellEnd"/>
      <w:r w:rsidRPr="2E9C8D5A" w:rsidR="2E9C8D5A">
        <w:rPr>
          <w:rFonts w:ascii="Verdana" w:hAnsi="Verdana" w:eastAsia="Verdana" w:cs="Verdana"/>
          <w:b w:val="1"/>
          <w:bCs w:val="1"/>
          <w:sz w:val="18"/>
          <w:szCs w:val="18"/>
          <w:u w:val="single"/>
          <w:lang w:val="et-EE"/>
        </w:rPr>
        <w:t xml:space="preserve">, S. </w:t>
      </w:r>
      <w:proofErr w:type="spellStart"/>
      <w:r w:rsidRPr="2E9C8D5A" w:rsidR="2E9C8D5A">
        <w:rPr>
          <w:rFonts w:ascii="Verdana" w:hAnsi="Verdana" w:eastAsia="Verdana" w:cs="Verdana"/>
          <w:b w:val="1"/>
          <w:bCs w:val="1"/>
          <w:sz w:val="18"/>
          <w:szCs w:val="18"/>
          <w:u w:val="single"/>
          <w:lang w:val="et-EE"/>
        </w:rPr>
        <w:t>Sorbig</w:t>
      </w:r>
      <w:proofErr w:type="spellEnd"/>
      <w:r w:rsidRPr="2E9C8D5A" w:rsidR="2E9C8D5A">
        <w:rPr>
          <w:rFonts w:ascii="Verdana" w:hAnsi="Verdana" w:eastAsia="Verdana" w:cs="Verdana"/>
          <w:b w:val="1"/>
          <w:bCs w:val="1"/>
          <w:sz w:val="18"/>
          <w:szCs w:val="18"/>
          <w:u w:val="single"/>
          <w:lang w:val="et-EE"/>
        </w:rPr>
        <w:t xml:space="preserve"> and P. </w:t>
      </w:r>
      <w:proofErr w:type="spellStart"/>
      <w:r w:rsidRPr="2E9C8D5A" w:rsidR="2E9C8D5A">
        <w:rPr>
          <w:rFonts w:ascii="Verdana" w:hAnsi="Verdana" w:eastAsia="Verdana" w:cs="Verdana"/>
          <w:b w:val="1"/>
          <w:bCs w:val="1"/>
          <w:sz w:val="18"/>
          <w:szCs w:val="18"/>
          <w:u w:val="single"/>
          <w:lang w:val="et-EE"/>
        </w:rPr>
        <w:t>Scheltensh</w:t>
      </w:r>
      <w:proofErr w:type="spellEnd"/>
      <w:r w:rsidRPr="2E9C8D5A" w:rsidR="2E9C8D5A">
        <w:rPr>
          <w:rFonts w:ascii="Verdana" w:hAnsi="Verdana" w:eastAsia="Verdana" w:cs="Verdana"/>
          <w:b w:val="1"/>
          <w:bCs w:val="1"/>
          <w:sz w:val="18"/>
          <w:szCs w:val="18"/>
          <w:u w:val="single"/>
          <w:lang w:val="et-EE"/>
        </w:rPr>
        <w:t xml:space="preserve"> on </w:t>
      </w:r>
      <w:proofErr w:type="spellStart"/>
      <w:r w:rsidRPr="2E9C8D5A" w:rsidR="2E9C8D5A">
        <w:rPr>
          <w:rFonts w:ascii="Verdana" w:hAnsi="Verdana" w:eastAsia="Verdana" w:cs="Verdana"/>
          <w:b w:val="1"/>
          <w:bCs w:val="1"/>
          <w:sz w:val="18"/>
          <w:szCs w:val="18"/>
          <w:u w:val="single"/>
          <w:lang w:val="et-EE"/>
        </w:rPr>
        <w:t>behalf</w:t>
      </w:r>
      <w:proofErr w:type="spellEnd"/>
      <w:r w:rsidRPr="2E9C8D5A" w:rsidR="2E9C8D5A">
        <w:rPr>
          <w:rFonts w:ascii="Verdana" w:hAnsi="Verdana" w:eastAsia="Verdana" w:cs="Verdana"/>
          <w:b w:val="1"/>
          <w:bCs w:val="1"/>
          <w:sz w:val="18"/>
          <w:szCs w:val="18"/>
          <w:u w:val="single"/>
          <w:lang w:val="et-EE"/>
        </w:rPr>
        <w:t xml:space="preserve"> of </w:t>
      </w:r>
      <w:proofErr w:type="spellStart"/>
      <w:r w:rsidRPr="2E9C8D5A" w:rsidR="2E9C8D5A">
        <w:rPr>
          <w:rFonts w:ascii="Verdana" w:hAnsi="Verdana" w:eastAsia="Verdana" w:cs="Verdana"/>
          <w:b w:val="1"/>
          <w:bCs w:val="1"/>
          <w:sz w:val="18"/>
          <w:szCs w:val="18"/>
          <w:u w:val="single"/>
          <w:lang w:val="et-EE"/>
        </w:rPr>
        <w:t>the</w:t>
      </w:r>
      <w:proofErr w:type="spellEnd"/>
      <w:r w:rsidRPr="2E9C8D5A" w:rsidR="2E9C8D5A">
        <w:rPr>
          <w:rFonts w:ascii="Verdana" w:hAnsi="Verdana" w:eastAsia="Verdana" w:cs="Verdana"/>
          <w:b w:val="1"/>
          <w:bCs w:val="1"/>
          <w:sz w:val="18"/>
          <w:szCs w:val="18"/>
          <w:u w:val="single"/>
          <w:lang w:val="et-EE"/>
        </w:rPr>
        <w:t xml:space="preserve"> EFNS </w:t>
      </w:r>
      <w:proofErr w:type="spellStart"/>
      <w:r w:rsidRPr="2E9C8D5A" w:rsidR="2E9C8D5A">
        <w:rPr>
          <w:rFonts w:ascii="Verdana" w:hAnsi="Verdana" w:eastAsia="Verdana" w:cs="Verdana"/>
          <w:b w:val="1"/>
          <w:bCs w:val="1"/>
          <w:sz w:val="18"/>
          <w:szCs w:val="18"/>
          <w:u w:val="single"/>
          <w:lang w:val="et-EE"/>
        </w:rPr>
        <w:t>Scientist</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Panel</w:t>
      </w:r>
      <w:proofErr w:type="spellEnd"/>
      <w:r w:rsidRPr="2E9C8D5A" w:rsidR="2E9C8D5A">
        <w:rPr>
          <w:rFonts w:ascii="Verdana" w:hAnsi="Verdana" w:eastAsia="Verdana" w:cs="Verdana"/>
          <w:b w:val="1"/>
          <w:bCs w:val="1"/>
          <w:sz w:val="18"/>
          <w:szCs w:val="18"/>
          <w:u w:val="single"/>
          <w:lang w:val="et-EE"/>
        </w:rPr>
        <w:t xml:space="preserve"> on </w:t>
      </w:r>
      <w:proofErr w:type="spellStart"/>
      <w:r w:rsidRPr="2E9C8D5A" w:rsidR="2E9C8D5A">
        <w:rPr>
          <w:rFonts w:ascii="Verdana" w:hAnsi="Verdana" w:eastAsia="Verdana" w:cs="Verdana"/>
          <w:b w:val="1"/>
          <w:bCs w:val="1"/>
          <w:sz w:val="18"/>
          <w:szCs w:val="18"/>
          <w:u w:val="single"/>
          <w:lang w:val="et-EE"/>
        </w:rPr>
        <w:t>Dementia</w:t>
      </w:r>
      <w:proofErr w:type="spellEnd"/>
    </w:p>
    <w:p w:rsidR="3FAFA00B" w:rsidP="3FAFA00B" w:rsidRDefault="3FAFA00B" w14:paraId="19C9973C" w14:textId="237F5471">
      <w:pPr>
        <w:jc w:val="both"/>
      </w:pPr>
      <w:r w:rsidRPr="2E9C8D5A" w:rsidR="2E9C8D5A">
        <w:rPr>
          <w:rFonts w:ascii="Verdana" w:hAnsi="Verdana" w:eastAsia="Verdana" w:cs="Verdana"/>
          <w:sz w:val="18"/>
          <w:szCs w:val="18"/>
        </w:rPr>
        <w:t xml:space="preserve">Oluline on anamnees, nii patsiendilt kui ka lähedaselt. Anamneesis peaks keskenduma haaratud kognitiivsetele funktsioonidele, haiguse kulule, mõjule </w:t>
      </w:r>
      <w:proofErr w:type="spellStart"/>
      <w:r w:rsidRPr="2E9C8D5A" w:rsidR="2E9C8D5A">
        <w:rPr>
          <w:rFonts w:ascii="Verdana" w:hAnsi="Verdana" w:eastAsia="Verdana" w:cs="Verdana"/>
          <w:sz w:val="18"/>
          <w:szCs w:val="18"/>
        </w:rPr>
        <w:t>ADL-le</w:t>
      </w:r>
      <w:proofErr w:type="spellEnd"/>
      <w:r w:rsidRPr="2E9C8D5A" w:rsidR="2E9C8D5A">
        <w:rPr>
          <w:rFonts w:ascii="Verdana" w:hAnsi="Verdana" w:eastAsia="Verdana" w:cs="Verdana"/>
          <w:sz w:val="18"/>
          <w:szCs w:val="18"/>
        </w:rPr>
        <w:t xml:space="preserve"> ja samuti kaasuvatele mittekognitiivsetele sümptomitele. Varasem haiguste </w:t>
      </w:r>
      <w:proofErr w:type="spellStart"/>
      <w:r w:rsidRPr="2E9C8D5A" w:rsidR="2E9C8D5A">
        <w:rPr>
          <w:rFonts w:ascii="Verdana" w:hAnsi="Verdana" w:eastAsia="Verdana" w:cs="Verdana"/>
          <w:sz w:val="18"/>
          <w:szCs w:val="18"/>
        </w:rPr>
        <w:t>anamnes</w:t>
      </w:r>
      <w:proofErr w:type="spellEnd"/>
      <w:r w:rsidRPr="2E9C8D5A" w:rsidR="2E9C8D5A">
        <w:rPr>
          <w:rFonts w:ascii="Verdana" w:hAnsi="Verdana" w:eastAsia="Verdana" w:cs="Verdana"/>
          <w:sz w:val="18"/>
          <w:szCs w:val="18"/>
        </w:rPr>
        <w:t xml:space="preserve">, kaasuvad haigused, </w:t>
      </w:r>
      <w:proofErr w:type="spellStart"/>
      <w:r w:rsidRPr="2E9C8D5A" w:rsidR="2E9C8D5A">
        <w:rPr>
          <w:rFonts w:ascii="Verdana" w:hAnsi="Verdana" w:eastAsia="Verdana" w:cs="Verdana"/>
          <w:sz w:val="18"/>
          <w:szCs w:val="18"/>
        </w:rPr>
        <w:t>perekondlk</w:t>
      </w:r>
      <w:proofErr w:type="spellEnd"/>
      <w:r w:rsidRPr="2E9C8D5A" w:rsidR="2E9C8D5A">
        <w:rPr>
          <w:rFonts w:ascii="Verdana" w:hAnsi="Verdana" w:eastAsia="Verdana" w:cs="Verdana"/>
          <w:sz w:val="18"/>
          <w:szCs w:val="18"/>
        </w:rPr>
        <w:t xml:space="preserve"> ja hariduslik taust on oluline. Üldine ja neuroloogiline objektiivne leid on eriti oluline eristamaks AT teistest primaarsetest degeneratiivsetest ja sekundaarsetest dementsusest. </w:t>
      </w:r>
    </w:p>
    <w:p w:rsidR="31897A2A" w:rsidP="31897A2A" w:rsidRDefault="31897A2A" w14:paraId="0B78F242" w14:textId="408A7D83">
      <w:pPr>
        <w:jc w:val="both"/>
      </w:pPr>
      <w:r w:rsidRPr="2E9C8D5A" w:rsidR="2E9C8D5A">
        <w:rPr>
          <w:rFonts w:ascii="Verdana" w:hAnsi="Verdana" w:eastAsia="Verdana" w:cs="Verdana"/>
          <w:sz w:val="18"/>
          <w:szCs w:val="18"/>
        </w:rPr>
        <w:t xml:space="preserve">Skriiningtestid on kasutusel, et hinnata üldist kognitiivset funktsiooni ja leida patsiendid, kes </w:t>
      </w:r>
      <w:r w:rsidRPr="2E9C8D5A" w:rsidR="2E9C8D5A">
        <w:rPr>
          <w:rFonts w:ascii="Verdana" w:hAnsi="Verdana" w:eastAsia="Verdana" w:cs="Verdana"/>
          <w:sz w:val="18"/>
          <w:szCs w:val="18"/>
        </w:rPr>
        <w:t>va</w:t>
      </w:r>
      <w:r w:rsidRPr="2E9C8D5A" w:rsidR="2E9C8D5A">
        <w:rPr>
          <w:rFonts w:ascii="Verdana" w:hAnsi="Verdana" w:eastAsia="Verdana" w:cs="Verdana"/>
          <w:sz w:val="18"/>
          <w:szCs w:val="18"/>
        </w:rPr>
        <w:t>j</w:t>
      </w:r>
      <w:r w:rsidRPr="2E9C8D5A" w:rsidR="2E9C8D5A">
        <w:rPr>
          <w:rFonts w:ascii="Verdana" w:hAnsi="Verdana" w:eastAsia="Verdana" w:cs="Verdana"/>
          <w:sz w:val="18"/>
          <w:szCs w:val="18"/>
        </w:rPr>
        <w:t>avad</w:t>
      </w:r>
      <w:r w:rsidRPr="2E9C8D5A" w:rsidR="2E9C8D5A">
        <w:rPr>
          <w:rFonts w:ascii="Verdana" w:hAnsi="Verdana" w:eastAsia="Verdana" w:cs="Verdana"/>
          <w:sz w:val="18"/>
          <w:szCs w:val="18"/>
        </w:rPr>
        <w:t xml:space="preserve"> täpsemaid uuringuid (</w:t>
      </w:r>
      <w:proofErr w:type="spellStart"/>
      <w:r w:rsidRPr="2E9C8D5A" w:rsidR="2E9C8D5A">
        <w:rPr>
          <w:rFonts w:ascii="Verdana" w:hAnsi="Verdana" w:eastAsia="Verdana" w:cs="Verdana"/>
          <w:sz w:val="18"/>
          <w:szCs w:val="18"/>
        </w:rPr>
        <w:t>neuropsühholoogilised</w:t>
      </w:r>
      <w:proofErr w:type="spellEnd"/>
      <w:r w:rsidRPr="2E9C8D5A" w:rsidR="2E9C8D5A">
        <w:rPr>
          <w:rFonts w:ascii="Verdana" w:hAnsi="Verdana" w:eastAsia="Verdana" w:cs="Verdana"/>
          <w:sz w:val="18"/>
          <w:szCs w:val="18"/>
        </w:rPr>
        <w:t xml:space="preserve"> testid</w:t>
      </w:r>
      <w:r w:rsidRPr="2E9C8D5A" w:rsidR="2E9C8D5A">
        <w:rPr>
          <w:rFonts w:ascii="Verdana" w:hAnsi="Verdana" w:eastAsia="Verdana" w:cs="Verdana"/>
          <w:sz w:val="18"/>
          <w:szCs w:val="18"/>
        </w:rPr>
        <w:t>)</w:t>
      </w:r>
      <w:r w:rsidRPr="2E9C8D5A" w:rsidR="2E9C8D5A">
        <w:rPr>
          <w:rFonts w:ascii="Verdana" w:hAnsi="Verdana" w:eastAsia="Verdana" w:cs="Verdana"/>
          <w:sz w:val="18"/>
          <w:szCs w:val="18"/>
        </w:rPr>
        <w:t>, hindamaks mälu, täidesaatvaid funktsioone, keelt, tegevustega toimetulekut (</w:t>
      </w:r>
      <w:proofErr w:type="spellStart"/>
      <w:r w:rsidRPr="2E9C8D5A" w:rsidR="2E9C8D5A">
        <w:rPr>
          <w:rFonts w:ascii="Verdana" w:hAnsi="Verdana" w:eastAsia="Verdana" w:cs="Verdana"/>
          <w:i w:val="1"/>
          <w:iCs w:val="1"/>
          <w:sz w:val="18"/>
          <w:szCs w:val="18"/>
          <w:u w:val="none"/>
        </w:rPr>
        <w:t>praxis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ruumilisi</w:t>
      </w:r>
      <w:proofErr w:type="spellEnd"/>
      <w:r w:rsidRPr="2E9C8D5A" w:rsidR="2E9C8D5A">
        <w:rPr>
          <w:rFonts w:ascii="Verdana" w:hAnsi="Verdana" w:eastAsia="Verdana" w:cs="Verdana"/>
          <w:sz w:val="18"/>
          <w:szCs w:val="18"/>
        </w:rPr>
        <w:t xml:space="preserve"> võimeid (</w:t>
      </w:r>
      <w:proofErr w:type="spellStart"/>
      <w:r w:rsidRPr="2E9C8D5A" w:rsidR="2E9C8D5A">
        <w:rPr>
          <w:rFonts w:ascii="Verdana" w:hAnsi="Verdana" w:eastAsia="Verdana" w:cs="Verdana"/>
          <w:i w:val="1"/>
          <w:iCs w:val="1"/>
          <w:sz w:val="18"/>
          <w:szCs w:val="18"/>
        </w:rPr>
        <w:t>visual-spatial</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abilities</w:t>
      </w:r>
      <w:proofErr w:type="spellEnd"/>
      <w:r w:rsidRPr="2E9C8D5A" w:rsidR="2E9C8D5A">
        <w:rPr>
          <w:rFonts w:ascii="Verdana" w:hAnsi="Verdana" w:eastAsia="Verdana" w:cs="Verdana"/>
          <w:sz w:val="18"/>
          <w:szCs w:val="18"/>
        </w:rPr>
        <w:t>)).</w:t>
      </w:r>
    </w:p>
    <w:p w:rsidR="31897A2A" w:rsidP="31897A2A" w:rsidRDefault="31897A2A" w14:paraId="4589F776" w14:textId="25265929">
      <w:pPr>
        <w:jc w:val="both"/>
      </w:pPr>
      <w:r w:rsidRPr="2E9C8D5A" w:rsidR="2E9C8D5A">
        <w:rPr>
          <w:rFonts w:ascii="Verdana" w:hAnsi="Verdana" w:eastAsia="Verdana" w:cs="Verdana"/>
          <w:sz w:val="18"/>
          <w:szCs w:val="18"/>
        </w:rPr>
        <w:t xml:space="preserve">Kõige sagedamini kasutatav </w:t>
      </w:r>
      <w:proofErr w:type="spellStart"/>
      <w:r w:rsidRPr="2E9C8D5A" w:rsidR="2E9C8D5A">
        <w:rPr>
          <w:rFonts w:ascii="Verdana" w:hAnsi="Verdana" w:eastAsia="Verdana" w:cs="Verdana"/>
          <w:sz w:val="18"/>
          <w:szCs w:val="18"/>
        </w:rPr>
        <w:t>skriinigtest</w:t>
      </w:r>
      <w:proofErr w:type="spellEnd"/>
      <w:r w:rsidRPr="2E9C8D5A" w:rsidR="2E9C8D5A">
        <w:rPr>
          <w:rFonts w:ascii="Verdana" w:hAnsi="Verdana" w:eastAsia="Verdana" w:cs="Verdana"/>
          <w:sz w:val="18"/>
          <w:szCs w:val="18"/>
        </w:rPr>
        <w:t xml:space="preserve"> on MMSE (Mini-</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State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mille </w:t>
      </w:r>
      <w:r w:rsidRPr="2E9C8D5A" w:rsidR="2E9C8D5A">
        <w:rPr>
          <w:rFonts w:ascii="Verdana" w:hAnsi="Verdana" w:eastAsia="Verdana" w:cs="Verdana"/>
          <w:sz w:val="18"/>
          <w:szCs w:val="18"/>
        </w:rPr>
        <w:t>standa</w:t>
      </w:r>
      <w:r w:rsidRPr="2E9C8D5A" w:rsidR="2E9C8D5A">
        <w:rPr>
          <w:rFonts w:ascii="Verdana" w:hAnsi="Verdana" w:eastAsia="Verdana" w:cs="Verdana"/>
          <w:sz w:val="18"/>
          <w:szCs w:val="18"/>
        </w:rPr>
        <w:t>rd</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cut-off</w:t>
      </w:r>
      <w:proofErr w:type="spellEnd"/>
      <w:r w:rsidRPr="2E9C8D5A" w:rsidR="2E9C8D5A">
        <w:rPr>
          <w:rFonts w:ascii="Verdana" w:hAnsi="Verdana" w:eastAsia="Verdana" w:cs="Verdana"/>
          <w:sz w:val="18"/>
          <w:szCs w:val="18"/>
        </w:rPr>
        <w:t xml:space="preserve"> skoor 24 tuleks tõsta kõrgelt haritud patsientidel 27-ni ja langetada neil, kelle emakeel on teine või haridustase on madal. Erinevate dementsussündroomide puhul on häiritud erinevad kognitiivsed funktsioonid (nt. AT korral mälu ja orientatsioon, </w:t>
      </w:r>
      <w:proofErr w:type="spellStart"/>
      <w:r w:rsidRPr="2E9C8D5A" w:rsidR="2E9C8D5A">
        <w:rPr>
          <w:rFonts w:ascii="Verdana" w:hAnsi="Verdana" w:eastAsia="Verdana" w:cs="Verdana"/>
          <w:sz w:val="18"/>
          <w:szCs w:val="18"/>
        </w:rPr>
        <w:t>frontotemporaalsel</w:t>
      </w:r>
      <w:proofErr w:type="spellEnd"/>
      <w:r w:rsidRPr="2E9C8D5A" w:rsidR="2E9C8D5A">
        <w:rPr>
          <w:rFonts w:ascii="Verdana" w:hAnsi="Verdana" w:eastAsia="Verdana" w:cs="Verdana"/>
          <w:sz w:val="18"/>
          <w:szCs w:val="18"/>
        </w:rPr>
        <w:t xml:space="preserve"> dementsusel kõne, jne). Ka teistel skriiningtestidel on võrdväärne või parem täpsus AT diagnostikas (vt. Tabel).</w:t>
      </w:r>
    </w:p>
    <w:p w:rsidR="31897A2A" w:rsidP="31897A2A" w:rsidRDefault="31897A2A" w14:paraId="49AD6543" w14:noSpellErr="1" w14:textId="40ECA0AB">
      <w:pPr>
        <w:jc w:val="both"/>
      </w:pPr>
      <w:r>
        <w:drawing>
          <wp:inline wp14:editId="38906393" wp14:anchorId="5075D9B4">
            <wp:extent cx="6286798" cy="2324210"/>
            <wp:effectExtent l="0" t="0" r="0" b="0"/>
            <wp:docPr id="1468313390" name="picture" title=""/>
            <wp:cNvGraphicFramePr>
              <a:graphicFrameLocks noChangeAspect="1"/>
            </wp:cNvGraphicFramePr>
            <a:graphic>
              <a:graphicData uri="http://schemas.openxmlformats.org/drawingml/2006/picture">
                <pic:pic>
                  <pic:nvPicPr>
                    <pic:cNvPr id="0" name="picture"/>
                    <pic:cNvPicPr/>
                  </pic:nvPicPr>
                  <pic:blipFill>
                    <a:blip r:embed="R8636736599874f06">
                      <a:extLst>
                        <a:ext xmlns:a="http://schemas.openxmlformats.org/drawingml/2006/main" uri="{28A0092B-C50C-407E-A947-70E740481C1C}">
                          <a14:useLocalDpi val="0"/>
                        </a:ext>
                      </a:extLst>
                    </a:blip>
                    <a:stretch>
                      <a:fillRect/>
                    </a:stretch>
                  </pic:blipFill>
                  <pic:spPr>
                    <a:xfrm>
                      <a:off x="0" y="0"/>
                      <a:ext cx="6286798" cy="2324210"/>
                    </a:xfrm>
                    <a:prstGeom prst="rect">
                      <a:avLst/>
                    </a:prstGeom>
                  </pic:spPr>
                </pic:pic>
              </a:graphicData>
            </a:graphic>
          </wp:inline>
        </w:drawing>
      </w:r>
    </w:p>
    <w:p w:rsidR="3FAFA00B" w:rsidP="3FAFA00B" w:rsidRDefault="3FAFA00B" w14:paraId="29A4B261" w14:textId="46D70A12">
      <w:pPr>
        <w:jc w:val="both"/>
      </w:pPr>
      <w:r w:rsidRPr="2E9C8D5A" w:rsidR="2E9C8D5A">
        <w:rPr>
          <w:rFonts w:ascii="Verdana" w:hAnsi="Verdana" w:eastAsia="Verdana" w:cs="Verdana"/>
          <w:sz w:val="18"/>
          <w:szCs w:val="18"/>
        </w:rPr>
        <w:t>MMSE, Mini-</w:t>
      </w:r>
      <w:proofErr w:type="spellStart"/>
      <w:r w:rsidRPr="2E9C8D5A" w:rsidR="2E9C8D5A">
        <w:rPr>
          <w:rFonts w:ascii="Verdana" w:hAnsi="Verdana" w:eastAsia="Verdana" w:cs="Verdana"/>
          <w:sz w:val="18"/>
          <w:szCs w:val="18"/>
        </w:rPr>
        <w:t>Mental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State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ACE, </w:t>
      </w:r>
      <w:proofErr w:type="spellStart"/>
      <w:r w:rsidRPr="2E9C8D5A" w:rsidR="2E9C8D5A">
        <w:rPr>
          <w:rFonts w:ascii="Verdana" w:hAnsi="Verdana" w:eastAsia="Verdana" w:cs="Verdana"/>
          <w:sz w:val="18"/>
          <w:szCs w:val="18"/>
        </w:rPr>
        <w:t>Addenbrookes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examination</w:t>
      </w:r>
      <w:proofErr w:type="spellEnd"/>
      <w:r w:rsidRPr="2E9C8D5A" w:rsidR="2E9C8D5A">
        <w:rPr>
          <w:rFonts w:ascii="Verdana" w:hAnsi="Verdana" w:eastAsia="Verdana" w:cs="Verdana"/>
          <w:sz w:val="18"/>
          <w:szCs w:val="18"/>
        </w:rPr>
        <w:t xml:space="preserve">; MOCA, Montreal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 xml:space="preserve">AD, </w:t>
      </w:r>
      <w:proofErr w:type="spellStart"/>
      <w:r w:rsidRPr="2E9C8D5A" w:rsidR="2E9C8D5A">
        <w:rPr>
          <w:rFonts w:ascii="Verdana" w:hAnsi="Verdana" w:eastAsia="Verdana" w:cs="Verdana"/>
          <w:sz w:val="18"/>
          <w:szCs w:val="18"/>
        </w:rPr>
        <w:t>Alzheimers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disease</w:t>
      </w:r>
      <w:proofErr w:type="spellEnd"/>
      <w:r w:rsidRPr="2E9C8D5A" w:rsidR="2E9C8D5A">
        <w:rPr>
          <w:rFonts w:ascii="Verdana" w:hAnsi="Verdana" w:eastAsia="Verdana" w:cs="Verdana"/>
          <w:sz w:val="18"/>
          <w:szCs w:val="18"/>
        </w:rPr>
        <w:t xml:space="preserve">; MCI, </w:t>
      </w:r>
      <w:proofErr w:type="spellStart"/>
      <w:r w:rsidRPr="2E9C8D5A" w:rsidR="2E9C8D5A">
        <w:rPr>
          <w:rFonts w:ascii="Verdana" w:hAnsi="Verdana" w:eastAsia="Verdana" w:cs="Verdana"/>
          <w:sz w:val="18"/>
          <w:szCs w:val="18"/>
        </w:rPr>
        <w:t>mild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cognitive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impairment</w:t>
      </w:r>
      <w:proofErr w:type="spellEnd"/>
      <w:r w:rsidRPr="2E9C8D5A" w:rsidR="2E9C8D5A">
        <w:rPr>
          <w:rFonts w:ascii="Verdana" w:hAnsi="Verdana" w:eastAsia="Verdana" w:cs="Verdana"/>
          <w:sz w:val="18"/>
          <w:szCs w:val="18"/>
        </w:rPr>
        <w:t xml:space="preserve">; FTD, </w:t>
      </w:r>
      <w:proofErr w:type="spellStart"/>
      <w:r w:rsidRPr="2E9C8D5A" w:rsidR="2E9C8D5A">
        <w:rPr>
          <w:rFonts w:ascii="Verdana" w:hAnsi="Verdana" w:eastAsia="Verdana" w:cs="Verdana"/>
          <w:sz w:val="18"/>
          <w:szCs w:val="18"/>
        </w:rPr>
        <w:t>fronto</w:t>
      </w:r>
      <w:proofErr w:type="spellEnd"/>
      <w:r w:rsidRPr="2E9C8D5A" w:rsidR="2E9C8D5A">
        <w:rPr>
          <w:rFonts w:ascii="Verdana" w:hAnsi="Verdana" w:eastAsia="Verdana" w:cs="Verdana"/>
          <w:sz w:val="18"/>
          <w:szCs w:val="18"/>
        </w:rPr>
        <w:t xml:space="preserve">-temporal </w:t>
      </w:r>
      <w:proofErr w:type="spellStart"/>
      <w:r w:rsidRPr="2E9C8D5A" w:rsidR="2E9C8D5A">
        <w:rPr>
          <w:rFonts w:ascii="Verdana" w:hAnsi="Verdana" w:eastAsia="Verdana" w:cs="Verdana"/>
          <w:sz w:val="18"/>
          <w:szCs w:val="18"/>
        </w:rPr>
        <w:t>dementia</w:t>
      </w:r>
      <w:proofErr w:type="spellEnd"/>
      <w:r w:rsidRPr="2E9C8D5A" w:rsidR="2E9C8D5A">
        <w:rPr>
          <w:rFonts w:ascii="Verdana" w:hAnsi="Verdana" w:eastAsia="Verdana" w:cs="Verdana"/>
          <w:sz w:val="18"/>
          <w:szCs w:val="18"/>
        </w:rPr>
        <w:t xml:space="preserve">; NC, </w:t>
      </w:r>
      <w:proofErr w:type="spellStart"/>
      <w:r w:rsidRPr="2E9C8D5A" w:rsidR="2E9C8D5A">
        <w:rPr>
          <w:rFonts w:ascii="Verdana" w:hAnsi="Verdana" w:eastAsia="Verdana" w:cs="Verdana"/>
          <w:sz w:val="18"/>
          <w:szCs w:val="18"/>
        </w:rPr>
        <w:t>normal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controls</w:t>
      </w:r>
      <w:proofErr w:type="spellEnd"/>
      <w:r w:rsidRPr="2E9C8D5A" w:rsidR="2E9C8D5A">
        <w:rPr>
          <w:rFonts w:ascii="Verdana" w:hAnsi="Verdana" w:eastAsia="Verdana" w:cs="Verdana"/>
          <w:sz w:val="18"/>
          <w:szCs w:val="18"/>
        </w:rPr>
        <w:t>.</w:t>
      </w:r>
      <w:r w:rsidRPr="2E9C8D5A" w:rsidR="2E9C8D5A">
        <w:rPr>
          <w:rFonts w:ascii="Times New Roman" w:hAnsi="Times New Roman" w:eastAsia="Times New Roman" w:cs="Times New Roman"/>
          <w:sz w:val="24"/>
          <w:szCs w:val="24"/>
        </w:rPr>
        <w:t xml:space="preserve"> </w:t>
      </w:r>
    </w:p>
    <w:p w:rsidR="31897A2A" w:rsidP="31897A2A" w:rsidRDefault="31897A2A" w14:paraId="26EA4C8C" w14:textId="45F15A36">
      <w:pPr>
        <w:pStyle w:val="Normaallaad"/>
        <w:jc w:val="both"/>
      </w:pPr>
    </w:p>
    <w:p w:rsidR="31897A2A" w:rsidP="31897A2A" w:rsidRDefault="31897A2A" w14:paraId="22FAE4E5" w14:textId="0F1DD4A2">
      <w:pPr>
        <w:jc w:val="both"/>
      </w:pPr>
      <w:r w:rsidRPr="2E9C8D5A" w:rsidR="2E9C8D5A">
        <w:rPr>
          <w:rFonts w:ascii="Verdana" w:hAnsi="Verdana" w:eastAsia="Verdana" w:cs="Verdana"/>
          <w:b w:val="1"/>
          <w:bCs w:val="1"/>
          <w:sz w:val="18"/>
          <w:szCs w:val="18"/>
          <w:u w:val="single"/>
          <w:lang w:val="et-EE"/>
        </w:rPr>
        <w:t>2.</w:t>
      </w:r>
      <w:r w:rsidRPr="2E9C8D5A" w:rsidR="2E9C8D5A">
        <w:rPr>
          <w:rFonts w:ascii="Verdana" w:hAnsi="Verdana" w:eastAsia="Verdana" w:cs="Verdana"/>
          <w:b w:val="1"/>
          <w:bCs w:val="1"/>
          <w:sz w:val="18"/>
          <w:szCs w:val="18"/>
          <w:u w:val="single"/>
          <w:lang w:val="et-EE"/>
        </w:rPr>
        <w:t xml:space="preserve">Guideline </w:t>
      </w:r>
      <w:proofErr w:type="spellStart"/>
      <w:r w:rsidRPr="2E9C8D5A" w:rsidR="2E9C8D5A">
        <w:rPr>
          <w:rFonts w:ascii="Verdana" w:hAnsi="Verdana" w:eastAsia="Verdana" w:cs="Verdana"/>
          <w:b w:val="1"/>
          <w:bCs w:val="1"/>
          <w:sz w:val="18"/>
          <w:szCs w:val="18"/>
          <w:u w:val="single"/>
          <w:lang w:val="et-EE"/>
        </w:rPr>
        <w:t>watch</w:t>
      </w:r>
      <w:proofErr w:type="spellEnd"/>
      <w:r w:rsidRPr="2E9C8D5A" w:rsidR="2E9C8D5A">
        <w:rPr>
          <w:rFonts w:ascii="Verdana" w:hAnsi="Verdana" w:eastAsia="Verdana" w:cs="Verdana"/>
          <w:b w:val="1"/>
          <w:bCs w:val="1"/>
          <w:sz w:val="18"/>
          <w:szCs w:val="18"/>
          <w:u w:val="single"/>
          <w:lang w:val="et-EE"/>
        </w:rPr>
        <w:t xml:space="preserve"> APA</w:t>
      </w:r>
      <w:r w:rsidRPr="2E9C8D5A" w:rsidR="2E9C8D5A">
        <w:rPr>
          <w:rFonts w:ascii="Verdana" w:hAnsi="Verdana" w:eastAsia="Verdana" w:cs="Verdana"/>
          <w:b w:val="1"/>
          <w:bCs w:val="1"/>
          <w:sz w:val="18"/>
          <w:szCs w:val="18"/>
          <w:u w:val="single"/>
          <w:lang w:val="et-EE"/>
        </w:rPr>
        <w:t xml:space="preserve"> </w:t>
      </w:r>
      <w:r w:rsidRPr="2E9C8D5A" w:rsidR="2E9C8D5A">
        <w:rPr>
          <w:rFonts w:ascii="Verdana" w:hAnsi="Verdana" w:eastAsia="Verdana" w:cs="Verdana"/>
          <w:b w:val="1"/>
          <w:bCs w:val="1"/>
          <w:sz w:val="18"/>
          <w:szCs w:val="18"/>
          <w:u w:val="single"/>
          <w:lang w:val="et-EE"/>
        </w:rPr>
        <w:t>2007</w:t>
      </w:r>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practice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guideline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for</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treatment</w:t>
      </w:r>
      <w:proofErr w:type="spellEnd"/>
      <w:r w:rsidRPr="2E9C8D5A" w:rsidR="2E9C8D5A">
        <w:rPr>
          <w:rFonts w:ascii="Verdana" w:hAnsi="Verdana" w:eastAsia="Verdana" w:cs="Verdana"/>
          <w:b w:val="1"/>
          <w:bCs w:val="1"/>
          <w:sz w:val="18"/>
          <w:szCs w:val="18"/>
          <w:u w:val="single"/>
          <w:lang w:val="et-EE"/>
        </w:rPr>
        <w:t xml:space="preserve"> of </w:t>
      </w:r>
      <w:proofErr w:type="spellStart"/>
      <w:r w:rsidRPr="2E9C8D5A" w:rsidR="2E9C8D5A">
        <w:rPr>
          <w:rFonts w:ascii="Verdana" w:hAnsi="Verdana" w:eastAsia="Verdana" w:cs="Verdana"/>
          <w:b w:val="1"/>
          <w:bCs w:val="1"/>
          <w:sz w:val="18"/>
          <w:szCs w:val="18"/>
          <w:u w:val="single"/>
          <w:lang w:val="et-EE"/>
        </w:rPr>
        <w:t>patients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with</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Alzheimer`s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disease</w:t>
      </w:r>
      <w:proofErr w:type="spellEnd"/>
      <w:r w:rsidRPr="2E9C8D5A" w:rsidR="2E9C8D5A">
        <w:rPr>
          <w:rFonts w:ascii="Verdana" w:hAnsi="Verdana" w:eastAsia="Verdana" w:cs="Verdana"/>
          <w:b w:val="1"/>
          <w:bCs w:val="1"/>
          <w:sz w:val="18"/>
          <w:szCs w:val="18"/>
          <w:u w:val="single"/>
          <w:lang w:val="et-EE"/>
        </w:rPr>
        <w:t xml:space="preserve"> and </w:t>
      </w:r>
      <w:proofErr w:type="spellStart"/>
      <w:r w:rsidRPr="2E9C8D5A" w:rsidR="2E9C8D5A">
        <w:rPr>
          <w:rFonts w:ascii="Verdana" w:hAnsi="Verdana" w:eastAsia="Verdana" w:cs="Verdana"/>
          <w:b w:val="1"/>
          <w:bCs w:val="1"/>
          <w:sz w:val="18"/>
          <w:szCs w:val="18"/>
          <w:u w:val="single"/>
          <w:lang w:val="et-EE"/>
        </w:rPr>
        <w:t>other</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dementias</w:t>
      </w:r>
      <w:proofErr w:type="spellEnd"/>
      <w:r w:rsidRPr="2E9C8D5A" w:rsidR="2E9C8D5A">
        <w:rPr>
          <w:rFonts w:ascii="Verdana" w:hAnsi="Verdana" w:eastAsia="Verdana" w:cs="Verdana"/>
          <w:b w:val="1"/>
          <w:bCs w:val="1"/>
          <w:sz w:val="18"/>
          <w:szCs w:val="18"/>
          <w:u w:val="single"/>
          <w:lang w:val="et-EE"/>
        </w:rPr>
        <w:t>.</w:t>
      </w:r>
    </w:p>
    <w:p w:rsidR="31897A2A" w:rsidP="31897A2A" w:rsidRDefault="31897A2A" w14:noSpellErr="1" w14:paraId="25946BF7" w14:textId="75528B64">
      <w:pPr>
        <w:jc w:val="both"/>
      </w:pPr>
      <w:r w:rsidRPr="3FAFA00B" w:rsidR="3FAFA00B">
        <w:rPr>
          <w:rFonts w:ascii="Verdana" w:hAnsi="Verdana" w:eastAsia="Verdana" w:cs="Verdana"/>
          <w:sz w:val="18"/>
          <w:szCs w:val="18"/>
        </w:rPr>
        <w:t>Ravijuhend keskendub enam raviküsimustele, mistõttu diagnostika osa on käsitletud väga põgusalt. Skriiningtestide küsimust ei käsitleta.</w:t>
      </w:r>
      <w:r w:rsidRPr="3FAFA00B" w:rsidR="3FAFA00B">
        <w:rPr>
          <w:rFonts w:ascii="Verdana" w:hAnsi="Verdana" w:eastAsia="Verdana" w:cs="Verdana"/>
          <w:sz w:val="18"/>
          <w:szCs w:val="18"/>
        </w:rPr>
        <w:t xml:space="preserve"> </w:t>
      </w:r>
    </w:p>
    <w:p w:rsidR="31897A2A" w:rsidP="3FAFA00B" w:rsidRDefault="31897A2A" w14:paraId="6FDBEAE8" w14:textId="1BAE2639">
      <w:pPr>
        <w:pStyle w:val="Normaallaad"/>
        <w:jc w:val="both"/>
      </w:pPr>
      <w:r w:rsidRPr="2E9C8D5A" w:rsidR="2E9C8D5A">
        <w:rPr>
          <w:rFonts w:ascii="Verdana" w:hAnsi="Verdana" w:eastAsia="Verdana" w:cs="Verdana"/>
          <w:sz w:val="18"/>
          <w:szCs w:val="18"/>
        </w:rPr>
        <w:t>Dementsusega patsientidel tuleks teha põhjalik diagnostiline hindamine, et leida dementsussündroomi põhjus, kuna sellest võib sõltuda ravi. Tuleb hinnata kaasnevate</w:t>
      </w:r>
      <w:r w:rsidRPr="2E9C8D5A" w:rsidR="2E9C8D5A">
        <w:rPr>
          <w:rFonts w:ascii="Verdana" w:hAnsi="Verdana" w:eastAsia="Verdana" w:cs="Verdana"/>
          <w:sz w:val="18"/>
          <w:szCs w:val="18"/>
        </w:rPr>
        <w:t xml:space="preserve"> haiguste</w:t>
      </w:r>
      <w:r w:rsidRPr="2E9C8D5A" w:rsidR="2E9C8D5A">
        <w:rPr>
          <w:rFonts w:ascii="Verdana" w:hAnsi="Verdana" w:eastAsia="Verdana" w:cs="Verdana"/>
          <w:sz w:val="18"/>
          <w:szCs w:val="18"/>
        </w:rPr>
        <w:t xml:space="preserve"> ja potentsiaalselt ravitavate</w:t>
      </w:r>
      <w:r w:rsidRPr="2E9C8D5A" w:rsidR="2E9C8D5A">
        <w:rPr>
          <w:rFonts w:ascii="Verdana" w:hAnsi="Verdana" w:eastAsia="Verdana" w:cs="Verdana"/>
          <w:sz w:val="18"/>
          <w:szCs w:val="18"/>
        </w:rPr>
        <w:t xml:space="preserve"> (psühhiaatriliste) haiguste esinemist (depressioon, skisofreenia, strukturaalne ajukolle, </w:t>
      </w:r>
      <w:proofErr w:type="spellStart"/>
      <w:r w:rsidRPr="2E9C8D5A" w:rsidR="2E9C8D5A">
        <w:rPr>
          <w:rFonts w:ascii="Verdana" w:hAnsi="Verdana" w:eastAsia="Verdana" w:cs="Verdana"/>
          <w:sz w:val="18"/>
          <w:szCs w:val="18"/>
        </w:rPr>
        <w:t>hüdrotseefalus</w:t>
      </w:r>
      <w:proofErr w:type="spellEnd"/>
      <w:r w:rsidRPr="2E9C8D5A" w:rsidR="2E9C8D5A">
        <w:rPr>
          <w:rFonts w:ascii="Verdana" w:hAnsi="Verdana" w:eastAsia="Verdana" w:cs="Verdana"/>
          <w:sz w:val="18"/>
          <w:szCs w:val="18"/>
        </w:rPr>
        <w:t xml:space="preserve">, kilpnäärmehaigus, vitamiin B12 defitsiit, jne). </w:t>
      </w:r>
    </w:p>
    <w:p w:rsidR="31897A2A" w:rsidP="31897A2A" w:rsidRDefault="31897A2A" w14:paraId="6A2C8781" w14:textId="62027206">
      <w:pPr>
        <w:jc w:val="both"/>
      </w:pPr>
      <w:r w:rsidRPr="2E9C8D5A" w:rsidR="2E9C8D5A">
        <w:rPr>
          <w:rFonts w:ascii="Verdana" w:hAnsi="Verdana" w:eastAsia="Verdana" w:cs="Verdana"/>
          <w:sz w:val="18"/>
          <w:szCs w:val="18"/>
        </w:rPr>
        <w:t xml:space="preserve">Miinimumprogramm: haiguse ajalugu, sümptomite tekke algus ja progressiooni kiirus, ülevaade </w:t>
      </w:r>
      <w:r w:rsidRPr="2E9C8D5A" w:rsidR="2E9C8D5A">
        <w:rPr>
          <w:rFonts w:ascii="Verdana" w:hAnsi="Verdana" w:eastAsia="Verdana" w:cs="Verdana"/>
          <w:sz w:val="18"/>
          <w:szCs w:val="18"/>
        </w:rPr>
        <w:t>kaasuvatest</w:t>
      </w:r>
      <w:r w:rsidRPr="2E9C8D5A" w:rsidR="2E9C8D5A">
        <w:rPr>
          <w:rFonts w:ascii="Verdana" w:hAnsi="Verdana" w:eastAsia="Verdana" w:cs="Verdana"/>
          <w:sz w:val="18"/>
          <w:szCs w:val="18"/>
        </w:rPr>
        <w:t xml:space="preserve"> haigustest ja ravimitest (k.a. käsimüügiravimid ja ravimtaimed), funktsionaalne hindamine, füüsiline ülevaatus, neuroloogiline ja psühhiaatriline hindamine, kognitiivne hindamine (tähelepanu, mälu, keel, </w:t>
      </w:r>
      <w:proofErr w:type="spellStart"/>
      <w:r w:rsidRPr="2E9C8D5A" w:rsidR="2E9C8D5A">
        <w:rPr>
          <w:rFonts w:ascii="Verdana" w:hAnsi="Verdana" w:eastAsia="Verdana" w:cs="Verdana"/>
          <w:i w:val="1"/>
          <w:iCs w:val="1"/>
          <w:sz w:val="18"/>
          <w:szCs w:val="18"/>
        </w:rPr>
        <w:t>visuo</w:t>
      </w:r>
      <w:r w:rsidRPr="2E9C8D5A" w:rsidR="2E9C8D5A">
        <w:rPr>
          <w:rFonts w:ascii="Verdana" w:hAnsi="Verdana" w:eastAsia="Verdana" w:cs="Verdana"/>
          <w:i w:val="1"/>
          <w:iCs w:val="1"/>
          <w:sz w:val="18"/>
          <w:szCs w:val="18"/>
        </w:rPr>
        <w:t>spatial</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skills</w:t>
      </w:r>
      <w:proofErr w:type="spellEnd"/>
      <w:r w:rsidRPr="2E9C8D5A" w:rsidR="2E9C8D5A">
        <w:rPr>
          <w:rFonts w:ascii="Verdana" w:hAnsi="Verdana" w:eastAsia="Verdana" w:cs="Verdana"/>
          <w:sz w:val="18"/>
          <w:szCs w:val="18"/>
        </w:rPr>
        <w:t xml:space="preserve">). Kognitiivne hindamine tuleb läbi viia haridustasemele ja vanusele vastavalt. </w:t>
      </w:r>
    </w:p>
    <w:p w:rsidR="31897A2A" w:rsidP="3FAFA00B" w:rsidRDefault="31897A2A" w14:noSpellErr="1" w14:paraId="733D9BFB" w14:textId="5DDE3518">
      <w:pPr>
        <w:pStyle w:val="Normaallaad"/>
        <w:jc w:val="both"/>
      </w:pPr>
      <w:r w:rsidRPr="3FAFA00B" w:rsidR="3FAFA00B">
        <w:rPr>
          <w:rFonts w:ascii="Verdana" w:hAnsi="Verdana" w:eastAsia="Verdana" w:cs="Verdana"/>
          <w:sz w:val="18"/>
          <w:szCs w:val="18"/>
        </w:rPr>
        <w:t>Tihti peab osa intervjuust läbi viima hooldajaga, nii, et patsient ei ole läheduses (sensitiivne info).</w:t>
      </w:r>
    </w:p>
    <w:p w:rsidR="31897A2A" w:rsidP="31897A2A" w:rsidRDefault="31897A2A" w14:paraId="34368862" w14:noSpellErr="1" w14:textId="5928CCA7">
      <w:pPr>
        <w:jc w:val="both"/>
      </w:pPr>
      <w:r w:rsidRPr="4E73F672" w:rsidR="4E73F672">
        <w:rPr>
          <w:rFonts w:ascii="Verdana" w:hAnsi="Verdana" w:eastAsia="Verdana" w:cs="Verdana"/>
          <w:sz w:val="18"/>
          <w:szCs w:val="18"/>
        </w:rPr>
        <w:t xml:space="preserve"> </w:t>
      </w:r>
      <w:r w:rsidRPr="4E73F672" w:rsidR="4E73F672">
        <w:rPr>
          <w:rFonts w:ascii="Verdana" w:hAnsi="Verdana" w:eastAsia="Verdana" w:cs="Verdana"/>
          <w:b w:val="1"/>
          <w:bCs w:val="1"/>
          <w:sz w:val="18"/>
          <w:szCs w:val="18"/>
          <w:u w:val="single"/>
          <w:lang w:val="et-EE"/>
        </w:rPr>
        <w:t>3.</w:t>
      </w:r>
      <w:r w:rsidRPr="4E73F672" w:rsidR="4E73F672">
        <w:rPr>
          <w:rFonts w:ascii="Verdana" w:hAnsi="Verdana" w:eastAsia="Verdana" w:cs="Verdana"/>
          <w:b w:val="1"/>
          <w:bCs w:val="1"/>
          <w:sz w:val="18"/>
          <w:szCs w:val="18"/>
          <w:u w:val="single"/>
          <w:lang w:val="en-US"/>
        </w:rPr>
        <w:t xml:space="preserve"> </w:t>
      </w:r>
      <w:r w:rsidRPr="4E73F672" w:rsidR="4E73F672">
        <w:rPr>
          <w:rFonts w:ascii="Verdana" w:hAnsi="Verdana" w:eastAsia="Verdana" w:cs="Verdana"/>
          <w:b w:val="1"/>
          <w:bCs w:val="1"/>
          <w:sz w:val="18"/>
          <w:szCs w:val="18"/>
          <w:u w:val="single"/>
          <w:lang w:val="en-US"/>
        </w:rPr>
        <w:t>Recommendations of the 4th Canadian Consensus Conference on the Diagnosis and Treatment of Dementia (CCCDTD4)</w:t>
      </w:r>
      <w:r w:rsidRPr="4E73F672" w:rsidR="4E73F672">
        <w:rPr>
          <w:rFonts w:ascii="Verdana" w:hAnsi="Verdana" w:eastAsia="Verdana" w:cs="Verdana"/>
          <w:b w:val="1"/>
          <w:bCs w:val="1"/>
          <w:sz w:val="18"/>
          <w:szCs w:val="18"/>
          <w:lang w:val="et-EE"/>
        </w:rPr>
        <w:t xml:space="preserve"> </w:t>
      </w:r>
      <w:r w:rsidRPr="4E73F672" w:rsidR="4E73F672">
        <w:rPr>
          <w:rFonts w:ascii="Verdana" w:hAnsi="Verdana" w:eastAsia="Verdana" w:cs="Verdana"/>
          <w:sz w:val="18"/>
          <w:szCs w:val="18"/>
        </w:rPr>
        <w:t xml:space="preserve"> </w:t>
      </w:r>
    </w:p>
    <w:p w:rsidR="3FAFA00B" w:rsidP="3FAFA00B" w:rsidRDefault="3FAFA00B" w14:paraId="366DD25F" w14:noSpellErr="1" w14:textId="56F20722">
      <w:pPr>
        <w:jc w:val="both"/>
      </w:pPr>
      <w:r w:rsidRPr="4E73F672" w:rsidR="4E73F672">
        <w:rPr>
          <w:rFonts w:ascii="Verdana" w:hAnsi="Verdana" w:eastAsia="Verdana" w:cs="Verdana"/>
          <w:sz w:val="18"/>
          <w:szCs w:val="18"/>
        </w:rPr>
        <w:t xml:space="preserve">Käsitletakse vaid varase dementsusega patsiente (&lt;65. Eluaastal avalduv). </w:t>
      </w:r>
      <w:r w:rsidRPr="4E73F672" w:rsidR="4E73F672">
        <w:rPr>
          <w:rFonts w:ascii="Verdana" w:hAnsi="Verdana" w:eastAsia="Verdana" w:cs="Verdana"/>
          <w:sz w:val="18"/>
          <w:szCs w:val="18"/>
        </w:rPr>
        <w:t xml:space="preserve">Kõik patsiendid, kellel on varase algusega dementsus, tuleks suunata mälukliinikusse. Eelistatavalt sellisesse, kus on olemas võimalus geneetilisteks testimisteks ja nõustamiseks. </w:t>
      </w:r>
    </w:p>
    <w:p w:rsidR="31897A2A" w:rsidP="31897A2A" w:rsidRDefault="31897A2A" w14:noSpellErr="1" w14:paraId="1BCF50E2" w14:textId="5B5F84B1">
      <w:pPr>
        <w:jc w:val="both"/>
      </w:pPr>
      <w:r w:rsidRPr="4E73F672" w:rsidR="4E73F672">
        <w:rPr>
          <w:rFonts w:ascii="Verdana" w:hAnsi="Verdana" w:eastAsia="Verdana" w:cs="Verdana"/>
          <w:b w:val="1"/>
          <w:bCs w:val="1"/>
          <w:sz w:val="18"/>
          <w:szCs w:val="18"/>
          <w:u w:val="single"/>
          <w:lang w:val="et-EE"/>
        </w:rPr>
        <w:t>4.</w:t>
      </w:r>
      <w:r w:rsidRPr="4E73F672" w:rsidR="4E73F672">
        <w:rPr>
          <w:rFonts w:ascii="Verdana" w:hAnsi="Verdana" w:eastAsia="Verdana" w:cs="Verdana"/>
          <w:b w:val="1"/>
          <w:bCs w:val="1"/>
          <w:sz w:val="18"/>
          <w:szCs w:val="18"/>
          <w:u w:val="single"/>
          <w:lang w:val="en-US"/>
        </w:rPr>
        <w:t>Fourth Canadian Consensus Conference on the Diagnosis and Treatment of Dementia: recommendations for family physicians (2014)</w:t>
      </w:r>
      <w:r w:rsidRPr="4E73F672" w:rsidR="4E73F672">
        <w:rPr>
          <w:rFonts w:ascii="Verdana" w:hAnsi="Verdana" w:eastAsia="Verdana" w:cs="Verdana"/>
          <w:b w:val="1"/>
          <w:bCs w:val="1"/>
          <w:sz w:val="18"/>
          <w:szCs w:val="18"/>
          <w:lang w:val="et-EE"/>
        </w:rPr>
        <w:t xml:space="preserve"> </w:t>
      </w:r>
      <w:r w:rsidRPr="4E73F672" w:rsidR="4E73F672">
        <w:rPr>
          <w:rFonts w:ascii="Verdana" w:hAnsi="Verdana" w:eastAsia="Verdana" w:cs="Verdana"/>
          <w:sz w:val="18"/>
          <w:szCs w:val="18"/>
        </w:rPr>
        <w:t xml:space="preserve"> </w:t>
      </w:r>
    </w:p>
    <w:p w:rsidR="3FAFA00B" w:rsidP="3FAFA00B" w:rsidRDefault="3FAFA00B" w14:paraId="5F10AB4B" w14:textId="2602EB4A">
      <w:pPr>
        <w:jc w:val="both"/>
      </w:pPr>
      <w:r w:rsidRPr="2E9C8D5A" w:rsidR="2E9C8D5A">
        <w:rPr>
          <w:rFonts w:ascii="Verdana" w:hAnsi="Verdana" w:eastAsia="Verdana" w:cs="Verdana"/>
          <w:sz w:val="18"/>
          <w:szCs w:val="18"/>
        </w:rPr>
        <w:t xml:space="preserve">Dementsuse diagnoos on kliiniline, vaatamata arenevale tehnoloogiale ja peaks olema võimalik ka ilma </w:t>
      </w:r>
      <w:proofErr w:type="spellStart"/>
      <w:r w:rsidRPr="2E9C8D5A" w:rsidR="2E9C8D5A">
        <w:rPr>
          <w:rFonts w:ascii="Verdana" w:hAnsi="Verdana" w:eastAsia="Verdana" w:cs="Verdana"/>
          <w:sz w:val="18"/>
          <w:szCs w:val="18"/>
        </w:rPr>
        <w:t>neuropsühholoogiliste</w:t>
      </w:r>
      <w:proofErr w:type="spellEnd"/>
      <w:r w:rsidRPr="2E9C8D5A" w:rsidR="2E9C8D5A">
        <w:rPr>
          <w:rFonts w:ascii="Verdana" w:hAnsi="Verdana" w:eastAsia="Verdana" w:cs="Verdana"/>
          <w:sz w:val="18"/>
          <w:szCs w:val="18"/>
        </w:rPr>
        <w:t xml:space="preserve"> testide, </w:t>
      </w:r>
      <w:proofErr w:type="spellStart"/>
      <w:r w:rsidRPr="2E9C8D5A" w:rsidR="2E9C8D5A">
        <w:rPr>
          <w:rFonts w:ascii="Verdana" w:hAnsi="Verdana" w:eastAsia="Verdana" w:cs="Verdana"/>
          <w:sz w:val="18"/>
          <w:szCs w:val="18"/>
        </w:rPr>
        <w:t>neurovisualiseerimise</w:t>
      </w:r>
      <w:proofErr w:type="spellEnd"/>
      <w:r w:rsidRPr="2E9C8D5A" w:rsidR="2E9C8D5A">
        <w:rPr>
          <w:rFonts w:ascii="Verdana" w:hAnsi="Verdana" w:eastAsia="Verdana" w:cs="Verdana"/>
          <w:sz w:val="18"/>
          <w:szCs w:val="18"/>
        </w:rPr>
        <w:t xml:space="preserve"> jm. u</w:t>
      </w:r>
      <w:r w:rsidRPr="2E9C8D5A" w:rsidR="2E9C8D5A">
        <w:rPr>
          <w:rFonts w:ascii="Verdana" w:hAnsi="Verdana" w:eastAsia="Verdana" w:cs="Verdana"/>
          <w:sz w:val="18"/>
          <w:szCs w:val="18"/>
        </w:rPr>
        <w:t xml:space="preserve">uringute abita. Dementsus on püsiv omandatud difuusne </w:t>
      </w:r>
      <w:proofErr w:type="spellStart"/>
      <w:r w:rsidRPr="2E9C8D5A" w:rsidR="2E9C8D5A">
        <w:rPr>
          <w:rFonts w:ascii="Verdana" w:hAnsi="Verdana" w:eastAsia="Verdana" w:cs="Verdana"/>
          <w:sz w:val="18"/>
          <w:szCs w:val="18"/>
        </w:rPr>
        <w:t>kognitsiooni</w:t>
      </w:r>
      <w:proofErr w:type="spellEnd"/>
      <w:r w:rsidRPr="2E9C8D5A" w:rsidR="2E9C8D5A">
        <w:rPr>
          <w:rFonts w:ascii="Verdana" w:hAnsi="Verdana" w:eastAsia="Verdana" w:cs="Verdana"/>
          <w:sz w:val="18"/>
          <w:szCs w:val="18"/>
        </w:rPr>
        <w:t xml:space="preserve"> defitsiit, mis häirib igapäevast toimetulekut (deliirium ja raske depressioon on välistatud). AT korral on enam häiritud episoodiline mälu (võime omandada uut infot ja kätte saada hiljuti õpitut). </w:t>
      </w:r>
      <w:proofErr w:type="spellStart"/>
      <w:r w:rsidRPr="2E9C8D5A" w:rsidR="2E9C8D5A">
        <w:rPr>
          <w:rFonts w:ascii="Verdana" w:hAnsi="Verdana" w:eastAsia="Verdana" w:cs="Verdana"/>
          <w:sz w:val="18"/>
          <w:szCs w:val="18"/>
        </w:rPr>
        <w:t>Mitteamnestilised</w:t>
      </w:r>
      <w:proofErr w:type="spellEnd"/>
      <w:r w:rsidRPr="2E9C8D5A" w:rsidR="2E9C8D5A">
        <w:rPr>
          <w:rFonts w:ascii="Verdana" w:hAnsi="Verdana" w:eastAsia="Verdana" w:cs="Verdana"/>
          <w:sz w:val="18"/>
          <w:szCs w:val="18"/>
        </w:rPr>
        <w:t xml:space="preserve"> väljendused: keele, täidesaatvate funktsioonide ja ruumiliste võimete defitsiit (</w:t>
      </w:r>
      <w:proofErr w:type="spellStart"/>
      <w:r w:rsidRPr="2E9C8D5A" w:rsidR="2E9C8D5A">
        <w:rPr>
          <w:rFonts w:ascii="Verdana" w:hAnsi="Verdana" w:eastAsia="Verdana" w:cs="Verdana"/>
          <w:i w:val="1"/>
          <w:iCs w:val="1"/>
          <w:sz w:val="18"/>
          <w:szCs w:val="18"/>
        </w:rPr>
        <w:t>v</w:t>
      </w:r>
      <w:r w:rsidRPr="2E9C8D5A" w:rsidR="2E9C8D5A">
        <w:rPr>
          <w:rFonts w:ascii="Verdana" w:hAnsi="Verdana" w:eastAsia="Verdana" w:cs="Verdana"/>
          <w:i w:val="1"/>
          <w:iCs w:val="1"/>
          <w:sz w:val="18"/>
          <w:szCs w:val="18"/>
        </w:rPr>
        <w:t>isuospatial</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abilities</w:t>
      </w:r>
      <w:proofErr w:type="spellEnd"/>
      <w:r w:rsidRPr="2E9C8D5A" w:rsidR="2E9C8D5A">
        <w:rPr>
          <w:rFonts w:ascii="Verdana" w:hAnsi="Verdana" w:eastAsia="Verdana" w:cs="Verdana"/>
          <w:i w:val="1"/>
          <w:iCs w:val="1"/>
          <w:sz w:val="18"/>
          <w:szCs w:val="18"/>
        </w:rPr>
        <w:t>,</w:t>
      </w:r>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executive</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functionin</w:t>
      </w:r>
      <w:r w:rsidRPr="2E9C8D5A" w:rsidR="2E9C8D5A">
        <w:rPr>
          <w:rFonts w:ascii="Verdana" w:hAnsi="Verdana" w:eastAsia="Verdana" w:cs="Verdana"/>
          <w:i w:val="1"/>
          <w:iCs w:val="1"/>
          <w:sz w:val="18"/>
          <w:szCs w:val="18"/>
        </w:rPr>
        <w:t>g</w:t>
      </w:r>
      <w:proofErr w:type="spellEnd"/>
      <w:r w:rsidRPr="2E9C8D5A" w:rsidR="2E9C8D5A">
        <w:rPr>
          <w:rFonts w:ascii="Verdana" w:hAnsi="Verdana" w:eastAsia="Verdana" w:cs="Verdana"/>
          <w:sz w:val="18"/>
          <w:szCs w:val="18"/>
        </w:rPr>
        <w:t>). AT diagnoosiks peab olema defitsiit vähemalt 2 alagrupis.</w:t>
      </w:r>
    </w:p>
    <w:p w:rsidR="31897A2A" w:rsidP="31897A2A" w:rsidRDefault="31897A2A" w14:paraId="784CF1C7" w14:textId="37820A9F">
      <w:pPr>
        <w:jc w:val="both"/>
      </w:pPr>
      <w:r w:rsidRPr="2E9C8D5A" w:rsidR="2E9C8D5A">
        <w:rPr>
          <w:rFonts w:ascii="Verdana" w:hAnsi="Verdana" w:eastAsia="Verdana" w:cs="Verdana"/>
          <w:b w:val="1"/>
          <w:bCs w:val="1"/>
          <w:sz w:val="18"/>
          <w:szCs w:val="18"/>
          <w:u w:val="single"/>
          <w:lang w:val="et-EE"/>
        </w:rPr>
        <w:t>5.</w:t>
      </w:r>
      <w:r w:rsidRPr="2E9C8D5A" w:rsidR="2E9C8D5A">
        <w:rPr>
          <w:rFonts w:ascii="Verdana" w:hAnsi="Verdana" w:eastAsia="Verdana" w:cs="Verdana"/>
          <w:b w:val="1"/>
          <w:bCs w:val="1"/>
          <w:sz w:val="18"/>
          <w:szCs w:val="18"/>
          <w:u w:val="single"/>
          <w:lang w:val="en-US"/>
        </w:rPr>
        <w:t xml:space="preserve"> </w:t>
      </w:r>
      <w:r w:rsidRPr="2E9C8D5A" w:rsidR="2E9C8D5A">
        <w:rPr>
          <w:rFonts w:ascii="Verdana" w:hAnsi="Verdana" w:eastAsia="Verdana" w:cs="Verdana"/>
          <w:b w:val="1"/>
          <w:bCs w:val="1"/>
          <w:sz w:val="18"/>
          <w:szCs w:val="18"/>
          <w:u w:val="single"/>
          <w:lang w:val="en-US"/>
        </w:rPr>
        <w:t xml:space="preserve">Dementia: supporting people with dementia and their </w:t>
      </w:r>
      <w:proofErr w:type="spellStart"/>
      <w:r w:rsidRPr="2E9C8D5A" w:rsidR="2E9C8D5A">
        <w:rPr>
          <w:rFonts w:ascii="Verdana" w:hAnsi="Verdana" w:eastAsia="Verdana" w:cs="Verdana"/>
          <w:b w:val="1"/>
          <w:bCs w:val="1"/>
          <w:sz w:val="18"/>
          <w:szCs w:val="18"/>
          <w:u w:val="single"/>
          <w:lang w:val="en-US"/>
        </w:rPr>
        <w:t>carers</w:t>
      </w:r>
      <w:proofErr w:type="spellEnd"/>
      <w:r w:rsidRPr="2E9C8D5A" w:rsidR="2E9C8D5A">
        <w:rPr>
          <w:rFonts w:ascii="Verdana" w:hAnsi="Verdana" w:eastAsia="Verdana" w:cs="Verdana"/>
          <w:b w:val="1"/>
          <w:bCs w:val="1"/>
          <w:sz w:val="18"/>
          <w:szCs w:val="18"/>
          <w:u w:val="single"/>
          <w:lang w:val="en-US"/>
        </w:rPr>
        <w:t xml:space="preserve"> in health and social care Clinical guideline, NICE.</w:t>
      </w:r>
      <w:r w:rsidRPr="2E9C8D5A" w:rsidR="2E9C8D5A">
        <w:rPr>
          <w:rFonts w:ascii="Verdana" w:hAnsi="Verdana" w:eastAsia="Verdana" w:cs="Verdana"/>
          <w:b w:val="1"/>
          <w:bCs w:val="1"/>
          <w:sz w:val="18"/>
          <w:szCs w:val="18"/>
          <w:u w:val="single"/>
          <w:lang w:val="en-US"/>
        </w:rPr>
        <w:t xml:space="preserve"> Published: 22 November 2006 (</w:t>
      </w:r>
      <w:proofErr w:type="spellStart"/>
      <w:r w:rsidRPr="2E9C8D5A" w:rsidR="2E9C8D5A">
        <w:rPr>
          <w:rFonts w:ascii="Verdana" w:hAnsi="Verdana" w:eastAsia="Verdana" w:cs="Verdana"/>
          <w:b w:val="1"/>
          <w:bCs w:val="1"/>
          <w:sz w:val="18"/>
          <w:szCs w:val="18"/>
          <w:u w:val="single"/>
          <w:lang w:val="en-US"/>
        </w:rPr>
        <w:t>viimane</w:t>
      </w:r>
      <w:proofErr w:type="spellEnd"/>
      <w:r w:rsidRPr="2E9C8D5A" w:rsidR="2E9C8D5A">
        <w:rPr>
          <w:rFonts w:ascii="Verdana" w:hAnsi="Verdana" w:eastAsia="Verdana" w:cs="Verdana"/>
          <w:b w:val="1"/>
          <w:bCs w:val="1"/>
          <w:sz w:val="18"/>
          <w:szCs w:val="18"/>
          <w:u w:val="single"/>
          <w:lang w:val="en-US"/>
        </w:rPr>
        <w:t xml:space="preserve"> </w:t>
      </w:r>
      <w:proofErr w:type="spellStart"/>
      <w:r w:rsidRPr="2E9C8D5A" w:rsidR="2E9C8D5A">
        <w:rPr>
          <w:rFonts w:ascii="Verdana" w:hAnsi="Verdana" w:eastAsia="Verdana" w:cs="Verdana"/>
          <w:b w:val="1"/>
          <w:bCs w:val="1"/>
          <w:sz w:val="18"/>
          <w:szCs w:val="18"/>
          <w:u w:val="single"/>
          <w:lang w:val="en-US"/>
        </w:rPr>
        <w:t>ülevaatamine</w:t>
      </w:r>
      <w:proofErr w:type="spellEnd"/>
      <w:r w:rsidRPr="2E9C8D5A" w:rsidR="2E9C8D5A">
        <w:rPr>
          <w:rFonts w:ascii="Verdana" w:hAnsi="Verdana" w:eastAsia="Verdana" w:cs="Verdana"/>
          <w:b w:val="1"/>
          <w:bCs w:val="1"/>
          <w:sz w:val="18"/>
          <w:szCs w:val="18"/>
          <w:u w:val="single"/>
          <w:lang w:val="en-US"/>
        </w:rPr>
        <w:t xml:space="preserve"> 2015 </w:t>
      </w:r>
      <w:proofErr w:type="spellStart"/>
      <w:r w:rsidRPr="2E9C8D5A" w:rsidR="2E9C8D5A">
        <w:rPr>
          <w:rFonts w:ascii="Verdana" w:hAnsi="Verdana" w:eastAsia="Verdana" w:cs="Verdana"/>
          <w:b w:val="1"/>
          <w:bCs w:val="1"/>
          <w:sz w:val="18"/>
          <w:szCs w:val="18"/>
          <w:u w:val="single"/>
          <w:lang w:val="en-US"/>
        </w:rPr>
        <w:t>märtsis</w:t>
      </w:r>
      <w:proofErr w:type="spellEnd"/>
      <w:r w:rsidRPr="2E9C8D5A" w:rsidR="2E9C8D5A">
        <w:rPr>
          <w:rFonts w:ascii="Verdana" w:hAnsi="Verdana" w:eastAsia="Verdana" w:cs="Verdana"/>
          <w:b w:val="1"/>
          <w:bCs w:val="1"/>
          <w:sz w:val="18"/>
          <w:szCs w:val="18"/>
          <w:u w:val="single"/>
          <w:lang w:val="en-US"/>
        </w:rPr>
        <w:t>).</w:t>
      </w:r>
      <w:r w:rsidRPr="2E9C8D5A" w:rsidR="2E9C8D5A">
        <w:rPr>
          <w:rFonts w:ascii="Verdana" w:hAnsi="Verdana" w:eastAsia="Verdana" w:cs="Verdana"/>
          <w:sz w:val="18"/>
          <w:szCs w:val="18"/>
        </w:rPr>
        <w:t xml:space="preserve"> </w:t>
      </w:r>
    </w:p>
    <w:p w:rsidR="3FAFA00B" w:rsidP="3FAFA00B" w:rsidRDefault="3FAFA00B" w14:paraId="1DE99663" w14:textId="1AA9666B">
      <w:pPr>
        <w:jc w:val="both"/>
      </w:pPr>
      <w:r w:rsidRPr="2E9C8D5A" w:rsidR="2E9C8D5A">
        <w:rPr>
          <w:rFonts w:ascii="Verdana" w:hAnsi="Verdana" w:eastAsia="Verdana" w:cs="Verdana"/>
          <w:sz w:val="18"/>
          <w:szCs w:val="18"/>
        </w:rPr>
        <w:t xml:space="preserve">Dementsuse diagnoos tuleks vormistada vaid juhul, kui on läbi viidud põhjalik hindamine: anamnees, </w:t>
      </w:r>
      <w:proofErr w:type="spellStart"/>
      <w:r w:rsidRPr="2E9C8D5A" w:rsidR="2E9C8D5A">
        <w:rPr>
          <w:rFonts w:ascii="Verdana" w:hAnsi="Verdana" w:eastAsia="Verdana" w:cs="Verdana"/>
          <w:sz w:val="18"/>
          <w:szCs w:val="18"/>
        </w:rPr>
        <w:t>kognitsiooni</w:t>
      </w:r>
      <w:proofErr w:type="spellEnd"/>
      <w:r w:rsidRPr="2E9C8D5A" w:rsidR="2E9C8D5A">
        <w:rPr>
          <w:rFonts w:ascii="Verdana" w:hAnsi="Verdana" w:eastAsia="Verdana" w:cs="Verdana"/>
          <w:sz w:val="18"/>
          <w:szCs w:val="18"/>
        </w:rPr>
        <w:t xml:space="preserve"> ja vaimse seisundi hindamine, füüsiline läbivaatus ja vajadusel teised uuringud. Üle tuleb vaadata patsiendi raviskeem, kaasa arvatud käsimüügiravimid. </w:t>
      </w:r>
    </w:p>
    <w:p w:rsidR="3FAFA00B" w:rsidP="3FAFA00B" w:rsidRDefault="3FAFA00B" w14:noSpellErr="1" w14:paraId="68F1E2C0" w14:textId="0D144C12">
      <w:pPr>
        <w:pStyle w:val="Normaallaad"/>
        <w:jc w:val="both"/>
      </w:pPr>
      <w:r w:rsidRPr="3FAFA00B" w:rsidR="3FAFA00B">
        <w:rPr>
          <w:rFonts w:ascii="Verdana" w:hAnsi="Verdana" w:eastAsia="Verdana" w:cs="Verdana"/>
          <w:sz w:val="18"/>
          <w:szCs w:val="18"/>
        </w:rPr>
        <w:t>Patsiendilt</w:t>
      </w:r>
      <w:r w:rsidRPr="3FAFA00B" w:rsidR="3FAFA00B">
        <w:rPr>
          <w:rFonts w:ascii="Verdana" w:hAnsi="Verdana" w:eastAsia="Verdana" w:cs="Verdana"/>
          <w:sz w:val="18"/>
          <w:szCs w:val="18"/>
        </w:rPr>
        <w:t xml:space="preserve">, keda hinnatakse dementsuse osas, tuleks küsida, kas nad soovivad teada diagnoosi ja kellega seda infot võib jagada. </w:t>
      </w:r>
    </w:p>
    <w:p w:rsidR="3FAFA00B" w:rsidP="3FAFA00B" w:rsidRDefault="3FAFA00B" w14:paraId="7B37BBC9" w14:textId="097FBF16">
      <w:pPr>
        <w:jc w:val="both"/>
      </w:pPr>
      <w:r w:rsidRPr="2E9C8D5A" w:rsidR="2E9C8D5A">
        <w:rPr>
          <w:rFonts w:ascii="Verdana" w:hAnsi="Verdana" w:eastAsia="Verdana" w:cs="Verdana"/>
          <w:sz w:val="18"/>
          <w:szCs w:val="18"/>
        </w:rPr>
        <w:t xml:space="preserve">Kliinilises kognitiivses hindamises dementsuse kahtlusel tuleks tähelepanu pöörata patsiendi tähelepanule, keskendumisele, orientatsioonile, lühi-ja </w:t>
      </w:r>
      <w:proofErr w:type="spellStart"/>
      <w:r w:rsidRPr="2E9C8D5A" w:rsidR="2E9C8D5A">
        <w:rPr>
          <w:rFonts w:ascii="Verdana" w:hAnsi="Verdana" w:eastAsia="Verdana" w:cs="Verdana"/>
          <w:sz w:val="18"/>
          <w:szCs w:val="18"/>
        </w:rPr>
        <w:t>kaugmälule</w:t>
      </w:r>
      <w:proofErr w:type="spellEnd"/>
      <w:r w:rsidRPr="2E9C8D5A" w:rsidR="2E9C8D5A">
        <w:rPr>
          <w:rFonts w:ascii="Verdana" w:hAnsi="Verdana" w:eastAsia="Verdana" w:cs="Verdana"/>
          <w:sz w:val="18"/>
          <w:szCs w:val="18"/>
        </w:rPr>
        <w:t>, tegevustega toimetulekule</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i w:val="1"/>
          <w:iCs w:val="1"/>
          <w:sz w:val="18"/>
          <w:szCs w:val="18"/>
        </w:rPr>
        <w:t>praxis</w:t>
      </w:r>
      <w:proofErr w:type="spellEnd"/>
      <w:r w:rsidRPr="2E9C8D5A" w:rsidR="2E9C8D5A">
        <w:rPr>
          <w:rFonts w:ascii="Verdana" w:hAnsi="Verdana" w:eastAsia="Verdana" w:cs="Verdana"/>
          <w:sz w:val="18"/>
          <w:szCs w:val="18"/>
        </w:rPr>
        <w:t>), keelele ja täidesaatvatele funktsioonidele (</w:t>
      </w:r>
      <w:proofErr w:type="spellStart"/>
      <w:r w:rsidRPr="2E9C8D5A" w:rsidR="2E9C8D5A">
        <w:rPr>
          <w:rFonts w:ascii="Verdana" w:hAnsi="Verdana" w:eastAsia="Verdana" w:cs="Verdana"/>
          <w:i w:val="1"/>
          <w:iCs w:val="1"/>
          <w:sz w:val="18"/>
          <w:szCs w:val="18"/>
        </w:rPr>
        <w:t>executive</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function</w:t>
      </w:r>
      <w:proofErr w:type="spellEnd"/>
      <w:r w:rsidRPr="2E9C8D5A" w:rsidR="2E9C8D5A">
        <w:rPr>
          <w:rFonts w:ascii="Verdana" w:hAnsi="Verdana" w:eastAsia="Verdana" w:cs="Verdana"/>
          <w:sz w:val="18"/>
          <w:szCs w:val="18"/>
        </w:rPr>
        <w:t xml:space="preserve">). Tuleks kasutada standardiseeritud instrumenti. MMSE on sageli kasutatav sel eesmärgil, kuid on ka alternatiive nagu: </w:t>
      </w:r>
      <w:r w:rsidRPr="2E9C8D5A" w:rsidR="2E9C8D5A">
        <w:rPr>
          <w:rFonts w:ascii="Verdana" w:hAnsi="Verdana" w:eastAsia="Verdana" w:cs="Verdana"/>
          <w:i w:val="1"/>
          <w:iCs w:val="1"/>
          <w:sz w:val="18"/>
          <w:szCs w:val="18"/>
        </w:rPr>
        <w:t>6-item</w:t>
      </w:r>
      <w:r w:rsidRPr="2E9C8D5A" w:rsidR="2E9C8D5A">
        <w:rPr>
          <w:rFonts w:ascii="Verdana" w:hAnsi="Verdana" w:eastAsia="Verdana" w:cs="Verdana"/>
          <w:i w:val="1"/>
          <w:iCs w:val="1"/>
          <w:sz w:val="18"/>
          <w:szCs w:val="18"/>
        </w:rPr>
        <w:t>Cognitive</w:t>
      </w:r>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Impairment</w:t>
      </w:r>
      <w:proofErr w:type="spellEnd"/>
      <w:r w:rsidRPr="2E9C8D5A" w:rsidR="2E9C8D5A">
        <w:rPr>
          <w:rFonts w:ascii="Verdana" w:hAnsi="Verdana" w:eastAsia="Verdana" w:cs="Verdana"/>
          <w:i w:val="1"/>
          <w:iCs w:val="1"/>
          <w:sz w:val="18"/>
          <w:szCs w:val="18"/>
        </w:rPr>
        <w:t xml:space="preserve"> Test (6-CIT), </w:t>
      </w:r>
      <w:proofErr w:type="spellStart"/>
      <w:r w:rsidRPr="2E9C8D5A" w:rsidR="2E9C8D5A">
        <w:rPr>
          <w:rFonts w:ascii="Verdana" w:hAnsi="Verdana" w:eastAsia="Verdana" w:cs="Verdana"/>
          <w:i w:val="1"/>
          <w:iCs w:val="1"/>
          <w:sz w:val="18"/>
          <w:szCs w:val="18"/>
        </w:rPr>
        <w:t>the</w:t>
      </w:r>
      <w:proofErr w:type="spellEnd"/>
      <w:r w:rsidRPr="2E9C8D5A" w:rsidR="2E9C8D5A">
        <w:rPr>
          <w:rFonts w:ascii="Verdana" w:hAnsi="Verdana" w:eastAsia="Verdana" w:cs="Verdana"/>
          <w:i w:val="1"/>
          <w:iCs w:val="1"/>
          <w:sz w:val="18"/>
          <w:szCs w:val="18"/>
        </w:rPr>
        <w:t xml:space="preserve"> General </w:t>
      </w:r>
      <w:proofErr w:type="spellStart"/>
      <w:r w:rsidRPr="2E9C8D5A" w:rsidR="2E9C8D5A">
        <w:rPr>
          <w:rFonts w:ascii="Verdana" w:hAnsi="Verdana" w:eastAsia="Verdana" w:cs="Verdana"/>
          <w:i w:val="1"/>
          <w:iCs w:val="1"/>
          <w:sz w:val="18"/>
          <w:szCs w:val="18"/>
        </w:rPr>
        <w:t>Practitioner</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Assessment</w:t>
      </w:r>
      <w:proofErr w:type="spellEnd"/>
      <w:r w:rsidRPr="2E9C8D5A" w:rsidR="2E9C8D5A">
        <w:rPr>
          <w:rFonts w:ascii="Verdana" w:hAnsi="Verdana" w:eastAsia="Verdana" w:cs="Verdana"/>
          <w:i w:val="1"/>
          <w:iCs w:val="1"/>
          <w:sz w:val="18"/>
          <w:szCs w:val="18"/>
        </w:rPr>
        <w:t xml:space="preserve"> of </w:t>
      </w:r>
      <w:proofErr w:type="spellStart"/>
      <w:r w:rsidRPr="2E9C8D5A" w:rsidR="2E9C8D5A">
        <w:rPr>
          <w:rFonts w:ascii="Verdana" w:hAnsi="Verdana" w:eastAsia="Verdana" w:cs="Verdana"/>
          <w:i w:val="1"/>
          <w:iCs w:val="1"/>
          <w:sz w:val="18"/>
          <w:szCs w:val="18"/>
        </w:rPr>
        <w:t>Cognition</w:t>
      </w:r>
      <w:proofErr w:type="spellEnd"/>
      <w:r w:rsidRPr="2E9C8D5A" w:rsidR="2E9C8D5A">
        <w:rPr>
          <w:rFonts w:ascii="Verdana" w:hAnsi="Verdana" w:eastAsia="Verdana" w:cs="Verdana"/>
          <w:i w:val="1"/>
          <w:iCs w:val="1"/>
          <w:sz w:val="18"/>
          <w:szCs w:val="18"/>
        </w:rPr>
        <w:t xml:space="preserve"> (GPCOG) and </w:t>
      </w:r>
      <w:proofErr w:type="spellStart"/>
      <w:r w:rsidRPr="2E9C8D5A" w:rsidR="2E9C8D5A">
        <w:rPr>
          <w:rFonts w:ascii="Verdana" w:hAnsi="Verdana" w:eastAsia="Verdana" w:cs="Verdana"/>
          <w:i w:val="1"/>
          <w:iCs w:val="1"/>
          <w:sz w:val="18"/>
          <w:szCs w:val="18"/>
        </w:rPr>
        <w:t>the</w:t>
      </w:r>
      <w:proofErr w:type="spellEnd"/>
      <w:r w:rsidRPr="2E9C8D5A" w:rsidR="2E9C8D5A">
        <w:rPr>
          <w:rFonts w:ascii="Verdana" w:hAnsi="Verdana" w:eastAsia="Verdana" w:cs="Verdana"/>
          <w:i w:val="1"/>
          <w:iCs w:val="1"/>
          <w:sz w:val="18"/>
          <w:szCs w:val="18"/>
        </w:rPr>
        <w:t xml:space="preserve"> 7-Minute </w:t>
      </w:r>
      <w:proofErr w:type="spellStart"/>
      <w:r w:rsidRPr="2E9C8D5A" w:rsidR="2E9C8D5A">
        <w:rPr>
          <w:rFonts w:ascii="Verdana" w:hAnsi="Verdana" w:eastAsia="Verdana" w:cs="Verdana"/>
          <w:i w:val="1"/>
          <w:iCs w:val="1"/>
          <w:sz w:val="18"/>
          <w:szCs w:val="18"/>
        </w:rPr>
        <w:t>Screen</w:t>
      </w:r>
      <w:proofErr w:type="spellEnd"/>
      <w:r w:rsidRPr="2E9C8D5A" w:rsidR="2E9C8D5A">
        <w:rPr>
          <w:rFonts w:ascii="Verdana" w:hAnsi="Verdana" w:eastAsia="Verdana" w:cs="Verdana"/>
          <w:sz w:val="18"/>
          <w:szCs w:val="18"/>
        </w:rPr>
        <w:t>.</w:t>
      </w:r>
    </w:p>
    <w:p w:rsidR="3FAFA00B" w:rsidP="3FAFA00B" w:rsidRDefault="3FAFA00B" w14:paraId="40B55987" w14:textId="2A7FBDEC">
      <w:pPr>
        <w:pStyle w:val="Normaallaad"/>
        <w:jc w:val="both"/>
      </w:pPr>
      <w:proofErr w:type="spellStart"/>
      <w:r w:rsidRPr="2E9C8D5A" w:rsidR="2E9C8D5A">
        <w:rPr>
          <w:rFonts w:ascii="Verdana" w:hAnsi="Verdana" w:eastAsia="Verdana" w:cs="Verdana"/>
          <w:sz w:val="18"/>
          <w:szCs w:val="18"/>
        </w:rPr>
        <w:t>Skriinimisel</w:t>
      </w:r>
      <w:proofErr w:type="spellEnd"/>
      <w:r w:rsidRPr="2E9C8D5A" w:rsidR="2E9C8D5A">
        <w:rPr>
          <w:rFonts w:ascii="Verdana" w:hAnsi="Verdana" w:eastAsia="Verdana" w:cs="Verdana"/>
          <w:sz w:val="18"/>
          <w:szCs w:val="18"/>
        </w:rPr>
        <w:t xml:space="preserve"> tuleb arvestada haridustaset, oskusi, saavutusi, varasemat </w:t>
      </w:r>
      <w:r w:rsidRPr="2E9C8D5A" w:rsidR="2E9C8D5A">
        <w:rPr>
          <w:rFonts w:ascii="Verdana" w:hAnsi="Verdana" w:eastAsia="Verdana" w:cs="Verdana"/>
          <w:sz w:val="18"/>
          <w:szCs w:val="18"/>
        </w:rPr>
        <w:t>funktsioneerimist</w:t>
      </w:r>
      <w:r w:rsidRPr="2E9C8D5A" w:rsidR="2E9C8D5A">
        <w:rPr>
          <w:rFonts w:ascii="Verdana" w:hAnsi="Verdana" w:eastAsia="Verdana" w:cs="Verdana"/>
          <w:sz w:val="18"/>
          <w:szCs w:val="18"/>
        </w:rPr>
        <w:t>aset</w:t>
      </w:r>
      <w:r w:rsidRPr="2E9C8D5A" w:rsidR="2E9C8D5A">
        <w:rPr>
          <w:rFonts w:ascii="Verdana" w:hAnsi="Verdana" w:eastAsia="Verdana" w:cs="Verdana"/>
          <w:sz w:val="18"/>
          <w:szCs w:val="18"/>
        </w:rPr>
        <w:t xml:space="preserve">, keelt, sensoorseid piiranguid (nt. Kuulmislangus), </w:t>
      </w:r>
      <w:proofErr w:type="spellStart"/>
      <w:r w:rsidRPr="2E9C8D5A" w:rsidR="2E9C8D5A">
        <w:rPr>
          <w:rFonts w:ascii="Verdana" w:hAnsi="Verdana" w:eastAsia="Verdana" w:cs="Verdana"/>
          <w:sz w:val="18"/>
          <w:szCs w:val="18"/>
        </w:rPr>
        <w:t>psühhiatrilisi</w:t>
      </w:r>
      <w:proofErr w:type="spellEnd"/>
      <w:r w:rsidRPr="2E9C8D5A" w:rsidR="2E9C8D5A">
        <w:rPr>
          <w:rFonts w:ascii="Verdana" w:hAnsi="Verdana" w:eastAsia="Verdana" w:cs="Verdana"/>
          <w:sz w:val="18"/>
          <w:szCs w:val="18"/>
        </w:rPr>
        <w:t xml:space="preserve"> haigusi, kehalisi/neuroloogilisi probleeme. </w:t>
      </w:r>
    </w:p>
    <w:p w:rsidR="31897A2A" w:rsidP="31897A2A" w:rsidRDefault="31897A2A" w14:paraId="181667D1" w14:textId="2EF1A8F2">
      <w:pPr>
        <w:jc w:val="both"/>
      </w:pPr>
      <w:proofErr w:type="spellStart"/>
      <w:r w:rsidRPr="2E9C8D5A" w:rsidR="2E9C8D5A">
        <w:rPr>
          <w:rFonts w:ascii="Verdana" w:hAnsi="Verdana" w:eastAsia="Verdana" w:cs="Verdana"/>
          <w:sz w:val="18"/>
          <w:szCs w:val="18"/>
        </w:rPr>
        <w:t>Neuropsühholoogiline</w:t>
      </w:r>
      <w:proofErr w:type="spellEnd"/>
      <w:r w:rsidRPr="2E9C8D5A" w:rsidR="2E9C8D5A">
        <w:rPr>
          <w:rFonts w:ascii="Verdana" w:hAnsi="Verdana" w:eastAsia="Verdana" w:cs="Verdana"/>
          <w:sz w:val="18"/>
          <w:szCs w:val="18"/>
        </w:rPr>
        <w:t xml:space="preserve"> testimine peaks olema osa hindamisest kerge ja küsitava dementsuse korral (</w:t>
      </w:r>
      <w:proofErr w:type="spellStart"/>
      <w:r w:rsidRPr="2E9C8D5A" w:rsidR="2E9C8D5A">
        <w:rPr>
          <w:rFonts w:ascii="Verdana" w:hAnsi="Verdana" w:eastAsia="Verdana" w:cs="Verdana"/>
          <w:i w:val="1"/>
          <w:iCs w:val="1"/>
          <w:sz w:val="18"/>
          <w:szCs w:val="18"/>
        </w:rPr>
        <w:t>mild</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or</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questionable</w:t>
      </w:r>
      <w:proofErr w:type="spellEnd"/>
      <w:r w:rsidRPr="2E9C8D5A" w:rsidR="2E9C8D5A">
        <w:rPr>
          <w:rFonts w:ascii="Verdana" w:hAnsi="Verdana" w:eastAsia="Verdana" w:cs="Verdana"/>
          <w:i w:val="1"/>
          <w:iCs w:val="1"/>
          <w:sz w:val="18"/>
          <w:szCs w:val="18"/>
        </w:rPr>
        <w:t xml:space="preserve"> </w:t>
      </w:r>
      <w:proofErr w:type="spellStart"/>
      <w:r w:rsidRPr="2E9C8D5A" w:rsidR="2E9C8D5A">
        <w:rPr>
          <w:rFonts w:ascii="Verdana" w:hAnsi="Verdana" w:eastAsia="Verdana" w:cs="Verdana"/>
          <w:i w:val="1"/>
          <w:iCs w:val="1"/>
          <w:sz w:val="18"/>
          <w:szCs w:val="18"/>
        </w:rPr>
        <w:t>dementia</w:t>
      </w:r>
      <w:proofErr w:type="spellEnd"/>
      <w:r w:rsidRPr="2E9C8D5A" w:rsidR="2E9C8D5A">
        <w:rPr>
          <w:rFonts w:ascii="Verdana" w:hAnsi="Verdana" w:eastAsia="Verdana" w:cs="Verdana"/>
          <w:sz w:val="18"/>
          <w:szCs w:val="18"/>
        </w:rPr>
        <w:t>)</w:t>
      </w:r>
      <w:r w:rsidRPr="2E9C8D5A" w:rsidR="2E9C8D5A">
        <w:rPr>
          <w:rFonts w:ascii="Verdana" w:hAnsi="Verdana" w:eastAsia="Verdana" w:cs="Verdana"/>
          <w:sz w:val="18"/>
          <w:szCs w:val="18"/>
        </w:rPr>
        <w:t>.</w:t>
      </w:r>
    </w:p>
    <w:p w:rsidR="31897A2A" w:rsidP="31897A2A" w:rsidRDefault="31897A2A" w14:paraId="319400CB" w14:textId="6D7FF9A3">
      <w:pPr>
        <w:pStyle w:val="Normaallaad"/>
        <w:jc w:val="both"/>
      </w:pPr>
    </w:p>
    <w:p w:rsidR="31897A2A" w:rsidP="31897A2A" w:rsidRDefault="31897A2A" w14:paraId="221D6220" w14:textId="121B3984">
      <w:pPr>
        <w:pStyle w:val="Normaallaad"/>
        <w:jc w:val="both"/>
      </w:pPr>
      <w:r w:rsidRPr="2E9C8D5A" w:rsidR="2E9C8D5A">
        <w:rPr>
          <w:rFonts w:ascii="Verdana" w:hAnsi="Verdana" w:eastAsia="Verdana" w:cs="Verdana"/>
          <w:b w:val="1"/>
          <w:bCs w:val="1"/>
          <w:sz w:val="18"/>
          <w:szCs w:val="18"/>
          <w:u w:val="single"/>
        </w:rPr>
        <w:t>6.</w:t>
      </w:r>
      <w:r w:rsidRPr="2E9C8D5A" w:rsidR="2E9C8D5A">
        <w:rPr>
          <w:rFonts w:ascii="Verdana" w:hAnsi="Verdana" w:eastAsia="Verdana" w:cs="Verdana"/>
          <w:b w:val="1"/>
          <w:bCs w:val="1"/>
          <w:sz w:val="18"/>
          <w:szCs w:val="18"/>
          <w:u w:val="single"/>
          <w:lang w:val="et-EE"/>
        </w:rPr>
        <w:t xml:space="preserve"> </w:t>
      </w:r>
      <w:r w:rsidRPr="2E9C8D5A" w:rsidR="2E9C8D5A">
        <w:rPr>
          <w:rFonts w:ascii="Verdana" w:hAnsi="Verdana" w:eastAsia="Verdana" w:cs="Verdana"/>
          <w:b w:val="1"/>
          <w:bCs w:val="1"/>
          <w:sz w:val="18"/>
          <w:szCs w:val="18"/>
          <w:u w:val="single"/>
          <w:lang w:val="et-EE"/>
        </w:rPr>
        <w:t xml:space="preserve">California </w:t>
      </w:r>
      <w:proofErr w:type="spellStart"/>
      <w:r w:rsidRPr="2E9C8D5A" w:rsidR="2E9C8D5A">
        <w:rPr>
          <w:rFonts w:ascii="Verdana" w:hAnsi="Verdana" w:eastAsia="Verdana" w:cs="Verdana"/>
          <w:b w:val="1"/>
          <w:bCs w:val="1"/>
          <w:sz w:val="18"/>
          <w:szCs w:val="18"/>
          <w:u w:val="single"/>
          <w:lang w:val="et-EE"/>
        </w:rPr>
        <w:t>Workgroup</w:t>
      </w:r>
      <w:proofErr w:type="spellEnd"/>
      <w:r w:rsidRPr="2E9C8D5A" w:rsidR="2E9C8D5A">
        <w:rPr>
          <w:rFonts w:ascii="Verdana" w:hAnsi="Verdana" w:eastAsia="Verdana" w:cs="Verdana"/>
          <w:b w:val="1"/>
          <w:bCs w:val="1"/>
          <w:sz w:val="18"/>
          <w:szCs w:val="18"/>
          <w:u w:val="single"/>
          <w:lang w:val="et-EE"/>
        </w:rPr>
        <w:t xml:space="preserve"> on </w:t>
      </w:r>
      <w:proofErr w:type="spellStart"/>
      <w:r w:rsidRPr="2E9C8D5A" w:rsidR="2E9C8D5A">
        <w:rPr>
          <w:rFonts w:ascii="Verdana" w:hAnsi="Verdana" w:eastAsia="Verdana" w:cs="Verdana"/>
          <w:b w:val="1"/>
          <w:bCs w:val="1"/>
          <w:sz w:val="18"/>
          <w:szCs w:val="18"/>
          <w:u w:val="single"/>
          <w:lang w:val="et-EE"/>
        </w:rPr>
        <w:t>Guidelines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for</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Alzheimer’s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Disease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Management</w:t>
      </w:r>
      <w:proofErr w:type="spellEnd"/>
      <w:r w:rsidRPr="2E9C8D5A" w:rsidR="2E9C8D5A">
        <w:rPr>
          <w:rFonts w:ascii="Verdana" w:hAnsi="Verdana" w:eastAsia="Verdana" w:cs="Verdana"/>
          <w:b w:val="1"/>
          <w:bCs w:val="1"/>
          <w:sz w:val="18"/>
          <w:szCs w:val="18"/>
          <w:u w:val="single"/>
          <w:lang w:val="et-EE"/>
        </w:rPr>
        <w:t xml:space="preserve"> </w:t>
      </w:r>
    </w:p>
    <w:p w:rsidR="3FAFA00B" w:rsidP="3FAFA00B" w:rsidRDefault="3FAFA00B" w14:paraId="6234594D" w14:textId="11D1647F">
      <w:pPr>
        <w:jc w:val="both"/>
      </w:pPr>
      <w:r w:rsidRPr="2E9C8D5A" w:rsidR="2E9C8D5A">
        <w:rPr>
          <w:rFonts w:ascii="Verdana" w:hAnsi="Verdana" w:eastAsia="Verdana" w:cs="Verdana"/>
          <w:sz w:val="18"/>
          <w:szCs w:val="18"/>
        </w:rPr>
        <w:t xml:space="preserve">Tuleb teha põhjalik hinnang: patsiendi, perekonna ja koduse keskkonna osas, ainult siis saab paika panna </w:t>
      </w:r>
      <w:r w:rsidRPr="2E9C8D5A" w:rsidR="2E9C8D5A">
        <w:rPr>
          <w:rFonts w:ascii="Verdana" w:hAnsi="Verdana" w:eastAsia="Verdana" w:cs="Verdana"/>
          <w:sz w:val="18"/>
          <w:szCs w:val="18"/>
        </w:rPr>
        <w:t>sobi</w:t>
      </w:r>
      <w:r w:rsidRPr="2E9C8D5A" w:rsidR="2E9C8D5A">
        <w:rPr>
          <w:rFonts w:ascii="Verdana" w:hAnsi="Verdana" w:eastAsia="Verdana" w:cs="Verdana"/>
          <w:sz w:val="18"/>
          <w:szCs w:val="18"/>
        </w:rPr>
        <w:t>vad</w:t>
      </w:r>
      <w:r w:rsidRPr="2E9C8D5A" w:rsidR="2E9C8D5A">
        <w:rPr>
          <w:rFonts w:ascii="Verdana" w:hAnsi="Verdana" w:eastAsia="Verdana" w:cs="Verdana"/>
          <w:sz w:val="18"/>
          <w:szCs w:val="18"/>
        </w:rPr>
        <w:t xml:space="preserve"> ravi eesmärgid ja plaanis. Tuleb hinnata: kaasuvad haigused, funktsionaalne staatus, kognitiivne staatus ja psühhiaatrilised sümptomid (ka võimalikud </w:t>
      </w:r>
      <w:proofErr w:type="spellStart"/>
      <w:r w:rsidRPr="2E9C8D5A" w:rsidR="2E9C8D5A">
        <w:rPr>
          <w:rFonts w:ascii="Verdana" w:hAnsi="Verdana" w:eastAsia="Verdana" w:cs="Verdana"/>
          <w:sz w:val="18"/>
          <w:szCs w:val="18"/>
        </w:rPr>
        <w:t>psühhootilised</w:t>
      </w:r>
      <w:proofErr w:type="spellEnd"/>
      <w:r w:rsidRPr="2E9C8D5A" w:rsidR="2E9C8D5A">
        <w:rPr>
          <w:rFonts w:ascii="Verdana" w:hAnsi="Verdana" w:eastAsia="Verdana" w:cs="Verdana"/>
          <w:sz w:val="18"/>
          <w:szCs w:val="18"/>
        </w:rPr>
        <w:t xml:space="preserve"> sümptomid ja depressioon). Tuleb hinnata ka patsiendi tugisüsteeme ja otsustusvõimet, </w:t>
      </w:r>
      <w:r w:rsidRPr="2E9C8D5A" w:rsidR="2E9C8D5A">
        <w:rPr>
          <w:rFonts w:ascii="Verdana" w:hAnsi="Verdana" w:eastAsia="Verdana" w:cs="Verdana"/>
          <w:sz w:val="18"/>
          <w:szCs w:val="18"/>
        </w:rPr>
        <w:t>paika panna peamine hooldaja (</w:t>
      </w:r>
      <w:proofErr w:type="spellStart"/>
      <w:r w:rsidRPr="2E9C8D5A" w:rsidR="2E9C8D5A">
        <w:rPr>
          <w:rFonts w:ascii="Verdana" w:hAnsi="Verdana" w:eastAsia="Verdana" w:cs="Verdana"/>
          <w:sz w:val="18"/>
          <w:szCs w:val="18"/>
        </w:rPr>
        <w:t>primary</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caregiver</w:t>
      </w:r>
      <w:proofErr w:type="spellEnd"/>
      <w:r w:rsidRPr="2E9C8D5A" w:rsidR="2E9C8D5A">
        <w:rPr>
          <w:rFonts w:ascii="Verdana" w:hAnsi="Verdana" w:eastAsia="Verdana" w:cs="Verdana"/>
          <w:sz w:val="18"/>
          <w:szCs w:val="18"/>
        </w:rPr>
        <w:t>). Hooldaja on oluline infoallikas.</w:t>
      </w:r>
    </w:p>
    <w:p w:rsidR="3FAFA00B" w:rsidP="3FAFA00B" w:rsidRDefault="3FAFA00B" w14:paraId="05859483" w14:textId="72BEFBFF">
      <w:pPr>
        <w:jc w:val="both"/>
      </w:pPr>
      <w:r w:rsidRPr="2E9C8D5A" w:rsidR="2E9C8D5A">
        <w:rPr>
          <w:rFonts w:ascii="Verdana" w:hAnsi="Verdana" w:eastAsia="Verdana" w:cs="Verdana"/>
          <w:sz w:val="18"/>
          <w:szCs w:val="18"/>
        </w:rPr>
        <w:t>Funktsionaalne hindamine: ADL hindamine (toitumine, pesemine, riietumine, liikuvus, hügieenitoimingud). Esmalt on häiritud tavaliselt instrumentaalsed ADL, hiljem põhitegevused</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i w:val="1"/>
          <w:iCs w:val="1"/>
          <w:sz w:val="18"/>
          <w:szCs w:val="18"/>
        </w:rPr>
        <w:t>basi</w:t>
      </w:r>
      <w:r w:rsidRPr="2E9C8D5A" w:rsidR="2E9C8D5A">
        <w:rPr>
          <w:rFonts w:ascii="Verdana" w:hAnsi="Verdana" w:eastAsia="Verdana" w:cs="Verdana"/>
          <w:sz w:val="18"/>
          <w:szCs w:val="18"/>
        </w:rPr>
        <w:t>c</w:t>
      </w:r>
      <w:proofErr w:type="spellEnd"/>
      <w:r w:rsidRPr="2E9C8D5A" w:rsidR="2E9C8D5A">
        <w:rPr>
          <w:rFonts w:ascii="Verdana" w:hAnsi="Verdana" w:eastAsia="Verdana" w:cs="Verdana"/>
          <w:sz w:val="18"/>
          <w:szCs w:val="18"/>
        </w:rPr>
        <w:t xml:space="preserve"> ADL)</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H</w:t>
      </w:r>
      <w:r w:rsidRPr="2E9C8D5A" w:rsidR="2E9C8D5A">
        <w:rPr>
          <w:rFonts w:ascii="Verdana" w:hAnsi="Verdana" w:eastAsia="Verdana" w:cs="Verdana"/>
          <w:sz w:val="18"/>
          <w:szCs w:val="18"/>
        </w:rPr>
        <w:t>innata elukeskkonda ja selle ohutust.</w:t>
      </w:r>
    </w:p>
    <w:p w:rsidR="3FAFA00B" w:rsidP="3FAFA00B" w:rsidRDefault="3FAFA00B" w14:paraId="68C32A0A" w14:textId="50AFF334">
      <w:pPr>
        <w:jc w:val="both"/>
      </w:pPr>
      <w:r w:rsidRPr="2E9C8D5A" w:rsidR="2E9C8D5A">
        <w:rPr>
          <w:rFonts w:ascii="Verdana" w:hAnsi="Verdana" w:eastAsia="Verdana" w:cs="Verdana"/>
          <w:sz w:val="18"/>
          <w:szCs w:val="18"/>
        </w:rPr>
        <w:t xml:space="preserve">Kognitiivne hindamine:  Vajalik on standardiseeritud ja objektiivsed instrumendid, mida on kerge kasutada, neil on väike </w:t>
      </w:r>
      <w:proofErr w:type="spellStart"/>
      <w:r w:rsidRPr="2E9C8D5A" w:rsidR="2E9C8D5A">
        <w:rPr>
          <w:rFonts w:ascii="Verdana" w:hAnsi="Verdana" w:eastAsia="Verdana" w:cs="Verdana"/>
          <w:sz w:val="18"/>
          <w:szCs w:val="18"/>
        </w:rPr>
        <w:t>variaabelsus</w:t>
      </w:r>
      <w:proofErr w:type="spellEnd"/>
      <w:r w:rsidRPr="2E9C8D5A" w:rsidR="2E9C8D5A">
        <w:rPr>
          <w:rFonts w:ascii="Verdana" w:hAnsi="Verdana" w:eastAsia="Verdana" w:cs="Verdana"/>
          <w:sz w:val="18"/>
          <w:szCs w:val="18"/>
        </w:rPr>
        <w:t xml:space="preserve"> ja nad on valideeritud. On loodud mitmeid skriiningteste, MMSE on olnud kõige rohkem kasutuses, kuid seda on kritiseeritud, kuna haridustase, keeleoskus mõjutab patsiendi tulemust. Alternatiivid on toodud tabelis (kõik on valideeritud). Tuleb arvestada, et kirjaoskus ja keel mõjutavad tulemust. </w:t>
      </w:r>
    </w:p>
    <w:p w:rsidR="2E9C8D5A" w:rsidP="2E9C8D5A" w:rsidRDefault="2E9C8D5A" w14:paraId="2CC0719B" w14:textId="35E53885">
      <w:pPr>
        <w:jc w:val="both"/>
      </w:pPr>
      <w:r w:rsidRPr="2E9C8D5A" w:rsidR="2E9C8D5A">
        <w:rPr>
          <w:rFonts w:ascii="Verdana" w:hAnsi="Verdana" w:eastAsia="Verdana" w:cs="Verdana"/>
          <w:sz w:val="18"/>
          <w:szCs w:val="18"/>
        </w:rPr>
        <w:t xml:space="preserve">Korduv hindamine tuleks läbi viia </w:t>
      </w:r>
      <w:r w:rsidRPr="2E9C8D5A" w:rsidR="2E9C8D5A">
        <w:rPr>
          <w:rFonts w:ascii="Verdana" w:hAnsi="Verdana" w:eastAsia="Verdana" w:cs="Verdana"/>
          <w:sz w:val="18"/>
          <w:szCs w:val="18"/>
        </w:rPr>
        <w:t>vä</w:t>
      </w:r>
      <w:r w:rsidRPr="2E9C8D5A" w:rsidR="2E9C8D5A">
        <w:rPr>
          <w:rFonts w:ascii="Verdana" w:hAnsi="Verdana" w:eastAsia="Verdana" w:cs="Verdana"/>
          <w:sz w:val="18"/>
          <w:szCs w:val="18"/>
        </w:rPr>
        <w:t>hemalt</w:t>
      </w:r>
      <w:r w:rsidRPr="2E9C8D5A" w:rsidR="2E9C8D5A">
        <w:rPr>
          <w:rFonts w:ascii="Verdana" w:hAnsi="Verdana" w:eastAsia="Verdana" w:cs="Verdana"/>
          <w:sz w:val="18"/>
          <w:szCs w:val="18"/>
        </w:rPr>
        <w:t xml:space="preserve"> iga 6 kuu tagant, äkilised muutused käitumises ja </w:t>
      </w:r>
      <w:proofErr w:type="spellStart"/>
      <w:r w:rsidRPr="2E9C8D5A" w:rsidR="2E9C8D5A">
        <w:rPr>
          <w:rFonts w:ascii="Verdana" w:hAnsi="Verdana" w:eastAsia="Verdana" w:cs="Verdana"/>
          <w:sz w:val="18"/>
          <w:szCs w:val="18"/>
        </w:rPr>
        <w:t>kognitsiooni</w:t>
      </w:r>
      <w:proofErr w:type="spellEnd"/>
      <w:r w:rsidRPr="2E9C8D5A" w:rsidR="2E9C8D5A">
        <w:rPr>
          <w:rFonts w:ascii="Verdana" w:hAnsi="Verdana" w:eastAsia="Verdana" w:cs="Verdana"/>
          <w:sz w:val="18"/>
          <w:szCs w:val="18"/>
        </w:rPr>
        <w:t xml:space="preserve"> järsk langus – korduvale vastuvõtule. Hinda ka hooldaja vaimset ja füüsilist tervist. </w:t>
      </w:r>
    </w:p>
    <w:p w:rsidR="3FAFA00B" w:rsidP="3FAFA00B" w:rsidRDefault="3FAFA00B" w14:noSpellErr="1" w14:paraId="6B101C80" w14:textId="3D2EF14F">
      <w:pPr>
        <w:pStyle w:val="Normaallaad"/>
        <w:jc w:val="both"/>
      </w:pPr>
      <w:r>
        <w:drawing>
          <wp:inline wp14:editId="6E6673DF" wp14:anchorId="4BA2A75E">
            <wp:extent cx="5772150" cy="2596412"/>
            <wp:effectExtent l="0" t="0" r="0" b="0"/>
            <wp:docPr id="1262483241" name="picture" title=""/>
            <wp:cNvGraphicFramePr>
              <a:graphicFrameLocks noChangeAspect="1"/>
            </wp:cNvGraphicFramePr>
            <a:graphic>
              <a:graphicData uri="http://schemas.openxmlformats.org/drawingml/2006/picture">
                <pic:pic>
                  <pic:nvPicPr>
                    <pic:cNvPr id="0" name="picture"/>
                    <pic:cNvPicPr/>
                  </pic:nvPicPr>
                  <pic:blipFill>
                    <a:blip r:embed="R189337901c644a2f">
                      <a:extLst>
                        <a:ext xmlns:a="http://schemas.openxmlformats.org/drawingml/2006/main" uri="{28A0092B-C50C-407E-A947-70E740481C1C}">
                          <a14:useLocalDpi val="0"/>
                        </a:ext>
                      </a:extLst>
                    </a:blip>
                    <a:stretch>
                      <a:fillRect/>
                    </a:stretch>
                  </pic:blipFill>
                  <pic:spPr>
                    <a:xfrm>
                      <a:off x="0" y="0"/>
                      <a:ext cx="5772150" cy="2596412"/>
                    </a:xfrm>
                    <a:prstGeom prst="rect">
                      <a:avLst/>
                    </a:prstGeom>
                  </pic:spPr>
                </pic:pic>
              </a:graphicData>
            </a:graphic>
          </wp:inline>
        </w:drawing>
      </w:r>
    </w:p>
    <w:p w:rsidR="3FAFA00B" w:rsidP="3FAFA00B" w:rsidRDefault="3FAFA00B" w14:paraId="69EBCF37" w14:textId="79520D73">
      <w:pPr>
        <w:jc w:val="both"/>
      </w:pPr>
      <w:r w:rsidRPr="2E9C8D5A" w:rsidR="2E9C8D5A">
        <w:rPr>
          <w:rFonts w:ascii="Verdana" w:hAnsi="Verdana" w:eastAsia="Verdana" w:cs="Verdana"/>
          <w:sz w:val="18"/>
          <w:szCs w:val="18"/>
        </w:rPr>
        <w:t xml:space="preserve"> </w:t>
      </w:r>
    </w:p>
    <w:p w:rsidR="3FAFA00B" w:rsidP="3FAFA00B" w:rsidRDefault="3FAFA00B" w14:paraId="5E0AC302" w14:textId="54987478">
      <w:pPr>
        <w:jc w:val="both"/>
      </w:pPr>
      <w:proofErr w:type="spellStart"/>
      <w:r w:rsidRPr="2E9C8D5A" w:rsidR="2E9C8D5A">
        <w:rPr>
          <w:rFonts w:ascii="Verdana" w:hAnsi="Verdana" w:eastAsia="Verdana" w:cs="Verdana"/>
          <w:b w:val="1"/>
          <w:bCs w:val="1"/>
          <w:sz w:val="18"/>
          <w:szCs w:val="18"/>
        </w:rPr>
        <w:t>Recommendations</w:t>
      </w:r>
      <w:proofErr w:type="spellEnd"/>
      <w:r w:rsidRPr="2E9C8D5A" w:rsidR="2E9C8D5A">
        <w:rPr>
          <w:rFonts w:ascii="Verdana" w:hAnsi="Verdana" w:eastAsia="Verdana" w:cs="Verdana"/>
          <w:b w:val="1"/>
          <w:bCs w:val="1"/>
          <w:sz w:val="18"/>
          <w:szCs w:val="18"/>
        </w:rPr>
        <w:t>:</w:t>
      </w:r>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Conduct</w:t>
      </w:r>
      <w:proofErr w:type="spellEnd"/>
      <w:r w:rsidRPr="2E9C8D5A" w:rsidR="2E9C8D5A">
        <w:rPr>
          <w:rFonts w:ascii="Verdana" w:hAnsi="Verdana" w:eastAsia="Verdana" w:cs="Verdana"/>
          <w:sz w:val="18"/>
          <w:szCs w:val="18"/>
        </w:rPr>
        <w:t xml:space="preserve"> and </w:t>
      </w:r>
      <w:proofErr w:type="spellStart"/>
      <w:r w:rsidRPr="2E9C8D5A" w:rsidR="2E9C8D5A">
        <w:rPr>
          <w:rFonts w:ascii="Verdana" w:hAnsi="Verdana" w:eastAsia="Verdana" w:cs="Verdana"/>
          <w:sz w:val="18"/>
          <w:szCs w:val="18"/>
        </w:rPr>
        <w:t>document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assessment</w:t>
      </w:r>
      <w:proofErr w:type="spellEnd"/>
      <w:r w:rsidRPr="2E9C8D5A" w:rsidR="2E9C8D5A">
        <w:rPr>
          <w:rFonts w:ascii="Verdana" w:hAnsi="Verdana" w:eastAsia="Verdana" w:cs="Verdana"/>
          <w:sz w:val="18"/>
          <w:szCs w:val="18"/>
        </w:rPr>
        <w:t xml:space="preserve"> and monitor </w:t>
      </w:r>
      <w:proofErr w:type="spellStart"/>
      <w:r w:rsidRPr="2E9C8D5A" w:rsidR="2E9C8D5A">
        <w:rPr>
          <w:rFonts w:ascii="Verdana" w:hAnsi="Verdana" w:eastAsia="Verdana" w:cs="Verdana"/>
          <w:sz w:val="18"/>
          <w:szCs w:val="18"/>
        </w:rPr>
        <w:t>changes</w:t>
      </w:r>
      <w:proofErr w:type="spellEnd"/>
      <w:r w:rsidRPr="2E9C8D5A" w:rsidR="2E9C8D5A">
        <w:rPr>
          <w:rFonts w:ascii="Verdana" w:hAnsi="Verdana" w:eastAsia="Verdana" w:cs="Verdana"/>
          <w:sz w:val="18"/>
          <w:szCs w:val="18"/>
        </w:rPr>
        <w:t xml:space="preserve"> in: </w:t>
      </w:r>
    </w:p>
    <w:p w:rsidR="3FAFA00B" w:rsidP="3FAFA00B" w:rsidRDefault="3FAFA00B" w14:paraId="5E091BAF" w14:textId="33CDDE74" w14:noSpellErr="1">
      <w:pPr>
        <w:pStyle w:val="Loendilik"/>
        <w:numPr>
          <w:ilvl w:val="0"/>
          <w:numId w:val="18"/>
        </w:numPr>
        <w:jc w:val="both"/>
        <w:rPr>
          <w:rFonts w:ascii="Verdana" w:hAnsi="Verdana" w:eastAsia="Verdana" w:cs="Verdana"/>
          <w:sz w:val="18"/>
          <w:szCs w:val="18"/>
        </w:rPr>
      </w:pPr>
      <w:r w:rsidRPr="4E73F672" w:rsidR="4E73F672">
        <w:rPr>
          <w:rFonts w:ascii="Verdana" w:hAnsi="Verdana" w:eastAsia="Verdana" w:cs="Verdana"/>
          <w:sz w:val="18"/>
          <w:szCs w:val="18"/>
        </w:rPr>
        <w:t>cognitive</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status</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using</w:t>
      </w:r>
      <w:r w:rsidRPr="4E73F672" w:rsidR="4E73F672">
        <w:rPr>
          <w:rFonts w:ascii="Verdana" w:hAnsi="Verdana" w:eastAsia="Verdana" w:cs="Verdana"/>
          <w:sz w:val="18"/>
          <w:szCs w:val="18"/>
        </w:rPr>
        <w:t xml:space="preserve"> a </w:t>
      </w:r>
      <w:r w:rsidRPr="4E73F672" w:rsidR="4E73F672">
        <w:rPr>
          <w:rFonts w:ascii="Verdana" w:hAnsi="Verdana" w:eastAsia="Verdana" w:cs="Verdana"/>
          <w:sz w:val="18"/>
          <w:szCs w:val="18"/>
        </w:rPr>
        <w:t>reliable</w:t>
      </w:r>
      <w:r w:rsidRPr="4E73F672" w:rsidR="4E73F672">
        <w:rPr>
          <w:rFonts w:ascii="Verdana" w:hAnsi="Verdana" w:eastAsia="Verdana" w:cs="Verdana"/>
          <w:sz w:val="18"/>
          <w:szCs w:val="18"/>
        </w:rPr>
        <w:t xml:space="preserve"> and valid instrument.</w:t>
      </w:r>
    </w:p>
    <w:p w:rsidR="3FAFA00B" w:rsidP="3FAFA00B" w:rsidRDefault="3FAFA00B" w14:paraId="443B4837" w14:textId="36B357F7" w14:noSpellErr="1">
      <w:pPr>
        <w:pStyle w:val="Loendilik"/>
        <w:numPr>
          <w:ilvl w:val="0"/>
          <w:numId w:val="18"/>
        </w:numPr>
        <w:jc w:val="both"/>
        <w:rPr>
          <w:rFonts w:ascii="Verdana" w:hAnsi="Verdana" w:eastAsia="Verdana" w:cs="Verdana"/>
          <w:sz w:val="18"/>
          <w:szCs w:val="18"/>
        </w:rPr>
      </w:pPr>
      <w:r w:rsidRPr="4E73F672" w:rsidR="4E73F672">
        <w:rPr>
          <w:rFonts w:ascii="Verdana" w:hAnsi="Verdana" w:eastAsia="Verdana" w:cs="Verdana"/>
          <w:sz w:val="18"/>
          <w:szCs w:val="18"/>
        </w:rPr>
        <w:t>daily</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functioning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including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feeding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bathing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dressing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mobility</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toileting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continence</w:t>
      </w:r>
      <w:r w:rsidRPr="4E73F672" w:rsidR="4E73F672">
        <w:rPr>
          <w:rFonts w:ascii="Verdana" w:hAnsi="Verdana" w:eastAsia="Verdana" w:cs="Verdana"/>
          <w:sz w:val="18"/>
          <w:szCs w:val="18"/>
        </w:rPr>
        <w:t xml:space="preserve">, and </w:t>
      </w:r>
      <w:r w:rsidRPr="4E73F672" w:rsidR="4E73F672">
        <w:rPr>
          <w:rFonts w:ascii="Verdana" w:hAnsi="Verdana" w:eastAsia="Verdana" w:cs="Verdana"/>
          <w:sz w:val="18"/>
          <w:szCs w:val="18"/>
        </w:rPr>
        <w:t>ability</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to</w:t>
      </w:r>
      <w:r w:rsidRPr="4E73F672" w:rsidR="4E73F672">
        <w:rPr>
          <w:rFonts w:ascii="Verdana" w:hAnsi="Verdana" w:eastAsia="Verdana" w:cs="Verdana"/>
          <w:sz w:val="18"/>
          <w:szCs w:val="18"/>
        </w:rPr>
        <w:t xml:space="preserve"> manage </w:t>
      </w:r>
      <w:r w:rsidRPr="4E73F672" w:rsidR="4E73F672">
        <w:rPr>
          <w:rFonts w:ascii="Verdana" w:hAnsi="Verdana" w:eastAsia="Verdana" w:cs="Verdana"/>
          <w:sz w:val="18"/>
          <w:szCs w:val="18"/>
        </w:rPr>
        <w:t>finances</w:t>
      </w:r>
      <w:r w:rsidRPr="4E73F672" w:rsidR="4E73F672">
        <w:rPr>
          <w:rFonts w:ascii="Verdana" w:hAnsi="Verdana" w:eastAsia="Verdana" w:cs="Verdana"/>
          <w:sz w:val="18"/>
          <w:szCs w:val="18"/>
        </w:rPr>
        <w:t xml:space="preserve"> and </w:t>
      </w:r>
      <w:r w:rsidRPr="4E73F672" w:rsidR="4E73F672">
        <w:rPr>
          <w:rFonts w:ascii="Verdana" w:hAnsi="Verdana" w:eastAsia="Verdana" w:cs="Verdana"/>
          <w:sz w:val="18"/>
          <w:szCs w:val="18"/>
        </w:rPr>
        <w:t>medications</w:t>
      </w:r>
      <w:r w:rsidRPr="4E73F672" w:rsidR="4E73F672">
        <w:rPr>
          <w:rFonts w:ascii="Verdana" w:hAnsi="Verdana" w:eastAsia="Verdana" w:cs="Verdana"/>
          <w:sz w:val="18"/>
          <w:szCs w:val="18"/>
        </w:rPr>
        <w:t>.</w:t>
      </w:r>
    </w:p>
    <w:p w:rsidR="3FAFA00B" w:rsidP="3FAFA00B" w:rsidRDefault="3FAFA00B" w14:paraId="4B77F159" w14:textId="340183A1">
      <w:pPr>
        <w:pStyle w:val="Loendilik"/>
        <w:numPr>
          <w:ilvl w:val="0"/>
          <w:numId w:val="18"/>
        </w:numPr>
        <w:jc w:val="both"/>
        <w:rPr>
          <w:rFonts w:ascii="Verdana" w:hAnsi="Verdana" w:eastAsia="Verdana" w:cs="Verdana"/>
          <w:sz w:val="18"/>
          <w:szCs w:val="18"/>
        </w:rPr>
      </w:pPr>
      <w:r w:rsidRPr="2E9C8D5A" w:rsidR="2E9C8D5A">
        <w:rPr>
          <w:rFonts w:ascii="Verdana" w:hAnsi="Verdana" w:eastAsia="Verdana" w:cs="Verdana"/>
          <w:sz w:val="18"/>
          <w:szCs w:val="18"/>
        </w:rPr>
        <w:t>Comorbid</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medical</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conditions</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which</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may</w:t>
      </w:r>
      <w:r w:rsidRPr="2E9C8D5A" w:rsidR="2E9C8D5A">
        <w:rPr>
          <w:rFonts w:ascii="Verdana" w:hAnsi="Verdana" w:eastAsia="Verdana" w:cs="Verdana"/>
          <w:sz w:val="18"/>
          <w:szCs w:val="18"/>
        </w:rPr>
        <w:t xml:space="preserve"> present </w:t>
      </w:r>
      <w:r w:rsidRPr="2E9C8D5A" w:rsidR="2E9C8D5A">
        <w:rPr>
          <w:rFonts w:ascii="Verdana" w:hAnsi="Verdana" w:eastAsia="Verdana" w:cs="Verdana"/>
          <w:sz w:val="18"/>
          <w:szCs w:val="18"/>
        </w:rPr>
        <w:t>with</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sudden</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worsening</w:t>
      </w:r>
      <w:r w:rsidRPr="2E9C8D5A" w:rsidR="2E9C8D5A">
        <w:rPr>
          <w:rFonts w:ascii="Verdana" w:hAnsi="Verdana" w:eastAsia="Verdana" w:cs="Verdana"/>
          <w:sz w:val="18"/>
          <w:szCs w:val="18"/>
        </w:rPr>
        <w:t xml:space="preserve"> in </w:t>
      </w:r>
      <w:r w:rsidRPr="2E9C8D5A" w:rsidR="2E9C8D5A">
        <w:rPr>
          <w:rFonts w:ascii="Verdana" w:hAnsi="Verdana" w:eastAsia="Verdana" w:cs="Verdana"/>
          <w:sz w:val="18"/>
          <w:szCs w:val="18"/>
        </w:rPr>
        <w:t>cognition</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function</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or</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as</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change</w:t>
      </w:r>
      <w:r w:rsidRPr="2E9C8D5A" w:rsidR="2E9C8D5A">
        <w:rPr>
          <w:rFonts w:ascii="Verdana" w:hAnsi="Verdana" w:eastAsia="Verdana" w:cs="Verdana"/>
          <w:sz w:val="18"/>
          <w:szCs w:val="18"/>
        </w:rPr>
        <w:t xml:space="preserve"> in </w:t>
      </w:r>
      <w:proofErr w:type="spellStart"/>
      <w:r w:rsidRPr="2E9C8D5A" w:rsidR="2E9C8D5A">
        <w:rPr>
          <w:rFonts w:ascii="Verdana" w:hAnsi="Verdana" w:eastAsia="Verdana" w:cs="Verdana"/>
          <w:sz w:val="18"/>
          <w:szCs w:val="18"/>
        </w:rPr>
        <w:t>behavior</w:t>
      </w:r>
      <w:proofErr w:type="spellEnd"/>
      <w:r w:rsidRPr="2E9C8D5A" w:rsidR="2E9C8D5A">
        <w:rPr>
          <w:rFonts w:ascii="Verdana" w:hAnsi="Verdana" w:eastAsia="Verdana" w:cs="Verdana"/>
          <w:sz w:val="18"/>
          <w:szCs w:val="18"/>
        </w:rPr>
        <w:t xml:space="preserve">; </w:t>
      </w:r>
    </w:p>
    <w:p w:rsidR="3FAFA00B" w:rsidP="3FAFA00B" w:rsidRDefault="3FAFA00B" w14:paraId="14290720" w14:textId="5BF6E52B">
      <w:pPr>
        <w:pStyle w:val="Loendilik"/>
        <w:numPr>
          <w:ilvl w:val="0"/>
          <w:numId w:val="18"/>
        </w:numPr>
        <w:jc w:val="both"/>
        <w:rPr>
          <w:rFonts w:ascii="Verdana" w:hAnsi="Verdana" w:eastAsia="Verdana" w:cs="Verdana"/>
          <w:sz w:val="18"/>
          <w:szCs w:val="18"/>
        </w:rPr>
      </w:pPr>
      <w:proofErr w:type="spellStart"/>
      <w:r w:rsidRPr="2E9C8D5A" w:rsidR="2E9C8D5A">
        <w:rPr>
          <w:rFonts w:ascii="Verdana" w:hAnsi="Verdana" w:eastAsia="Verdana" w:cs="Verdana"/>
          <w:sz w:val="18"/>
          <w:szCs w:val="18"/>
        </w:rPr>
        <w:t>Behavioral</w:t>
      </w:r>
      <w:proofErr w:type="spellEnd"/>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symptoms</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psychotic</w:t>
      </w:r>
      <w:r w:rsidRPr="2E9C8D5A" w:rsidR="2E9C8D5A">
        <w:rPr>
          <w:rFonts w:ascii="Verdana" w:hAnsi="Verdana" w:eastAsia="Verdana" w:cs="Verdana"/>
          <w:sz w:val="18"/>
          <w:szCs w:val="18"/>
        </w:rPr>
        <w:t xml:space="preserve"> </w:t>
      </w:r>
      <w:r w:rsidRPr="2E9C8D5A" w:rsidR="2E9C8D5A">
        <w:rPr>
          <w:rFonts w:ascii="Verdana" w:hAnsi="Verdana" w:eastAsia="Verdana" w:cs="Verdana"/>
          <w:sz w:val="18"/>
          <w:szCs w:val="18"/>
        </w:rPr>
        <w:t>symptoms</w:t>
      </w:r>
      <w:r w:rsidRPr="2E9C8D5A" w:rsidR="2E9C8D5A">
        <w:rPr>
          <w:rFonts w:ascii="Verdana" w:hAnsi="Verdana" w:eastAsia="Verdana" w:cs="Verdana"/>
          <w:sz w:val="18"/>
          <w:szCs w:val="18"/>
        </w:rPr>
        <w:t xml:space="preserve">, and </w:t>
      </w:r>
      <w:r w:rsidRPr="2E9C8D5A" w:rsidR="2E9C8D5A">
        <w:rPr>
          <w:rFonts w:ascii="Verdana" w:hAnsi="Verdana" w:eastAsia="Verdana" w:cs="Verdana"/>
          <w:sz w:val="18"/>
          <w:szCs w:val="18"/>
        </w:rPr>
        <w:t>depression</w:t>
      </w:r>
      <w:r w:rsidRPr="2E9C8D5A" w:rsidR="2E9C8D5A">
        <w:rPr>
          <w:rFonts w:ascii="Verdana" w:hAnsi="Verdana" w:eastAsia="Verdana" w:cs="Verdana"/>
          <w:sz w:val="18"/>
          <w:szCs w:val="18"/>
        </w:rPr>
        <w:t xml:space="preserve">; </w:t>
      </w:r>
    </w:p>
    <w:p w:rsidR="3FAFA00B" w:rsidP="3FAFA00B" w:rsidRDefault="3FAFA00B" w14:paraId="0F432A74" w14:textId="0940660F" w14:noSpellErr="1">
      <w:pPr>
        <w:pStyle w:val="Loendilik"/>
        <w:numPr>
          <w:ilvl w:val="0"/>
          <w:numId w:val="18"/>
        </w:numPr>
        <w:jc w:val="both"/>
        <w:rPr>
          <w:rFonts w:ascii="Verdana" w:hAnsi="Verdana" w:eastAsia="Verdana" w:cs="Verdana"/>
          <w:sz w:val="18"/>
          <w:szCs w:val="18"/>
        </w:rPr>
      </w:pPr>
      <w:r w:rsidRPr="4E73F672" w:rsidR="4E73F672">
        <w:rPr>
          <w:rFonts w:ascii="Verdana" w:hAnsi="Verdana" w:eastAsia="Verdana" w:cs="Verdana"/>
          <w:sz w:val="18"/>
          <w:szCs w:val="18"/>
        </w:rPr>
        <w:t>Medications</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both</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prescription</w:t>
      </w:r>
      <w:r w:rsidRPr="4E73F672" w:rsidR="4E73F672">
        <w:rPr>
          <w:rFonts w:ascii="Verdana" w:hAnsi="Verdana" w:eastAsia="Verdana" w:cs="Verdana"/>
          <w:sz w:val="18"/>
          <w:szCs w:val="18"/>
        </w:rPr>
        <w:t xml:space="preserve"> and non-</w:t>
      </w:r>
      <w:r w:rsidRPr="4E73F672" w:rsidR="4E73F672">
        <w:rPr>
          <w:rFonts w:ascii="Verdana" w:hAnsi="Verdana" w:eastAsia="Verdana" w:cs="Verdana"/>
          <w:sz w:val="18"/>
          <w:szCs w:val="18"/>
        </w:rPr>
        <w:t>prescription</w:t>
      </w:r>
      <w:r w:rsidRPr="4E73F672" w:rsidR="4E73F672">
        <w:rPr>
          <w:rFonts w:ascii="Verdana" w:hAnsi="Verdana" w:eastAsia="Verdana" w:cs="Verdana"/>
          <w:sz w:val="18"/>
          <w:szCs w:val="18"/>
        </w:rPr>
        <w:t xml:space="preserve"> (at </w:t>
      </w:r>
      <w:r w:rsidRPr="4E73F672" w:rsidR="4E73F672">
        <w:rPr>
          <w:rFonts w:ascii="Verdana" w:hAnsi="Verdana" w:eastAsia="Verdana" w:cs="Verdana"/>
          <w:sz w:val="18"/>
          <w:szCs w:val="18"/>
        </w:rPr>
        <w:t>every</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visit</w:t>
      </w:r>
      <w:r w:rsidRPr="4E73F672" w:rsidR="4E73F672">
        <w:rPr>
          <w:rFonts w:ascii="Verdana" w:hAnsi="Verdana" w:eastAsia="Verdana" w:cs="Verdana"/>
          <w:sz w:val="18"/>
          <w:szCs w:val="18"/>
        </w:rPr>
        <w:t xml:space="preserve">); </w:t>
      </w:r>
    </w:p>
    <w:p w:rsidR="3FAFA00B" w:rsidP="3FAFA00B" w:rsidRDefault="3FAFA00B" w14:paraId="54D6E9E1" w14:textId="24D3C2CA" w14:noSpellErr="1">
      <w:pPr>
        <w:pStyle w:val="Loendilik"/>
        <w:numPr>
          <w:ilvl w:val="0"/>
          <w:numId w:val="18"/>
        </w:numPr>
        <w:jc w:val="both"/>
        <w:rPr>
          <w:rFonts w:ascii="Verdana" w:hAnsi="Verdana" w:eastAsia="Verdana" w:cs="Verdana"/>
          <w:sz w:val="18"/>
          <w:szCs w:val="18"/>
        </w:rPr>
      </w:pPr>
      <w:r w:rsidRPr="4E73F672" w:rsidR="4E73F672">
        <w:rPr>
          <w:rFonts w:ascii="Verdana" w:hAnsi="Verdana" w:eastAsia="Verdana" w:cs="Verdana"/>
          <w:sz w:val="18"/>
          <w:szCs w:val="18"/>
        </w:rPr>
        <w:t>Living</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arrangement</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safety</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care</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needs</w:t>
      </w:r>
      <w:r w:rsidRPr="4E73F672" w:rsidR="4E73F672">
        <w:rPr>
          <w:rFonts w:ascii="Verdana" w:hAnsi="Verdana" w:eastAsia="Verdana" w:cs="Verdana"/>
          <w:sz w:val="18"/>
          <w:szCs w:val="18"/>
        </w:rPr>
        <w:t xml:space="preserve">, and </w:t>
      </w:r>
      <w:r w:rsidRPr="4E73F672" w:rsidR="4E73F672">
        <w:rPr>
          <w:rFonts w:ascii="Verdana" w:hAnsi="Verdana" w:eastAsia="Verdana" w:cs="Verdana"/>
          <w:sz w:val="18"/>
          <w:szCs w:val="18"/>
        </w:rPr>
        <w:t>abuse</w:t>
      </w:r>
      <w:r w:rsidRPr="4E73F672" w:rsidR="4E73F672">
        <w:rPr>
          <w:rFonts w:ascii="Verdana" w:hAnsi="Verdana" w:eastAsia="Verdana" w:cs="Verdana"/>
          <w:sz w:val="18"/>
          <w:szCs w:val="18"/>
        </w:rPr>
        <w:t xml:space="preserve"> and/</w:t>
      </w:r>
      <w:r w:rsidRPr="4E73F672" w:rsidR="4E73F672">
        <w:rPr>
          <w:rFonts w:ascii="Verdana" w:hAnsi="Verdana" w:eastAsia="Verdana" w:cs="Verdana"/>
          <w:sz w:val="18"/>
          <w:szCs w:val="18"/>
        </w:rPr>
        <w:t>or</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neglect</w:t>
      </w:r>
      <w:r w:rsidRPr="4E73F672" w:rsidR="4E73F672">
        <w:rPr>
          <w:rFonts w:ascii="Verdana" w:hAnsi="Verdana" w:eastAsia="Verdana" w:cs="Verdana"/>
          <w:sz w:val="18"/>
          <w:szCs w:val="18"/>
        </w:rPr>
        <w:t>.</w:t>
      </w:r>
    </w:p>
    <w:p w:rsidR="3FAFA00B" w:rsidP="3FAFA00B" w:rsidRDefault="3FAFA00B" w14:paraId="421A46AA" w14:textId="39902A1A" w14:noSpellErr="1">
      <w:pPr>
        <w:pStyle w:val="Loendilik"/>
        <w:numPr>
          <w:ilvl w:val="0"/>
          <w:numId w:val="18"/>
        </w:numPr>
        <w:jc w:val="both"/>
        <w:rPr>
          <w:rFonts w:ascii="Verdana" w:hAnsi="Verdana" w:eastAsia="Verdana" w:cs="Verdana"/>
          <w:sz w:val="18"/>
          <w:szCs w:val="18"/>
        </w:rPr>
      </w:pPr>
      <w:r w:rsidRPr="4E73F672" w:rsidR="4E73F672">
        <w:rPr>
          <w:rFonts w:ascii="Verdana" w:hAnsi="Verdana" w:eastAsia="Verdana" w:cs="Verdana"/>
          <w:sz w:val="18"/>
          <w:szCs w:val="18"/>
        </w:rPr>
        <w:t xml:space="preserve">Need </w:t>
      </w:r>
      <w:r w:rsidRPr="4E73F672" w:rsidR="4E73F672">
        <w:rPr>
          <w:rFonts w:ascii="Verdana" w:hAnsi="Verdana" w:eastAsia="Verdana" w:cs="Verdana"/>
          <w:sz w:val="18"/>
          <w:szCs w:val="18"/>
        </w:rPr>
        <w:t>for</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palliative</w:t>
      </w:r>
      <w:r w:rsidRPr="4E73F672" w:rsidR="4E73F672">
        <w:rPr>
          <w:rFonts w:ascii="Verdana" w:hAnsi="Verdana" w:eastAsia="Verdana" w:cs="Verdana"/>
          <w:sz w:val="18"/>
          <w:szCs w:val="18"/>
        </w:rPr>
        <w:t xml:space="preserve"> and/</w:t>
      </w:r>
      <w:r w:rsidRPr="4E73F672" w:rsidR="4E73F672">
        <w:rPr>
          <w:rFonts w:ascii="Verdana" w:hAnsi="Verdana" w:eastAsia="Verdana" w:cs="Verdana"/>
          <w:sz w:val="18"/>
          <w:szCs w:val="18"/>
        </w:rPr>
        <w:t>or</w:t>
      </w:r>
      <w:r w:rsidRPr="4E73F672" w:rsidR="4E73F672">
        <w:rPr>
          <w:rFonts w:ascii="Verdana" w:hAnsi="Verdana" w:eastAsia="Verdana" w:cs="Verdana"/>
          <w:sz w:val="18"/>
          <w:szCs w:val="18"/>
        </w:rPr>
        <w:t xml:space="preserve"> end-of-</w:t>
      </w:r>
      <w:r w:rsidRPr="4E73F672" w:rsidR="4E73F672">
        <w:rPr>
          <w:rFonts w:ascii="Verdana" w:hAnsi="Verdana" w:eastAsia="Verdana" w:cs="Verdana"/>
          <w:sz w:val="18"/>
          <w:szCs w:val="18"/>
        </w:rPr>
        <w:t>life</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care</w:t>
      </w:r>
      <w:r w:rsidRPr="4E73F672" w:rsidR="4E73F672">
        <w:rPr>
          <w:rFonts w:ascii="Verdana" w:hAnsi="Verdana" w:eastAsia="Verdana" w:cs="Verdana"/>
          <w:sz w:val="18"/>
          <w:szCs w:val="18"/>
        </w:rPr>
        <w:t xml:space="preserve"> </w:t>
      </w:r>
      <w:r w:rsidRPr="4E73F672" w:rsidR="4E73F672">
        <w:rPr>
          <w:rFonts w:ascii="Verdana" w:hAnsi="Verdana" w:eastAsia="Verdana" w:cs="Verdana"/>
          <w:sz w:val="18"/>
          <w:szCs w:val="18"/>
        </w:rPr>
        <w:t>planning</w:t>
      </w:r>
    </w:p>
    <w:p w:rsidR="3FAFA00B" w:rsidP="3FAFA00B" w:rsidRDefault="3FAFA00B" w14:paraId="23DD18C4" w14:textId="09A806B6">
      <w:pPr>
        <w:pStyle w:val="Normaallaad"/>
        <w:jc w:val="both"/>
      </w:pPr>
    </w:p>
    <w:p w:rsidR="31897A2A" w:rsidP="31897A2A" w:rsidRDefault="31897A2A" w14:paraId="55A09EC5" w14:textId="3D3E1F45">
      <w:pPr>
        <w:pStyle w:val="Normaallaad"/>
        <w:jc w:val="both"/>
      </w:pPr>
      <w:r w:rsidRPr="2E9C8D5A" w:rsidR="2E9C8D5A">
        <w:rPr>
          <w:rFonts w:ascii="Verdana" w:hAnsi="Verdana" w:eastAsia="Verdana" w:cs="Verdana"/>
          <w:b w:val="1"/>
          <w:bCs w:val="1"/>
          <w:sz w:val="18"/>
          <w:szCs w:val="18"/>
          <w:u w:val="single"/>
          <w:lang w:val="et-EE"/>
        </w:rPr>
        <w:t>7.</w:t>
      </w:r>
      <w:r w:rsidRPr="2E9C8D5A" w:rsidR="2E9C8D5A">
        <w:rPr>
          <w:rFonts w:ascii="Verdana" w:hAnsi="Verdana" w:eastAsia="Verdana" w:cs="Verdana"/>
          <w:b w:val="1"/>
          <w:bCs w:val="1"/>
          <w:sz w:val="18"/>
          <w:szCs w:val="18"/>
          <w:u w:val="single"/>
          <w:lang w:val="et-EE"/>
        </w:rPr>
        <w:t xml:space="preserve">The </w:t>
      </w:r>
      <w:proofErr w:type="spellStart"/>
      <w:r w:rsidRPr="2E9C8D5A" w:rsidR="2E9C8D5A">
        <w:rPr>
          <w:rFonts w:ascii="Verdana" w:hAnsi="Verdana" w:eastAsia="Verdana" w:cs="Verdana"/>
          <w:b w:val="1"/>
          <w:bCs w:val="1"/>
          <w:sz w:val="18"/>
          <w:szCs w:val="18"/>
          <w:u w:val="single"/>
          <w:lang w:val="et-EE"/>
        </w:rPr>
        <w:t>Diagnosis</w:t>
      </w:r>
      <w:proofErr w:type="spellEnd"/>
      <w:r w:rsidRPr="2E9C8D5A" w:rsidR="2E9C8D5A">
        <w:rPr>
          <w:rFonts w:ascii="Verdana" w:hAnsi="Verdana" w:eastAsia="Verdana" w:cs="Verdana"/>
          <w:b w:val="1"/>
          <w:bCs w:val="1"/>
          <w:sz w:val="18"/>
          <w:szCs w:val="18"/>
          <w:u w:val="single"/>
          <w:lang w:val="et-EE"/>
        </w:rPr>
        <w:t xml:space="preserve"> of </w:t>
      </w:r>
      <w:proofErr w:type="spellStart"/>
      <w:r w:rsidRPr="2E9C8D5A" w:rsidR="2E9C8D5A">
        <w:rPr>
          <w:rFonts w:ascii="Verdana" w:hAnsi="Verdana" w:eastAsia="Verdana" w:cs="Verdana"/>
          <w:b w:val="1"/>
          <w:bCs w:val="1"/>
          <w:sz w:val="18"/>
          <w:szCs w:val="18"/>
          <w:u w:val="single"/>
          <w:lang w:val="et-EE"/>
        </w:rPr>
        <w:t>Dementia</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due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to</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Alzheimer’s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Disease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Recommendations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from</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the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National</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Institute</w:t>
      </w:r>
      <w:proofErr w:type="spellEnd"/>
      <w:r w:rsidRPr="2E9C8D5A" w:rsidR="2E9C8D5A">
        <w:rPr>
          <w:rFonts w:ascii="Verdana" w:hAnsi="Verdana" w:eastAsia="Verdana" w:cs="Verdana"/>
          <w:b w:val="1"/>
          <w:bCs w:val="1"/>
          <w:sz w:val="18"/>
          <w:szCs w:val="18"/>
          <w:u w:val="single"/>
          <w:lang w:val="et-EE"/>
        </w:rPr>
        <w:t xml:space="preserve"> on </w:t>
      </w:r>
      <w:proofErr w:type="spellStart"/>
      <w:r w:rsidRPr="2E9C8D5A" w:rsidR="2E9C8D5A">
        <w:rPr>
          <w:rFonts w:ascii="Verdana" w:hAnsi="Verdana" w:eastAsia="Verdana" w:cs="Verdana"/>
          <w:b w:val="1"/>
          <w:bCs w:val="1"/>
          <w:sz w:val="18"/>
          <w:szCs w:val="18"/>
          <w:u w:val="single"/>
          <w:lang w:val="et-EE"/>
        </w:rPr>
        <w:t>Ageing</w:t>
      </w:r>
      <w:proofErr w:type="spellEnd"/>
      <w:r w:rsidRPr="2E9C8D5A" w:rsidR="2E9C8D5A">
        <w:rPr>
          <w:rFonts w:ascii="Verdana" w:hAnsi="Verdana" w:eastAsia="Verdana" w:cs="Verdana"/>
          <w:b w:val="1"/>
          <w:bCs w:val="1"/>
          <w:sz w:val="18"/>
          <w:szCs w:val="18"/>
          <w:u w:val="single"/>
          <w:lang w:val="et-EE"/>
        </w:rPr>
        <w:t xml:space="preserve"> and </w:t>
      </w:r>
      <w:proofErr w:type="spellStart"/>
      <w:r w:rsidRPr="2E9C8D5A" w:rsidR="2E9C8D5A">
        <w:rPr>
          <w:rFonts w:ascii="Verdana" w:hAnsi="Verdana" w:eastAsia="Verdana" w:cs="Verdana"/>
          <w:b w:val="1"/>
          <w:bCs w:val="1"/>
          <w:sz w:val="18"/>
          <w:szCs w:val="18"/>
          <w:u w:val="single"/>
          <w:lang w:val="et-EE"/>
        </w:rPr>
        <w:t>the</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Alzheimer’s</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Association</w:t>
      </w:r>
      <w:proofErr w:type="spellEnd"/>
      <w:r w:rsidRPr="2E9C8D5A" w:rsidR="2E9C8D5A">
        <w:rPr>
          <w:rFonts w:ascii="Verdana" w:hAnsi="Verdana" w:eastAsia="Verdana" w:cs="Verdana"/>
          <w:b w:val="1"/>
          <w:bCs w:val="1"/>
          <w:sz w:val="18"/>
          <w:szCs w:val="18"/>
          <w:u w:val="single"/>
          <w:lang w:val="et-EE"/>
        </w:rPr>
        <w:t xml:space="preserve"> </w:t>
      </w:r>
      <w:proofErr w:type="spellStart"/>
      <w:r w:rsidRPr="2E9C8D5A" w:rsidR="2E9C8D5A">
        <w:rPr>
          <w:rFonts w:ascii="Verdana" w:hAnsi="Verdana" w:eastAsia="Verdana" w:cs="Verdana"/>
          <w:b w:val="1"/>
          <w:bCs w:val="1"/>
          <w:sz w:val="18"/>
          <w:szCs w:val="18"/>
          <w:u w:val="single"/>
          <w:lang w:val="et-EE"/>
        </w:rPr>
        <w:t>Workgroup</w:t>
      </w:r>
      <w:proofErr w:type="spellEnd"/>
      <w:r w:rsidRPr="2E9C8D5A" w:rsidR="2E9C8D5A">
        <w:rPr>
          <w:rFonts w:ascii="Verdana" w:hAnsi="Verdana" w:eastAsia="Verdana" w:cs="Verdana"/>
          <w:b w:val="1"/>
          <w:bCs w:val="1"/>
          <w:sz w:val="18"/>
          <w:szCs w:val="18"/>
          <w:u w:val="single"/>
          <w:lang w:val="et-EE"/>
        </w:rPr>
        <w:t xml:space="preserve"> (2011); (</w:t>
      </w:r>
      <w:proofErr w:type="spellStart"/>
      <w:r w:rsidRPr="2E9C8D5A" w:rsidR="2E9C8D5A">
        <w:rPr>
          <w:rFonts w:ascii="Verdana" w:hAnsi="Verdana" w:eastAsia="Verdana" w:cs="Verdana"/>
          <w:b w:val="1"/>
          <w:bCs w:val="1"/>
          <w:sz w:val="18"/>
          <w:szCs w:val="18"/>
          <w:u w:val="single"/>
          <w:lang w:val="et-EE"/>
        </w:rPr>
        <w:t>Rec_NIAAA</w:t>
      </w:r>
      <w:proofErr w:type="spellEnd"/>
      <w:r w:rsidRPr="2E9C8D5A" w:rsidR="2E9C8D5A">
        <w:rPr>
          <w:rFonts w:ascii="Verdana" w:hAnsi="Verdana" w:eastAsia="Verdana" w:cs="Verdana"/>
          <w:b w:val="1"/>
          <w:bCs w:val="1"/>
          <w:sz w:val="18"/>
          <w:szCs w:val="18"/>
          <w:u w:val="single"/>
          <w:lang w:val="et-EE"/>
        </w:rPr>
        <w:t>)</w:t>
      </w:r>
      <w:r w:rsidRPr="2E9C8D5A" w:rsidR="2E9C8D5A">
        <w:rPr>
          <w:rFonts w:ascii="Verdana" w:hAnsi="Verdana" w:eastAsia="Verdana" w:cs="Verdana"/>
          <w:sz w:val="18"/>
          <w:szCs w:val="18"/>
        </w:rPr>
        <w:t xml:space="preserve"> </w:t>
      </w:r>
    </w:p>
    <w:p w:rsidR="3FAFA00B" w:rsidP="3FAFA00B" w:rsidRDefault="3FAFA00B" w14:noSpellErr="1" w14:paraId="17A7AD05" w14:textId="2CD88472">
      <w:pPr>
        <w:jc w:val="both"/>
      </w:pPr>
      <w:r w:rsidRPr="3FAFA00B" w:rsidR="3FAFA00B">
        <w:rPr>
          <w:rFonts w:ascii="Verdana" w:hAnsi="Verdana" w:eastAsia="Verdana" w:cs="Verdana"/>
          <w:sz w:val="18"/>
          <w:szCs w:val="18"/>
        </w:rPr>
        <w:t xml:space="preserve">Juhend käsitleb AT diagnoosi kriteeriumeid. </w:t>
      </w:r>
    </w:p>
    <w:p w:rsidR="3FAFA00B" w:rsidP="3FAFA00B" w:rsidRDefault="3FAFA00B" w14:paraId="42DB24DD" w14:textId="299577BB">
      <w:pPr>
        <w:jc w:val="both"/>
      </w:pPr>
      <w:proofErr w:type="spellStart"/>
      <w:r w:rsidRPr="2E9C8D5A" w:rsidR="2E9C8D5A">
        <w:rPr>
          <w:rFonts w:ascii="Verdana" w:hAnsi="Verdana" w:eastAsia="Verdana" w:cs="Verdana"/>
          <w:sz w:val="18"/>
          <w:szCs w:val="18"/>
        </w:rPr>
        <w:t>Kognitsiooni</w:t>
      </w:r>
      <w:proofErr w:type="spellEnd"/>
      <w:r w:rsidRPr="2E9C8D5A" w:rsidR="2E9C8D5A">
        <w:rPr>
          <w:rFonts w:ascii="Verdana" w:hAnsi="Verdana" w:eastAsia="Verdana" w:cs="Verdana"/>
          <w:sz w:val="18"/>
          <w:szCs w:val="18"/>
        </w:rPr>
        <w:t xml:space="preserve"> languse diagnoosiks on vajalik</w:t>
      </w:r>
      <w:r w:rsidRPr="2E9C8D5A" w:rsidR="2E9C8D5A">
        <w:rPr>
          <w:rFonts w:ascii="Verdana" w:hAnsi="Verdana" w:eastAsia="Verdana" w:cs="Verdana"/>
          <w:sz w:val="18"/>
          <w:szCs w:val="18"/>
        </w:rPr>
        <w:t xml:space="preserve">: </w:t>
      </w:r>
    </w:p>
    <w:p w:rsidR="3FAFA00B" w:rsidP="3FAFA00B" w:rsidRDefault="3FAFA00B" w14:paraId="496FA09D" w14:textId="3374FC12">
      <w:pPr>
        <w:pStyle w:val="Loendilik"/>
        <w:numPr>
          <w:ilvl w:val="0"/>
          <w:numId w:val="18"/>
        </w:numPr>
        <w:jc w:val="both"/>
        <w:rPr>
          <w:rFonts w:ascii="Times New Roman" w:hAnsi="Times New Roman" w:eastAsia="Times New Roman" w:cs="Times New Roman"/>
          <w:sz w:val="18"/>
          <w:szCs w:val="18"/>
        </w:rPr>
      </w:pPr>
      <w:proofErr w:type="spellStart"/>
      <w:r w:rsidRPr="2E9C8D5A" w:rsidR="2E9C8D5A">
        <w:rPr>
          <w:rFonts w:ascii="Verdana" w:hAnsi="Verdana" w:eastAsia="Verdana" w:cs="Verdana"/>
          <w:sz w:val="18"/>
          <w:szCs w:val="18"/>
        </w:rPr>
        <w:t>A</w:t>
      </w:r>
      <w:r w:rsidRPr="2E9C8D5A" w:rsidR="2E9C8D5A">
        <w:rPr>
          <w:rFonts w:ascii="Verdana" w:hAnsi="Verdana" w:eastAsia="Verdana" w:cs="Verdana"/>
          <w:sz w:val="18"/>
          <w:szCs w:val="18"/>
        </w:rPr>
        <w:t>namnees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patsiendilt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ja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informeeritud</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hooldajalt</w:t>
      </w:r>
      <w:proofErr w:type="spellEnd"/>
    </w:p>
    <w:p w:rsidR="3FAFA00B" w:rsidP="3FAFA00B" w:rsidRDefault="3FAFA00B" w14:paraId="1906AC71" w14:textId="7FE51B85">
      <w:pPr>
        <w:pStyle w:val="Loendilik"/>
        <w:numPr>
          <w:ilvl w:val="0"/>
          <w:numId w:val="18"/>
        </w:numPr>
        <w:jc w:val="both"/>
        <w:rPr>
          <w:rFonts w:ascii="Times New Roman" w:hAnsi="Times New Roman" w:eastAsia="Times New Roman" w:cs="Times New Roman"/>
          <w:sz w:val="24"/>
          <w:szCs w:val="24"/>
        </w:rPr>
      </w:pPr>
      <w:proofErr w:type="spellStart"/>
      <w:r w:rsidRPr="2E9C8D5A" w:rsidR="2E9C8D5A">
        <w:rPr>
          <w:rFonts w:ascii="Verdana" w:hAnsi="Verdana" w:eastAsia="Verdana" w:cs="Verdana"/>
          <w:sz w:val="18"/>
          <w:szCs w:val="18"/>
        </w:rPr>
        <w:t>O</w:t>
      </w:r>
      <w:r w:rsidRPr="2E9C8D5A" w:rsidR="2E9C8D5A">
        <w:rPr>
          <w:rFonts w:ascii="Verdana" w:hAnsi="Verdana" w:eastAsia="Verdana" w:cs="Verdana"/>
          <w:sz w:val="18"/>
          <w:szCs w:val="18"/>
        </w:rPr>
        <w:t>bjektiivne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kognitiivne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hindamine</w:t>
      </w:r>
      <w:proofErr w:type="spellEnd"/>
      <w:r w:rsidRPr="2E9C8D5A" w:rsidR="2E9C8D5A">
        <w:rPr>
          <w:rFonts w:ascii="Verdana" w:hAnsi="Verdana" w:eastAsia="Verdana" w:cs="Verdana"/>
          <w:sz w:val="18"/>
          <w:szCs w:val="18"/>
        </w:rPr>
        <w:t xml:space="preserve"> ("bed-side" </w:t>
      </w:r>
      <w:proofErr w:type="spellStart"/>
      <w:r w:rsidRPr="2E9C8D5A" w:rsidR="2E9C8D5A">
        <w:rPr>
          <w:rFonts w:ascii="Verdana" w:hAnsi="Verdana" w:eastAsia="Verdana" w:cs="Verdana"/>
          <w:sz w:val="18"/>
          <w:szCs w:val="18"/>
        </w:rPr>
        <w:t>vaimse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seisundi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hindamine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või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neuropsühholoogiline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testimine</w:t>
      </w:r>
      <w:proofErr w:type="spellEnd"/>
      <w:r w:rsidRPr="2E9C8D5A" w:rsidR="2E9C8D5A">
        <w:rPr>
          <w:rFonts w:ascii="Verdana" w:hAnsi="Verdana" w:eastAsia="Verdana" w:cs="Verdana"/>
          <w:sz w:val="18"/>
          <w:szCs w:val="18"/>
        </w:rPr>
        <w:t xml:space="preserve">). NPS </w:t>
      </w:r>
      <w:proofErr w:type="spellStart"/>
      <w:r w:rsidRPr="2E9C8D5A" w:rsidR="2E9C8D5A">
        <w:rPr>
          <w:rFonts w:ascii="Verdana" w:hAnsi="Verdana" w:eastAsia="Verdana" w:cs="Verdana"/>
          <w:sz w:val="18"/>
          <w:szCs w:val="18"/>
        </w:rPr>
        <w:t>tuleks</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teha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kui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anamneesi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ja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skriinigtestide</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abil</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ei</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anna</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kindlat</w:t>
      </w:r>
      <w:proofErr w:type="spellEnd"/>
      <w:r w:rsidRPr="2E9C8D5A" w:rsidR="2E9C8D5A">
        <w:rPr>
          <w:rFonts w:ascii="Verdana" w:hAnsi="Verdana" w:eastAsia="Verdana" w:cs="Verdana"/>
          <w:sz w:val="18"/>
          <w:szCs w:val="18"/>
        </w:rPr>
        <w:t xml:space="preserve"> </w:t>
      </w:r>
      <w:proofErr w:type="spellStart"/>
      <w:r w:rsidRPr="2E9C8D5A" w:rsidR="2E9C8D5A">
        <w:rPr>
          <w:rFonts w:ascii="Verdana" w:hAnsi="Verdana" w:eastAsia="Verdana" w:cs="Verdana"/>
          <w:sz w:val="18"/>
          <w:szCs w:val="18"/>
        </w:rPr>
        <w:t>diagnoosi</w:t>
      </w:r>
      <w:proofErr w:type="spellEnd"/>
      <w:r w:rsidRPr="2E9C8D5A" w:rsidR="2E9C8D5A">
        <w:rPr>
          <w:rFonts w:ascii="Verdana" w:hAnsi="Verdana" w:eastAsia="Verdana" w:cs="Verdana"/>
          <w:sz w:val="18"/>
          <w:szCs w:val="18"/>
        </w:rPr>
        <w:t xml:space="preserve">. </w:t>
      </w:r>
    </w:p>
    <w:p xmlns:wp14="http://schemas.microsoft.com/office/word/2010/wordml" w:rsidRPr="00FE17E8" w:rsidR="002D065A" w:rsidP="003E1B67" w:rsidRDefault="002D065A" w14:paraId="6AC66C98" wp14:textId="77777777">
      <w:pPr>
        <w:rPr>
          <w:lang w:val="en-US"/>
        </w:rPr>
      </w:pPr>
    </w:p>
    <w:sectPr w:rsidRPr="00FE17E8" w:rsidR="002D065A" w:rsidSect="00042FF2">
      <w:headerReference w:type="default" r:id="rId7"/>
      <w:headerReference w:type="first" r:id="rId8"/>
      <w:pgSz w:w="11906" w:h="16838" w:orient="portrait"/>
      <w:pgMar w:top="1417" w:right="1417" w:bottom="1417" w:left="1417" w:header="720" w:footer="720" w:gutter="0"/>
      <w:cols w:space="720"/>
      <w:titlePg/>
      <w:docGrid w:linePitch="360"/>
      <w:footerReference w:type="default" r:id="R7e5fa5e9df5146b9"/>
      <w:footerReference w:type="first" r:id="R25e1ee6ed54a4f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50187" w:rsidP="00042FF2" w:rsidRDefault="00A50187" w14:paraId="7E8C8ECD" wp14:textId="77777777">
      <w:r>
        <w:separator/>
      </w:r>
    </w:p>
  </w:endnote>
  <w:endnote w:type="continuationSeparator" w:id="0">
    <w:p xmlns:wp14="http://schemas.microsoft.com/office/word/2010/wordml" w:rsidR="00A50187" w:rsidP="00042FF2" w:rsidRDefault="00A50187" w14:paraId="63C89B3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c9c3bd71">
    <w:panose1 w:val="00000000000000000000"/>
    <w:charset w:val="BA"/>
    <w:family w:val="auto"/>
    <w:notTrueType/>
    <w:pitch w:val="default"/>
    <w:sig w:usb0="00000005" w:usb1="00000000" w:usb2="00000000" w:usb3="00000000" w:csb0="00000080" w:csb1="00000000"/>
  </w:font>
  <w:font w:name="AdvPSA88A">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w14="http://schemas.microsoft.com/office/word/2010/wordml" xmlns:w="http://schemas.openxmlformats.org/wordprocessingml/2006/main">
  <w:tbl>
    <w:tblPr>
      <w:tblStyle w:val="Normaaltabel"/>
      <w:bidiVisual w:val="0"/>
      <w:tblW w:w="0" w:type="auto"/>
      <w:tblLook w:val="04A0" w:firstRow="1" w:lastRow="0" w:firstColumn="1" w:lastColumn="0" w:noHBand="0" w:noVBand="1"/>
    </w:tblPr>
    <w:tblGrid>
      <w:gridCol w:w="3024"/>
      <w:gridCol w:w="3024"/>
      <w:gridCol w:w="3024"/>
    </w:tblGrid>
    <w:tr w:rsidR="7ABC7D88" w:rsidTr="7ABC7D88" w14:paraId="7FC2F6B1">
      <w:tc>
        <w:tcPr>
          <w:tcW w:w="3024" w:type="dxa"/>
          <w:tcMar/>
        </w:tcPr>
        <w:p w:rsidR="7ABC7D88" w:rsidP="7ABC7D88" w:rsidRDefault="7ABC7D88" w14:paraId="4424B45B" w14:textId="52D34AD9">
          <w:pPr>
            <w:pStyle w:val="Pis"/>
            <w:bidi w:val="0"/>
            <w:ind w:left="-115"/>
            <w:jc w:val="left"/>
          </w:pPr>
        </w:p>
      </w:tc>
      <w:tc>
        <w:tcPr>
          <w:tcW w:w="3024" w:type="dxa"/>
          <w:tcMar/>
        </w:tcPr>
        <w:p w:rsidR="7ABC7D88" w:rsidP="7ABC7D88" w:rsidRDefault="7ABC7D88" w14:paraId="4B212B73" w14:textId="3267049D">
          <w:pPr>
            <w:pStyle w:val="Pis"/>
            <w:bidi w:val="0"/>
            <w:jc w:val="center"/>
          </w:pPr>
        </w:p>
      </w:tc>
      <w:tc>
        <w:tcPr>
          <w:tcW w:w="3024" w:type="dxa"/>
          <w:tcMar/>
        </w:tcPr>
        <w:p w:rsidR="7ABC7D88" w:rsidP="7ABC7D88" w:rsidRDefault="7ABC7D88" w14:paraId="64CDA368" w14:textId="454A555B">
          <w:pPr>
            <w:pStyle w:val="Pis"/>
            <w:bidi w:val="0"/>
            <w:ind w:right="-115"/>
            <w:jc w:val="right"/>
          </w:pPr>
        </w:p>
      </w:tc>
    </w:tr>
  </w:tbl>
  <w:p w:rsidR="7ABC7D88" w:rsidP="7ABC7D88" w:rsidRDefault="7ABC7D88" w14:paraId="3C2605D9" w14:textId="48F942DB">
    <w:pPr>
      <w:pStyle w:val="Jalus"/>
      <w:bidi w:val="0"/>
    </w:pPr>
  </w:p>
</w:ftr>
</file>

<file path=word/footer2.xml><?xml version="1.0" encoding="utf-8"?>
<w:ftr xmlns:w14="http://schemas.microsoft.com/office/word/2010/wordml" xmlns:w="http://schemas.openxmlformats.org/wordprocessingml/2006/main">
  <w:tbl>
    <w:tblPr>
      <w:tblStyle w:val="Normaaltabel"/>
      <w:bidiVisual w:val="0"/>
      <w:tblW w:w="0" w:type="auto"/>
      <w:tblLook w:val="04A0" w:firstRow="1" w:lastRow="0" w:firstColumn="1" w:lastColumn="0" w:noHBand="0" w:noVBand="1"/>
    </w:tblPr>
    <w:tblGrid>
      <w:gridCol w:w="3024"/>
      <w:gridCol w:w="3024"/>
      <w:gridCol w:w="3024"/>
    </w:tblGrid>
    <w:tr w:rsidR="7ABC7D88" w:rsidTr="7ABC7D88" w14:paraId="5BA4347A">
      <w:tc>
        <w:tcPr>
          <w:tcW w:w="3024" w:type="dxa"/>
          <w:tcMar/>
        </w:tcPr>
        <w:p w:rsidR="7ABC7D88" w:rsidP="7ABC7D88" w:rsidRDefault="7ABC7D88" w14:paraId="1FA8A54A" w14:textId="685D63B7">
          <w:pPr>
            <w:pStyle w:val="Pis"/>
            <w:bidi w:val="0"/>
            <w:ind w:left="-115"/>
            <w:jc w:val="left"/>
          </w:pPr>
        </w:p>
      </w:tc>
      <w:tc>
        <w:tcPr>
          <w:tcW w:w="3024" w:type="dxa"/>
          <w:tcMar/>
        </w:tcPr>
        <w:p w:rsidR="7ABC7D88" w:rsidP="7ABC7D88" w:rsidRDefault="7ABC7D88" w14:paraId="53012025" w14:textId="35C76E9E">
          <w:pPr>
            <w:pStyle w:val="Pis"/>
            <w:bidi w:val="0"/>
            <w:jc w:val="center"/>
          </w:pPr>
        </w:p>
      </w:tc>
      <w:tc>
        <w:tcPr>
          <w:tcW w:w="3024" w:type="dxa"/>
          <w:tcMar/>
        </w:tcPr>
        <w:p w:rsidR="7ABC7D88" w:rsidP="7ABC7D88" w:rsidRDefault="7ABC7D88" w14:paraId="1C6A6B37" w14:textId="66188676">
          <w:pPr>
            <w:pStyle w:val="Pis"/>
            <w:bidi w:val="0"/>
            <w:ind w:right="-115"/>
            <w:jc w:val="right"/>
          </w:pPr>
        </w:p>
      </w:tc>
    </w:tr>
  </w:tbl>
  <w:p w:rsidR="7ABC7D88" w:rsidP="7ABC7D88" w:rsidRDefault="7ABC7D88" w14:paraId="2AB48166" w14:textId="3E068A01">
    <w:pPr>
      <w:pStyle w:val="Jalus"/>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50187" w:rsidP="00042FF2" w:rsidRDefault="00A50187" w14:paraId="123F71B2" wp14:textId="77777777">
      <w:r>
        <w:separator/>
      </w:r>
    </w:p>
  </w:footnote>
  <w:footnote w:type="continuationSeparator" w:id="0">
    <w:p xmlns:wp14="http://schemas.microsoft.com/office/word/2010/wordml" w:rsidR="00A50187" w:rsidP="00042FF2" w:rsidRDefault="00A50187" w14:paraId="6A9C2C5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4501C949" wp14:textId="77777777">
    <w:pPr>
      <w:pStyle w:val="Pis"/>
    </w:pPr>
    <w:r w:rsidR="2E9C8D5A">
      <w:rPr/>
      <w:t>[</w:t>
    </w:r>
    <w:proofErr w:type="spellStart"/>
    <w:r w:rsidR="2E9C8D5A">
      <w:rPr/>
      <w:t>Type</w:t>
    </w:r>
    <w:proofErr w:type="spellEnd"/>
    <w:r w:rsidR="2E9C8D5A">
      <w:rPr/>
      <w:t xml:space="preserve"> </w:t>
    </w:r>
    <w:proofErr w:type="spellStart"/>
    <w:r w:rsidR="2E9C8D5A">
      <w:rPr/>
      <w:t>text</w:t>
    </w:r>
    <w:proofErr w:type="spellEnd"/>
    <w:r w:rsidR="2E9C8D5A">
      <w:rPr/>
      <w:t>]</w:t>
    </w:r>
  </w:p>
  <w:p xmlns:wp14="http://schemas.microsoft.com/office/word/2010/wordml" w:rsidR="00042FF2" w:rsidRDefault="00042FF2" w14:paraId="6BEE835B" wp14:textId="7777777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42FF2" w:rsidRDefault="00042FF2" w14:paraId="256543CA" wp14:textId="77777777">
    <w:pPr>
      <w:pStyle w:val="Pis"/>
    </w:pPr>
    <w:r w:rsidR="2E9C8D5A">
      <w:rPr/>
      <w:t>Tõendusmaterjali kokkuvõte</w:t>
    </w:r>
    <w:r w:rsidR="2E9C8D5A">
      <w:rPr/>
      <w:t xml:space="preserve"> - </w:t>
    </w:r>
    <w:proofErr w:type="spellStart"/>
    <w:r w:rsidR="2E9C8D5A">
      <w:rPr/>
      <w:t>EvSu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501D42"/>
    <w:multiLevelType w:val="hybridMultilevel"/>
    <w:tmpl w:val="6FEACDF4"/>
    <w:lvl w:ilvl="0" w:tplc="E42CFDA0">
      <w:start w:val="3"/>
      <w:numFmt w:val="bullet"/>
      <w:lvlText w:val="-"/>
      <w:lvlJc w:val="left"/>
      <w:pPr>
        <w:tabs>
          <w:tab w:val="num" w:pos="720"/>
        </w:tabs>
        <w:ind w:left="720" w:hanging="360"/>
      </w:pPr>
      <w:rPr>
        <w:rFonts w:hint="default" w:ascii="Verdana" w:hAnsi="Verdana" w:eastAsia="Times New Roman" w:cs="AdvPSSAB-R"/>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420344B"/>
    <w:multiLevelType w:val="hybridMultilevel"/>
    <w:tmpl w:val="CC1E1A86"/>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6B4E87"/>
    <w:multiLevelType w:val="hybridMultilevel"/>
    <w:tmpl w:val="6A56C87E"/>
    <w:lvl w:ilvl="0" w:tplc="5C2A4332">
      <w:start w:val="1"/>
      <w:numFmt w:val="decimal"/>
      <w:lvlText w:val="%1."/>
      <w:lvlJc w:val="left"/>
      <w:pPr>
        <w:ind w:left="720" w:hanging="360"/>
      </w:pPr>
      <w:rPr>
        <w:rFonts w:hint="default" w:ascii="AdvPSFUW" w:hAnsi="AdvPSFUW" w:cs="AdvPSFUW"/>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93B32"/>
    <w:multiLevelType w:val="hybridMultilevel"/>
    <w:tmpl w:val="807EEE5E"/>
    <w:lvl w:ilvl="0" w:tplc="60307846">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C9564E"/>
    <w:multiLevelType w:val="hybridMultilevel"/>
    <w:tmpl w:val="CC54653A"/>
    <w:lvl w:ilvl="0" w:tplc="590A5B38">
      <w:numFmt w:val="bullet"/>
      <w:lvlText w:val="-"/>
      <w:lvlJc w:val="left"/>
      <w:pPr>
        <w:ind w:left="420" w:hanging="360"/>
      </w:pPr>
      <w:rPr>
        <w:rFonts w:hint="default" w:ascii="Verdana" w:hAnsi="Verdana" w:eastAsia="Times New Roman" w:cs="ArialMT"/>
      </w:rPr>
    </w:lvl>
    <w:lvl w:ilvl="1" w:tplc="04250003" w:tentative="1">
      <w:start w:val="1"/>
      <w:numFmt w:val="bullet"/>
      <w:lvlText w:val="o"/>
      <w:lvlJc w:val="left"/>
      <w:pPr>
        <w:ind w:left="1140" w:hanging="360"/>
      </w:pPr>
      <w:rPr>
        <w:rFonts w:hint="default" w:ascii="Courier New" w:hAnsi="Courier New" w:cs="Courier New"/>
      </w:rPr>
    </w:lvl>
    <w:lvl w:ilvl="2" w:tplc="04250005" w:tentative="1">
      <w:start w:val="1"/>
      <w:numFmt w:val="bullet"/>
      <w:lvlText w:val=""/>
      <w:lvlJc w:val="left"/>
      <w:pPr>
        <w:ind w:left="1860" w:hanging="360"/>
      </w:pPr>
      <w:rPr>
        <w:rFonts w:hint="default" w:ascii="Wingdings" w:hAnsi="Wingdings"/>
      </w:rPr>
    </w:lvl>
    <w:lvl w:ilvl="3" w:tplc="04250001" w:tentative="1">
      <w:start w:val="1"/>
      <w:numFmt w:val="bullet"/>
      <w:lvlText w:val=""/>
      <w:lvlJc w:val="left"/>
      <w:pPr>
        <w:ind w:left="2580" w:hanging="360"/>
      </w:pPr>
      <w:rPr>
        <w:rFonts w:hint="default" w:ascii="Symbol" w:hAnsi="Symbol"/>
      </w:rPr>
    </w:lvl>
    <w:lvl w:ilvl="4" w:tplc="04250003" w:tentative="1">
      <w:start w:val="1"/>
      <w:numFmt w:val="bullet"/>
      <w:lvlText w:val="o"/>
      <w:lvlJc w:val="left"/>
      <w:pPr>
        <w:ind w:left="3300" w:hanging="360"/>
      </w:pPr>
      <w:rPr>
        <w:rFonts w:hint="default" w:ascii="Courier New" w:hAnsi="Courier New" w:cs="Courier New"/>
      </w:rPr>
    </w:lvl>
    <w:lvl w:ilvl="5" w:tplc="04250005" w:tentative="1">
      <w:start w:val="1"/>
      <w:numFmt w:val="bullet"/>
      <w:lvlText w:val=""/>
      <w:lvlJc w:val="left"/>
      <w:pPr>
        <w:ind w:left="4020" w:hanging="360"/>
      </w:pPr>
      <w:rPr>
        <w:rFonts w:hint="default" w:ascii="Wingdings" w:hAnsi="Wingdings"/>
      </w:rPr>
    </w:lvl>
    <w:lvl w:ilvl="6" w:tplc="04250001" w:tentative="1">
      <w:start w:val="1"/>
      <w:numFmt w:val="bullet"/>
      <w:lvlText w:val=""/>
      <w:lvlJc w:val="left"/>
      <w:pPr>
        <w:ind w:left="4740" w:hanging="360"/>
      </w:pPr>
      <w:rPr>
        <w:rFonts w:hint="default" w:ascii="Symbol" w:hAnsi="Symbol"/>
      </w:rPr>
    </w:lvl>
    <w:lvl w:ilvl="7" w:tplc="04250003" w:tentative="1">
      <w:start w:val="1"/>
      <w:numFmt w:val="bullet"/>
      <w:lvlText w:val="o"/>
      <w:lvlJc w:val="left"/>
      <w:pPr>
        <w:ind w:left="5460" w:hanging="360"/>
      </w:pPr>
      <w:rPr>
        <w:rFonts w:hint="default" w:ascii="Courier New" w:hAnsi="Courier New" w:cs="Courier New"/>
      </w:rPr>
    </w:lvl>
    <w:lvl w:ilvl="8" w:tplc="04250005" w:tentative="1">
      <w:start w:val="1"/>
      <w:numFmt w:val="bullet"/>
      <w:lvlText w:val=""/>
      <w:lvlJc w:val="left"/>
      <w:pPr>
        <w:ind w:left="6180" w:hanging="360"/>
      </w:pPr>
      <w:rPr>
        <w:rFonts w:hint="default" w:ascii="Wingdings" w:hAnsi="Wingdings"/>
      </w:rPr>
    </w:lvl>
  </w:abstractNum>
  <w:abstractNum w:abstractNumId="8" w15:restartNumberingAfterBreak="0">
    <w:nsid w:val="384C760E"/>
    <w:multiLevelType w:val="hybridMultilevel"/>
    <w:tmpl w:val="AD3202CE"/>
    <w:lvl w:ilvl="0" w:tplc="FBBAC2AA">
      <w:start w:val="1252"/>
      <w:numFmt w:val="bullet"/>
      <w:lvlText w:val="-"/>
      <w:lvlJc w:val="left"/>
      <w:pPr>
        <w:ind w:left="720" w:hanging="360"/>
      </w:pPr>
      <w:rPr>
        <w:rFonts w:hint="default" w:ascii="AdvGARAD-R" w:hAnsi="AdvGARAD-R" w:eastAsia="Times New Roman" w:cs="AdvGARAD-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9" w15:restartNumberingAfterBreak="0">
    <w:nsid w:val="65053D9C"/>
    <w:multiLevelType w:val="hybridMultilevel"/>
    <w:tmpl w:val="90D85272"/>
    <w:lvl w:ilvl="0" w:tplc="E42CFDA0">
      <w:start w:val="3"/>
      <w:numFmt w:val="bullet"/>
      <w:lvlText w:val="-"/>
      <w:lvlJc w:val="left"/>
      <w:pPr>
        <w:tabs>
          <w:tab w:val="num" w:pos="360"/>
        </w:tabs>
        <w:ind w:left="360" w:hanging="360"/>
      </w:pPr>
      <w:rPr>
        <w:rFonts w:hint="default" w:ascii="Verdana" w:hAnsi="Verdana" w:eastAsia="Times New Roman" w:cs="AdvPSSAB-R"/>
      </w:rPr>
    </w:lvl>
    <w:lvl w:ilvl="1" w:tplc="04250003" w:tentative="1">
      <w:start w:val="1"/>
      <w:numFmt w:val="bullet"/>
      <w:lvlText w:val="o"/>
      <w:lvlJc w:val="left"/>
      <w:pPr>
        <w:tabs>
          <w:tab w:val="num" w:pos="1080"/>
        </w:tabs>
        <w:ind w:left="1080" w:hanging="360"/>
      </w:pPr>
      <w:rPr>
        <w:rFonts w:hint="default" w:ascii="Courier New" w:hAnsi="Courier New" w:cs="Courier New"/>
      </w:rPr>
    </w:lvl>
    <w:lvl w:ilvl="2" w:tplc="04250005" w:tentative="1">
      <w:start w:val="1"/>
      <w:numFmt w:val="bullet"/>
      <w:lvlText w:val=""/>
      <w:lvlJc w:val="left"/>
      <w:pPr>
        <w:tabs>
          <w:tab w:val="num" w:pos="1800"/>
        </w:tabs>
        <w:ind w:left="1800" w:hanging="360"/>
      </w:pPr>
      <w:rPr>
        <w:rFonts w:hint="default" w:ascii="Wingdings" w:hAnsi="Wingdings"/>
      </w:rPr>
    </w:lvl>
    <w:lvl w:ilvl="3" w:tplc="04250001" w:tentative="1">
      <w:start w:val="1"/>
      <w:numFmt w:val="bullet"/>
      <w:lvlText w:val=""/>
      <w:lvlJc w:val="left"/>
      <w:pPr>
        <w:tabs>
          <w:tab w:val="num" w:pos="2520"/>
        </w:tabs>
        <w:ind w:left="2520" w:hanging="360"/>
      </w:pPr>
      <w:rPr>
        <w:rFonts w:hint="default" w:ascii="Symbol" w:hAnsi="Symbol"/>
      </w:rPr>
    </w:lvl>
    <w:lvl w:ilvl="4" w:tplc="04250003" w:tentative="1">
      <w:start w:val="1"/>
      <w:numFmt w:val="bullet"/>
      <w:lvlText w:val="o"/>
      <w:lvlJc w:val="left"/>
      <w:pPr>
        <w:tabs>
          <w:tab w:val="num" w:pos="3240"/>
        </w:tabs>
        <w:ind w:left="3240" w:hanging="360"/>
      </w:pPr>
      <w:rPr>
        <w:rFonts w:hint="default" w:ascii="Courier New" w:hAnsi="Courier New" w:cs="Courier New"/>
      </w:rPr>
    </w:lvl>
    <w:lvl w:ilvl="5" w:tplc="04250005" w:tentative="1">
      <w:start w:val="1"/>
      <w:numFmt w:val="bullet"/>
      <w:lvlText w:val=""/>
      <w:lvlJc w:val="left"/>
      <w:pPr>
        <w:tabs>
          <w:tab w:val="num" w:pos="3960"/>
        </w:tabs>
        <w:ind w:left="3960" w:hanging="360"/>
      </w:pPr>
      <w:rPr>
        <w:rFonts w:hint="default" w:ascii="Wingdings" w:hAnsi="Wingdings"/>
      </w:rPr>
    </w:lvl>
    <w:lvl w:ilvl="6" w:tplc="04250001" w:tentative="1">
      <w:start w:val="1"/>
      <w:numFmt w:val="bullet"/>
      <w:lvlText w:val=""/>
      <w:lvlJc w:val="left"/>
      <w:pPr>
        <w:tabs>
          <w:tab w:val="num" w:pos="4680"/>
        </w:tabs>
        <w:ind w:left="4680" w:hanging="360"/>
      </w:pPr>
      <w:rPr>
        <w:rFonts w:hint="default" w:ascii="Symbol" w:hAnsi="Symbol"/>
      </w:rPr>
    </w:lvl>
    <w:lvl w:ilvl="7" w:tplc="04250003" w:tentative="1">
      <w:start w:val="1"/>
      <w:numFmt w:val="bullet"/>
      <w:lvlText w:val="o"/>
      <w:lvlJc w:val="left"/>
      <w:pPr>
        <w:tabs>
          <w:tab w:val="num" w:pos="5400"/>
        </w:tabs>
        <w:ind w:left="5400" w:hanging="360"/>
      </w:pPr>
      <w:rPr>
        <w:rFonts w:hint="default" w:ascii="Courier New" w:hAnsi="Courier New" w:cs="Courier New"/>
      </w:rPr>
    </w:lvl>
    <w:lvl w:ilvl="8" w:tplc="0425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6D145B8A"/>
    <w:multiLevelType w:val="hybridMultilevel"/>
    <w:tmpl w:val="E1F6608A"/>
    <w:lvl w:ilvl="0" w:tplc="34C49D60">
      <w:start w:val="1252"/>
      <w:numFmt w:val="bullet"/>
      <w:lvlText w:val="-"/>
      <w:lvlJc w:val="left"/>
      <w:pPr>
        <w:ind w:left="720" w:hanging="360"/>
      </w:pPr>
      <w:rPr>
        <w:rFonts w:hint="default" w:ascii="AdvGARAD-R" w:hAnsi="AdvGARAD-R" w:eastAsia="Times New Roman" w:cs="AdvGARAD-R"/>
        <w:sz w:val="18"/>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71D55"/>
    <w:multiLevelType w:val="hybridMultilevel"/>
    <w:tmpl w:val="E1F06A0E"/>
    <w:lvl w:ilvl="0" w:tplc="A33805BE">
      <w:start w:val="1"/>
      <w:numFmt w:val="bullet"/>
      <w:lvlText w:val=""/>
      <w:lvlJc w:val="left"/>
      <w:pPr>
        <w:tabs>
          <w:tab w:val="num" w:pos="360"/>
        </w:tabs>
        <w:ind w:left="360" w:hanging="360"/>
      </w:pPr>
      <w:rPr>
        <w:rFonts w:hint="default" w:ascii="Symbol" w:hAnsi="Symbol"/>
      </w:rPr>
    </w:lvl>
    <w:lvl w:ilvl="1" w:tplc="04250003" w:tentative="1">
      <w:start w:val="1"/>
      <w:numFmt w:val="bullet"/>
      <w:lvlText w:val="o"/>
      <w:lvlJc w:val="left"/>
      <w:pPr>
        <w:tabs>
          <w:tab w:val="num" w:pos="1440"/>
        </w:tabs>
        <w:ind w:left="1440" w:hanging="360"/>
      </w:pPr>
      <w:rPr>
        <w:rFonts w:hint="default" w:ascii="Courier New" w:hAnsi="Courier New" w:cs="Courier New"/>
      </w:rPr>
    </w:lvl>
    <w:lvl w:ilvl="2" w:tplc="04250005" w:tentative="1">
      <w:start w:val="1"/>
      <w:numFmt w:val="bullet"/>
      <w:lvlText w:val=""/>
      <w:lvlJc w:val="left"/>
      <w:pPr>
        <w:tabs>
          <w:tab w:val="num" w:pos="2160"/>
        </w:tabs>
        <w:ind w:left="2160" w:hanging="360"/>
      </w:pPr>
      <w:rPr>
        <w:rFonts w:hint="default" w:ascii="Wingdings" w:hAnsi="Wingdings"/>
      </w:rPr>
    </w:lvl>
    <w:lvl w:ilvl="3" w:tplc="04250001" w:tentative="1">
      <w:start w:val="1"/>
      <w:numFmt w:val="bullet"/>
      <w:lvlText w:val=""/>
      <w:lvlJc w:val="left"/>
      <w:pPr>
        <w:tabs>
          <w:tab w:val="num" w:pos="2880"/>
        </w:tabs>
        <w:ind w:left="2880" w:hanging="360"/>
      </w:pPr>
      <w:rPr>
        <w:rFonts w:hint="default" w:ascii="Symbol" w:hAnsi="Symbol"/>
      </w:rPr>
    </w:lvl>
    <w:lvl w:ilvl="4" w:tplc="04250003" w:tentative="1">
      <w:start w:val="1"/>
      <w:numFmt w:val="bullet"/>
      <w:lvlText w:val="o"/>
      <w:lvlJc w:val="left"/>
      <w:pPr>
        <w:tabs>
          <w:tab w:val="num" w:pos="3600"/>
        </w:tabs>
        <w:ind w:left="3600" w:hanging="360"/>
      </w:pPr>
      <w:rPr>
        <w:rFonts w:hint="default" w:ascii="Courier New" w:hAnsi="Courier New" w:cs="Courier New"/>
      </w:rPr>
    </w:lvl>
    <w:lvl w:ilvl="5" w:tplc="04250005" w:tentative="1">
      <w:start w:val="1"/>
      <w:numFmt w:val="bullet"/>
      <w:lvlText w:val=""/>
      <w:lvlJc w:val="left"/>
      <w:pPr>
        <w:tabs>
          <w:tab w:val="num" w:pos="4320"/>
        </w:tabs>
        <w:ind w:left="4320" w:hanging="360"/>
      </w:pPr>
      <w:rPr>
        <w:rFonts w:hint="default" w:ascii="Wingdings" w:hAnsi="Wingdings"/>
      </w:rPr>
    </w:lvl>
    <w:lvl w:ilvl="6" w:tplc="04250001" w:tentative="1">
      <w:start w:val="1"/>
      <w:numFmt w:val="bullet"/>
      <w:lvlText w:val=""/>
      <w:lvlJc w:val="left"/>
      <w:pPr>
        <w:tabs>
          <w:tab w:val="num" w:pos="5040"/>
        </w:tabs>
        <w:ind w:left="5040" w:hanging="360"/>
      </w:pPr>
      <w:rPr>
        <w:rFonts w:hint="default" w:ascii="Symbol" w:hAnsi="Symbol"/>
      </w:rPr>
    </w:lvl>
    <w:lvl w:ilvl="7" w:tplc="04250003" w:tentative="1">
      <w:start w:val="1"/>
      <w:numFmt w:val="bullet"/>
      <w:lvlText w:val="o"/>
      <w:lvlJc w:val="left"/>
      <w:pPr>
        <w:tabs>
          <w:tab w:val="num" w:pos="5760"/>
        </w:tabs>
        <w:ind w:left="5760" w:hanging="360"/>
      </w:pPr>
      <w:rPr>
        <w:rFonts w:hint="default" w:ascii="Courier New" w:hAnsi="Courier New" w:cs="Courier New"/>
      </w:rPr>
    </w:lvl>
    <w:lvl w:ilvl="8" w:tplc="0425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80111BC"/>
    <w:multiLevelType w:val="hybridMultilevel"/>
    <w:tmpl w:val="62EC6EFC"/>
    <w:lvl w:ilvl="0" w:tplc="E98094D0">
      <w:start w:val="4"/>
      <w:numFmt w:val="bullet"/>
      <w:lvlText w:val="-"/>
      <w:lvlJc w:val="left"/>
      <w:pPr>
        <w:ind w:left="720" w:hanging="360"/>
      </w:pPr>
      <w:rPr>
        <w:rFonts w:hint="default" w:ascii="AdvPSSAB-R" w:hAnsi="AdvPSSAB-R" w:eastAsia="Times New Roman" w:cs="AdvPSSAB-R"/>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num w:numId="21">
    <w:abstractNumId w:val="19"/>
  </w:num>
  <w:num w:numId="20">
    <w:abstractNumId w:val="18"/>
  </w:num>
  <w:num w:numId="19">
    <w:abstractNumId w:val="17"/>
  </w:num>
  <w:num w:numId="18">
    <w:abstractNumId w:val="16"/>
  </w:num>
  <w:num w:numId="17">
    <w:abstractNumId w:val="15"/>
  </w:num>
  <w:num w:numId="16">
    <w:abstractNumId w:val="14"/>
  </w:num>
  <w:num w:numId="1">
    <w:abstractNumId w:val="4"/>
  </w:num>
  <w:num w:numId="2">
    <w:abstractNumId w:val="11"/>
  </w:num>
  <w:num w:numId="3">
    <w:abstractNumId w:val="3"/>
    <w:lvlOverride w:ilvl="0">
      <w:startOverride w:val="30"/>
    </w:lvlOverride>
  </w:num>
  <w:num w:numId="4">
    <w:abstractNumId w:val="3"/>
    <w:lvlOverride w:ilvl="0">
      <w:startOverride w:val="31"/>
    </w:lvlOverride>
  </w:num>
  <w:num w:numId="5">
    <w:abstractNumId w:val="6"/>
  </w:num>
  <w:num w:numId="6">
    <w:abstractNumId w:val="7"/>
  </w:num>
  <w:num w:numId="7">
    <w:abstractNumId w:val="8"/>
  </w:num>
  <w:num w:numId="8">
    <w:abstractNumId w:val="10"/>
  </w:num>
  <w:num w:numId="9">
    <w:abstractNumId w:val="2"/>
  </w:num>
  <w:num w:numId="10">
    <w:abstractNumId w:val="13"/>
  </w:num>
  <w:num w:numId="11">
    <w:abstractNumId w:val="5"/>
  </w:num>
  <w:num w:numId="12">
    <w:abstractNumId w:val="12"/>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65D"/>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187"/>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1D49354F"/>
    <w:rsid w:val="2E9C8D5A"/>
    <w:rsid w:val="31897A2A"/>
    <w:rsid w:val="348EA9F5"/>
    <w:rsid w:val="3FAFA00B"/>
    <w:rsid w:val="4E73F672"/>
    <w:rsid w:val="5EB7100A"/>
    <w:rsid w:val="605509CC"/>
    <w:rsid w:val="7ABC7D8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F57B8F-A503-4922-B71A-A3A415C86492}"/>
  <w14:docId w14:val="0308B0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t-EE" w:eastAsia="ja-JP"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atentStyles>
  <w:style w:type="paragraph" w:styleId="Normaallaad" w:default="1">
    <w:name w:val="Normal"/>
    <w:qFormat/>
    <w:rPr>
      <w:sz w:val="24"/>
      <w:szCs w:val="24"/>
      <w:lang w:eastAsia="et-EE"/>
    </w:rPr>
  </w:style>
  <w:style w:type="paragraph" w:styleId="Pealkiri1">
    <w:name w:val="heading 1"/>
    <w:basedOn w:val="Normaallaad"/>
    <w:link w:val="Pealkiri1Mrk"/>
    <w:uiPriority w:val="9"/>
    <w:qFormat/>
    <w:rsid w:val="00815E0C"/>
    <w:pPr>
      <w:spacing w:before="100" w:beforeAutospacing="1" w:after="100" w:afterAutospacing="1" w:line="264" w:lineRule="atLeast"/>
      <w:outlineLvl w:val="0"/>
    </w:pPr>
    <w:rPr>
      <w:b/>
      <w:bCs/>
      <w:kern w:val="36"/>
      <w:sz w:val="36"/>
      <w:szCs w:val="36"/>
    </w:rPr>
  </w:style>
  <w:style w:type="paragraph" w:styleId="Pealkiri3">
    <w:name w:val="heading 3"/>
    <w:basedOn w:val="Normaallaad"/>
    <w:link w:val="Pealkiri3Mrk"/>
    <w:uiPriority w:val="9"/>
    <w:qFormat/>
    <w:rsid w:val="00815E0C"/>
    <w:pPr>
      <w:spacing w:before="100" w:beforeAutospacing="1" w:after="100" w:afterAutospacing="1"/>
      <w:outlineLvl w:val="2"/>
    </w:pPr>
    <w:rPr>
      <w:b/>
      <w:bCs/>
      <w:sz w:val="34"/>
      <w:szCs w:val="34"/>
    </w:rPr>
  </w:style>
  <w:style w:type="paragraph" w:styleId="Pealkiri4">
    <w:name w:val="heading 4"/>
    <w:basedOn w:val="Normaallaad"/>
    <w:link w:val="Pealkiri4Mrk"/>
    <w:uiPriority w:val="9"/>
    <w:qFormat/>
    <w:rsid w:val="00815E0C"/>
    <w:pPr>
      <w:spacing w:before="100" w:beforeAutospacing="1" w:after="100" w:afterAutospacing="1"/>
      <w:outlineLvl w:val="3"/>
    </w:pPr>
    <w:rPr>
      <w:b/>
      <w:bCs/>
      <w:sz w:val="29"/>
      <w:szCs w:val="29"/>
    </w:rPr>
  </w:style>
  <w:style w:type="character" w:styleId="Liguvaikefont" w:default="1">
    <w:name w:val="Default Paragraph Font"/>
    <w:semiHidden/>
  </w:style>
  <w:style w:type="table" w:styleId="Normaaltabel" w:default="1">
    <w:name w:val="Normal Table"/>
    <w:semiHidden/>
    <w:tblPr>
      <w:tblInd w:w="0" w:type="dxa"/>
      <w:tblCellMar>
        <w:top w:w="0" w:type="dxa"/>
        <w:left w:w="108" w:type="dxa"/>
        <w:bottom w:w="0" w:type="dxa"/>
        <w:right w:w="108" w:type="dxa"/>
      </w:tblCellMar>
    </w:tblPr>
  </w:style>
  <w:style w:type="numbering" w:styleId="Loendita" w:default="1">
    <w:name w:val="No List"/>
    <w:semiHidden/>
  </w:style>
  <w:style w:type="character" w:styleId="subabstractlabel" w:customStyle="1">
    <w:name w:val="sub_abstract_label"/>
    <w:rsid w:val="00402CDE"/>
    <w:rPr>
      <w:b/>
      <w:bCs/>
      <w:sz w:val="24"/>
      <w:szCs w:val="24"/>
    </w:rPr>
  </w:style>
  <w:style w:type="table" w:styleId="Kontuurtabel">
    <w:name w:val="Table Grid"/>
    <w:basedOn w:val="Normaaltabel"/>
    <w:rsid w:val="00402C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earch-term-highlight1" w:customStyle="1">
    <w:name w:val="search-term-highlight1"/>
    <w:rsid w:val="00196F4C"/>
    <w:rPr>
      <w:b/>
      <w:bCs/>
      <w:color w:val="CC0000"/>
    </w:rPr>
  </w:style>
  <w:style w:type="character" w:styleId="HTML-tsitaat">
    <w:name w:val="HTML Cite"/>
    <w:rsid w:val="00C337D7"/>
    <w:rPr>
      <w:i/>
      <w:iCs/>
    </w:rPr>
  </w:style>
  <w:style w:type="character" w:styleId="cit-vol1" w:customStyle="1">
    <w:name w:val="cit-vol1"/>
    <w:rsid w:val="00C337D7"/>
    <w:rPr>
      <w:b w:val="0"/>
      <w:bCs w:val="0"/>
    </w:rPr>
  </w:style>
  <w:style w:type="character" w:styleId="cit-title1" w:customStyle="1">
    <w:name w:val="cit-title1"/>
    <w:basedOn w:val="Liguvaikefont"/>
    <w:rsid w:val="00C337D7"/>
  </w:style>
  <w:style w:type="character" w:styleId="cit-authcit-auth-type-author" w:customStyle="1">
    <w:name w:val="cit-auth cit-auth-type-author"/>
    <w:basedOn w:val="Liguvaikefont"/>
    <w:rsid w:val="00C337D7"/>
  </w:style>
  <w:style w:type="character" w:styleId="cit-sepcit-sep-separator" w:customStyle="1">
    <w:name w:val="cit-sep cit-sep-separator"/>
    <w:basedOn w:val="Liguvaikefont"/>
    <w:rsid w:val="00C337D7"/>
  </w:style>
  <w:style w:type="character" w:styleId="cit-print-date" w:customStyle="1">
    <w:name w:val="cit-print-date"/>
    <w:basedOn w:val="Liguvaikefont"/>
    <w:rsid w:val="00C337D7"/>
  </w:style>
  <w:style w:type="character" w:styleId="cit-sepcit-sep-after-article-print-date" w:customStyle="1">
    <w:name w:val="cit-sep cit-sep-after-article-print-date"/>
    <w:basedOn w:val="Liguvaikefont"/>
    <w:rsid w:val="00C337D7"/>
  </w:style>
  <w:style w:type="character" w:styleId="cit-sepcit-sep-after-article-vol" w:customStyle="1">
    <w:name w:val="cit-sep cit-sep-after-article-vol"/>
    <w:basedOn w:val="Liguvaikefont"/>
    <w:rsid w:val="00C337D7"/>
  </w:style>
  <w:style w:type="character" w:styleId="cit-first-page" w:customStyle="1">
    <w:name w:val="cit-first-page"/>
    <w:basedOn w:val="Liguvaikefont"/>
    <w:rsid w:val="00C337D7"/>
  </w:style>
  <w:style w:type="character" w:styleId="Hperlink">
    <w:name w:val="Hyperlink"/>
    <w:uiPriority w:val="99"/>
    <w:rsid w:val="00BC6052"/>
    <w:rPr>
      <w:color w:val="0000FF"/>
      <w:u w:val="single"/>
    </w:rPr>
  </w:style>
  <w:style w:type="character" w:styleId="Rhutus">
    <w:name w:val="Emphasis"/>
    <w:qFormat/>
    <w:rsid w:val="00BC6052"/>
    <w:rPr>
      <w:i/>
      <w:iCs/>
    </w:rPr>
  </w:style>
  <w:style w:type="paragraph" w:styleId="Loendilik">
    <w:name w:val="List Paragraph"/>
    <w:basedOn w:val="Normaallaad"/>
    <w:qFormat/>
    <w:rsid w:val="001D47FB"/>
    <w:pPr>
      <w:ind w:left="720"/>
      <w:contextualSpacing/>
    </w:pPr>
    <w:rPr>
      <w:lang w:val="en-GB"/>
    </w:rPr>
  </w:style>
  <w:style w:type="character" w:styleId="Pealkiri1Mrk" w:customStyle="1">
    <w:name w:val="Pealkiri 1 Märk"/>
    <w:link w:val="Pealkiri1"/>
    <w:uiPriority w:val="9"/>
    <w:rsid w:val="00815E0C"/>
    <w:rPr>
      <w:b/>
      <w:bCs/>
      <w:kern w:val="36"/>
      <w:sz w:val="36"/>
      <w:szCs w:val="36"/>
    </w:rPr>
  </w:style>
  <w:style w:type="character" w:styleId="Pealkiri3Mrk" w:customStyle="1">
    <w:name w:val="Pealkiri 3 Märk"/>
    <w:link w:val="Pealkiri3"/>
    <w:uiPriority w:val="9"/>
    <w:rsid w:val="00815E0C"/>
    <w:rPr>
      <w:b/>
      <w:bCs/>
      <w:sz w:val="34"/>
      <w:szCs w:val="34"/>
    </w:rPr>
  </w:style>
  <w:style w:type="character" w:styleId="Pealkiri4Mrk" w:customStyle="1">
    <w:name w:val="Pealkiri 4 Märk"/>
    <w:link w:val="Pealkiri4"/>
    <w:uiPriority w:val="9"/>
    <w:rsid w:val="00815E0C"/>
    <w:rPr>
      <w:b/>
      <w:bCs/>
      <w:sz w:val="29"/>
      <w:szCs w:val="29"/>
    </w:rPr>
  </w:style>
  <w:style w:type="paragraph" w:styleId="Normaallaadveeb">
    <w:name w:val="Normal (Web)"/>
    <w:basedOn w:val="Normaallaad"/>
    <w:uiPriority w:val="99"/>
    <w:unhideWhenUsed/>
    <w:rsid w:val="00815E0C"/>
    <w:pPr>
      <w:spacing w:before="100" w:beforeAutospacing="1" w:after="100" w:afterAutospacing="1"/>
    </w:pPr>
  </w:style>
  <w:style w:type="paragraph" w:styleId="Pis">
    <w:name w:val="header"/>
    <w:basedOn w:val="Normaallaad"/>
    <w:link w:val="PisMrk"/>
    <w:uiPriority w:val="99"/>
    <w:rsid w:val="00042FF2"/>
    <w:pPr>
      <w:tabs>
        <w:tab w:val="center" w:pos="4536"/>
        <w:tab w:val="right" w:pos="9072"/>
      </w:tabs>
    </w:pPr>
  </w:style>
  <w:style w:type="character" w:styleId="PisMrk" w:customStyle="1">
    <w:name w:val="Päis Märk"/>
    <w:link w:val="Pis"/>
    <w:uiPriority w:val="99"/>
    <w:rsid w:val="00042FF2"/>
    <w:rPr>
      <w:sz w:val="24"/>
      <w:szCs w:val="24"/>
    </w:rPr>
  </w:style>
  <w:style w:type="paragraph" w:styleId="Jalus">
    <w:name w:val="footer"/>
    <w:basedOn w:val="Normaallaad"/>
    <w:link w:val="JalusMrk"/>
    <w:rsid w:val="00042FF2"/>
    <w:pPr>
      <w:tabs>
        <w:tab w:val="center" w:pos="4536"/>
        <w:tab w:val="right" w:pos="9072"/>
      </w:tabs>
    </w:pPr>
  </w:style>
  <w:style w:type="character" w:styleId="JalusMrk" w:customStyle="1">
    <w:name w:val="Jalus Märk"/>
    <w:link w:val="Jalus"/>
    <w:rsid w:val="00042FF2"/>
    <w:rPr>
      <w:sz w:val="24"/>
      <w:szCs w:val="24"/>
    </w:rPr>
  </w:style>
  <w:style w:type="paragraph" w:styleId="Jutumullitekst">
    <w:name w:val="Balloon Text"/>
    <w:basedOn w:val="Normaallaad"/>
    <w:link w:val="JutumullitekstMrk"/>
    <w:rsid w:val="00042FF2"/>
    <w:rPr>
      <w:rFonts w:ascii="Tahoma" w:hAnsi="Tahoma" w:cs="Tahoma"/>
      <w:sz w:val="16"/>
      <w:szCs w:val="16"/>
    </w:rPr>
  </w:style>
  <w:style w:type="character" w:styleId="JutumullitekstMrk" w:customStyle="1">
    <w:name w:val="Jutumullitekst Märk"/>
    <w:link w:val="Jutumullitekst"/>
    <w:rsid w:val="00042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8636736599874f06" /><Relationship Type="http://schemas.openxmlformats.org/officeDocument/2006/relationships/image" Target="/media/image3.png" Id="R39ce8a0bdd144ed7" /><Relationship Type="http://schemas.openxmlformats.org/officeDocument/2006/relationships/image" Target="/media/image4.png" Id="R189337901c644a2f" /><Relationship Type="http://schemas.openxmlformats.org/officeDocument/2006/relationships/hyperlink" Target="http://www.arif.bham.ac.uk" TargetMode="External" Id="R33a2fbfa0ba0408d" /><Relationship Type="http://schemas.openxmlformats.org/officeDocument/2006/relationships/footer" Target="/word/footer.xml" Id="R7e5fa5e9df5146b9" /><Relationship Type="http://schemas.openxmlformats.org/officeDocument/2006/relationships/footer" Target="/word/footer2.xml" Id="R25e1ee6ed54a4f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Ravimiamet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Non-pharmacological treatment</dc:title>
  <dc:subject/>
  <dc:creator>Kasutaja</dc:creator>
  <keywords/>
  <lastModifiedBy>siretoja1@gmail.com</lastModifiedBy>
  <revision>11</revision>
  <dcterms:created xsi:type="dcterms:W3CDTF">2016-02-04T15:50:00.0000000Z</dcterms:created>
  <dcterms:modified xsi:type="dcterms:W3CDTF">2016-10-17T15:24:58.5515873Z</dcterms:modified>
</coreProperties>
</file>