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97024" w:rsidR="0002590A" w:rsidP="004F6C78" w:rsidRDefault="0002590A" w14:paraId="383FF46B" wp14:textId="77777777">
      <w:pPr>
        <w:rPr>
          <w:rFonts w:ascii="Verdana" w:hAnsi="Verdana"/>
          <w:b/>
          <w:color w:val="000080"/>
          <w:sz w:val="18"/>
          <w:szCs w:val="18"/>
        </w:rPr>
      </w:pPr>
    </w:p>
    <w:p xmlns:wp14="http://schemas.microsoft.com/office/word/2010/wordml" w:rsidRPr="00A97024" w:rsidR="004F6C78" w:rsidP="004F6C78" w:rsidRDefault="0031077D" w14:paraId="02E82DC1" wp14:textId="77777777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970DD6">
        <w:rPr>
          <w:rFonts w:ascii="Verdana" w:hAnsi="Verdana"/>
          <w:b/>
          <w:color w:val="000080"/>
          <w:sz w:val="18"/>
          <w:szCs w:val="18"/>
        </w:rPr>
        <w:t>3</w:t>
      </w:r>
    </w:p>
    <w:p xmlns:wp14="http://schemas.microsoft.com/office/word/2010/wordml" w:rsidRPr="00A97024" w:rsidR="004F6C78" w:rsidP="00970DD6" w:rsidRDefault="004F6C78" w14:paraId="2DF8BCA0" wp14:textId="77777777">
      <w:pPr>
        <w:jc w:val="both"/>
        <w:rPr>
          <w:rFonts w:ascii="Verdana" w:hAnsi="Verdana"/>
          <w:b/>
          <w:color w:val="000080"/>
          <w:sz w:val="18"/>
          <w:szCs w:val="18"/>
        </w:rPr>
      </w:pPr>
    </w:p>
    <w:p xmlns:wp14="http://schemas.microsoft.com/office/word/2010/wordml" w:rsidRPr="00970DD6" w:rsidR="00970DD6" w:rsidP="00970DD6" w:rsidRDefault="00970DD6" w14:paraId="745186EA" wp14:textId="77777777">
      <w:pPr>
        <w:jc w:val="both"/>
        <w:rPr>
          <w:rFonts w:ascii="Calibri" w:hAnsi="Calibri"/>
          <w:sz w:val="22"/>
          <w:szCs w:val="20"/>
        </w:rPr>
      </w:pPr>
      <w:r w:rsidRPr="00970DD6">
        <w:rPr>
          <w:rFonts w:ascii="Calibri" w:hAnsi="Calibri"/>
          <w:sz w:val="22"/>
          <w:szCs w:val="20"/>
        </w:rPr>
        <w:t xml:space="preserve">Kas kõikidele dementsussündroomi kahtlusega isikutele on vajalik teha kõik </w:t>
      </w:r>
      <w:r>
        <w:rPr>
          <w:rFonts w:ascii="Calibri" w:hAnsi="Calibri"/>
          <w:sz w:val="22"/>
          <w:szCs w:val="20"/>
        </w:rPr>
        <w:t>d</w:t>
      </w:r>
      <w:r w:rsidRPr="00970DD6">
        <w:rPr>
          <w:rFonts w:ascii="Calibri" w:hAnsi="Calibri"/>
          <w:sz w:val="22"/>
          <w:szCs w:val="20"/>
        </w:rPr>
        <w:t>iferentsiaaldiagnostilised laboratoorsed analüüsid vs. mitte?</w:t>
      </w:r>
    </w:p>
    <w:p xmlns:wp14="http://schemas.microsoft.com/office/word/2010/wordml" w:rsidRPr="00970DD6" w:rsidR="00970DD6" w:rsidP="00970DD6" w:rsidRDefault="00970DD6" w14:paraId="0329718D" wp14:textId="77777777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0"/>
        </w:rPr>
      </w:pPr>
      <w:proofErr w:type="spellStart"/>
      <w:r w:rsidRPr="00970DD6">
        <w:rPr>
          <w:rFonts w:ascii="Calibri" w:hAnsi="Calibri"/>
          <w:sz w:val="22"/>
          <w:szCs w:val="20"/>
        </w:rPr>
        <w:t>biokeemia</w:t>
      </w:r>
      <w:proofErr w:type="spellEnd"/>
      <w:r w:rsidRPr="00970DD6">
        <w:rPr>
          <w:rFonts w:ascii="Calibri" w:hAnsi="Calibri"/>
          <w:sz w:val="22"/>
          <w:szCs w:val="20"/>
        </w:rPr>
        <w:t xml:space="preserve">, </w:t>
      </w:r>
    </w:p>
    <w:p xmlns:wp14="http://schemas.microsoft.com/office/word/2010/wordml" w:rsidRPr="00970DD6" w:rsidR="00970DD6" w:rsidP="00970DD6" w:rsidRDefault="00970DD6" w14:paraId="6F1691DC" wp14:textId="77777777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0"/>
        </w:rPr>
      </w:pPr>
      <w:r w:rsidRPr="00970DD6">
        <w:rPr>
          <w:rFonts w:ascii="Calibri" w:hAnsi="Calibri"/>
          <w:sz w:val="22"/>
          <w:szCs w:val="20"/>
        </w:rPr>
        <w:t xml:space="preserve">B12, </w:t>
      </w:r>
    </w:p>
    <w:p xmlns:wp14="http://schemas.microsoft.com/office/word/2010/wordml" w:rsidRPr="00970DD6" w:rsidR="00970DD6" w:rsidP="00970DD6" w:rsidRDefault="00970DD6" w14:paraId="5C8E4CB9" wp14:textId="77777777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0"/>
        </w:rPr>
      </w:pPr>
      <w:proofErr w:type="spellStart"/>
      <w:r w:rsidRPr="00970DD6">
        <w:rPr>
          <w:rFonts w:ascii="Calibri" w:hAnsi="Calibri"/>
          <w:sz w:val="22"/>
          <w:szCs w:val="20"/>
        </w:rPr>
        <w:t>kilpnäärme</w:t>
      </w:r>
      <w:proofErr w:type="spellEnd"/>
      <w:r w:rsidRPr="00970DD6">
        <w:rPr>
          <w:rFonts w:ascii="Calibri" w:hAnsi="Calibri"/>
          <w:sz w:val="22"/>
          <w:szCs w:val="20"/>
        </w:rPr>
        <w:t xml:space="preserve"> </w:t>
      </w:r>
      <w:proofErr w:type="spellStart"/>
      <w:r w:rsidRPr="00970DD6">
        <w:rPr>
          <w:rFonts w:ascii="Calibri" w:hAnsi="Calibri"/>
          <w:sz w:val="22"/>
          <w:szCs w:val="20"/>
        </w:rPr>
        <w:t>analüüsid</w:t>
      </w:r>
      <w:proofErr w:type="spellEnd"/>
      <w:r w:rsidRPr="00970DD6">
        <w:rPr>
          <w:rFonts w:ascii="Calibri" w:hAnsi="Calibri"/>
          <w:sz w:val="22"/>
          <w:szCs w:val="20"/>
        </w:rPr>
        <w:t xml:space="preserve">, </w:t>
      </w:r>
    </w:p>
    <w:p xmlns:wp14="http://schemas.microsoft.com/office/word/2010/wordml" w:rsidRPr="00970DD6" w:rsidR="00970DD6" w:rsidP="00970DD6" w:rsidRDefault="00970DD6" w14:paraId="7A450B93" wp14:textId="77777777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0"/>
        </w:rPr>
      </w:pPr>
      <w:proofErr w:type="spellStart"/>
      <w:r w:rsidRPr="00970DD6">
        <w:rPr>
          <w:rFonts w:ascii="Calibri" w:hAnsi="Calibri"/>
          <w:sz w:val="22"/>
          <w:szCs w:val="20"/>
        </w:rPr>
        <w:t>borrelioos</w:t>
      </w:r>
      <w:proofErr w:type="spellEnd"/>
      <w:r w:rsidRPr="00970DD6">
        <w:rPr>
          <w:rFonts w:ascii="Calibri" w:hAnsi="Calibri"/>
          <w:sz w:val="22"/>
          <w:szCs w:val="20"/>
        </w:rPr>
        <w:t xml:space="preserve">, </w:t>
      </w:r>
    </w:p>
    <w:p xmlns:wp14="http://schemas.microsoft.com/office/word/2010/wordml" w:rsidRPr="00970DD6" w:rsidR="00970DD6" w:rsidP="00970DD6" w:rsidRDefault="00970DD6" w14:paraId="3926973E" wp14:textId="77777777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0"/>
        </w:rPr>
      </w:pPr>
      <w:r w:rsidRPr="00970DD6">
        <w:rPr>
          <w:rFonts w:ascii="Calibri" w:hAnsi="Calibri"/>
          <w:sz w:val="22"/>
          <w:szCs w:val="20"/>
        </w:rPr>
        <w:t xml:space="preserve">HIV, </w:t>
      </w:r>
    </w:p>
    <w:p xmlns:wp14="http://schemas.microsoft.com/office/word/2010/wordml" w:rsidRPr="00970DD6" w:rsidR="00970DD6" w:rsidP="00970DD6" w:rsidRDefault="00970DD6" w14:paraId="7A1BB08F" wp14:textId="77777777">
      <w:pPr>
        <w:numPr>
          <w:ilvl w:val="0"/>
          <w:numId w:val="5"/>
        </w:numPr>
        <w:rPr>
          <w:rFonts w:eastAsia="Palatino Linotype" w:cs="Palatino Linotype"/>
          <w:color w:val="0070C0"/>
          <w:sz w:val="28"/>
          <w:szCs w:val="22"/>
        </w:rPr>
      </w:pPr>
      <w:r w:rsidRPr="00970DD6">
        <w:rPr>
          <w:rFonts w:ascii="Calibri" w:hAnsi="Calibri"/>
          <w:sz w:val="22"/>
          <w:szCs w:val="20"/>
        </w:rPr>
        <w:t>süüfilis</w:t>
      </w:r>
    </w:p>
    <w:p xmlns:wp14="http://schemas.microsoft.com/office/word/2010/wordml" w:rsidRPr="00970DD6" w:rsidR="00970DD6" w:rsidP="00970DD6" w:rsidRDefault="00970DD6" w14:paraId="191BFAB4" wp14:textId="77777777">
      <w:pPr>
        <w:pStyle w:val="ListParagraph"/>
        <w:ind w:left="1080"/>
        <w:rPr>
          <w:rFonts w:ascii="Calibri" w:hAnsi="Calibri"/>
          <w:sz w:val="22"/>
          <w:szCs w:val="20"/>
        </w:rPr>
      </w:pPr>
    </w:p>
    <w:p xmlns:wp14="http://schemas.microsoft.com/office/word/2010/wordml" w:rsidR="00970DD6" w:rsidP="009D06C6" w:rsidRDefault="00970DD6" w14:paraId="43A88341" wp14:textId="77777777">
      <w:pPr>
        <w:jc w:val="both"/>
        <w:rPr>
          <w:rFonts w:eastAsia="Palatino Linotype" w:cs="Palatino Linotype"/>
          <w:szCs w:val="22"/>
        </w:rPr>
      </w:pPr>
      <w:r w:rsidRPr="00970DD6">
        <w:rPr>
          <w:rFonts w:ascii="Calibri" w:hAnsi="Calibri"/>
          <w:sz w:val="22"/>
          <w:szCs w:val="20"/>
          <w:u w:val="single"/>
        </w:rPr>
        <w:t>Kriitilised tulemusnäitajad:</w:t>
      </w:r>
      <w:r w:rsidRPr="00970DD6">
        <w:rPr>
          <w:rFonts w:ascii="Calibri" w:hAnsi="Calibri"/>
          <w:sz w:val="22"/>
          <w:szCs w:val="20"/>
        </w:rPr>
        <w:t xml:space="preserve"> ravitavate dementsuste diagnoosimine, teiste dementsussündroomi põhjustavate </w:t>
      </w:r>
      <w:r w:rsidRPr="00970DD6">
        <w:rPr>
          <w:rFonts w:ascii="Calibri" w:hAnsi="Calibri"/>
          <w:sz w:val="22"/>
          <w:szCs w:val="22"/>
        </w:rPr>
        <w:t>haiguste välistamine</w:t>
      </w:r>
      <w:r w:rsidRPr="00970DD6" w:rsidR="009D06C6">
        <w:rPr>
          <w:rFonts w:eastAsia="Palatino Linotype" w:cs="Palatino Linotype"/>
          <w:color w:val="000000"/>
          <w:sz w:val="22"/>
          <w:szCs w:val="22"/>
        </w:rPr>
        <w:t>.</w:t>
      </w:r>
      <w:r w:rsidRPr="7E59A50E" w:rsidR="009D06C6">
        <w:rPr>
          <w:rFonts w:eastAsia="Palatino Linotype" w:cs="Palatino Linotype"/>
          <w:szCs w:val="22"/>
        </w:rPr>
        <w:t xml:space="preserve"> </w:t>
      </w:r>
    </w:p>
    <w:p xmlns:wp14="http://schemas.microsoft.com/office/word/2010/wordml" w:rsidR="00701EDE" w:rsidP="00701EDE" w:rsidRDefault="00701EDE" w14:paraId="60BBCBAB" wp14:textId="77777777">
      <w:pPr>
        <w:rPr>
          <w:rFonts w:eastAsia="Palatino Linotype" w:cs="Palatino Linotype"/>
          <w:color w:val="000000"/>
          <w:szCs w:val="22"/>
        </w:rPr>
      </w:pPr>
    </w:p>
    <w:p xmlns:wp14="http://schemas.microsoft.com/office/word/2010/wordml" w:rsidR="00701EDE" w:rsidP="00701EDE" w:rsidRDefault="00701EDE" w14:paraId="3115C2F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2"/>
        </w:rPr>
      </w:pPr>
      <w:r>
        <w:rPr>
          <w:b/>
          <w:bCs/>
        </w:rPr>
        <w:t>Huvide konflikt:</w:t>
      </w:r>
      <w:r>
        <w:t xml:space="preserve"> töörühm on kinnitanud, et töörühmaliikmed on deklareerinud peamised huvid või huvide puudumise antud küsimuses</w:t>
      </w:r>
    </w:p>
    <w:p xmlns:wp14="http://schemas.microsoft.com/office/word/2010/wordml" w:rsidRPr="00A97024" w:rsidR="00701EDE" w:rsidP="00701EDE" w:rsidRDefault="00701EDE" w14:paraId="454FD61F" wp14:textId="7777777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4819"/>
        <w:gridCol w:w="1100"/>
      </w:tblGrid>
      <w:tr xmlns:wp14="http://schemas.microsoft.com/office/word/2010/wordml" w:rsidRPr="00A97024" w:rsidR="00432CD4" w:rsidTr="230D6C80" w14:paraId="133659CF" wp14:textId="77777777">
        <w:tc>
          <w:tcPr>
            <w:tcW w:w="9288" w:type="dxa"/>
            <w:gridSpan w:val="4"/>
            <w:shd w:val="clear" w:color="auto" w:fill="auto"/>
            <w:tcMar/>
          </w:tcPr>
          <w:p w:rsidRPr="00A97024" w:rsidR="00891C08" w:rsidRDefault="00891C08" w14:paraId="404D1EC0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="00D2682B" w:rsidP="00D2682B" w:rsidRDefault="0031077D" w14:paraId="3BCF7914" wp14:textId="77777777">
            <w:pPr>
              <w:rPr>
                <w:rFonts w:ascii="Verdana" w:hAnsi="Verdana"/>
                <w:b/>
                <w:color w:val="000080"/>
                <w:sz w:val="20"/>
                <w:szCs w:val="18"/>
              </w:rPr>
            </w:pPr>
            <w:r w:rsidRPr="00970DD6">
              <w:rPr>
                <w:rFonts w:ascii="Verdana" w:hAnsi="Verdana"/>
                <w:b/>
                <w:color w:val="000080"/>
                <w:sz w:val="20"/>
                <w:szCs w:val="18"/>
              </w:rPr>
              <w:t>Töörühma soovitus</w:t>
            </w:r>
            <w:r w:rsidR="00D2682B">
              <w:rPr>
                <w:rFonts w:ascii="Verdana" w:hAnsi="Verdana"/>
                <w:b/>
                <w:color w:val="000080"/>
                <w:sz w:val="20"/>
                <w:szCs w:val="18"/>
              </w:rPr>
              <w:t xml:space="preserve"> (11.05.)</w:t>
            </w:r>
            <w:r w:rsidRPr="00970DD6">
              <w:rPr>
                <w:rFonts w:ascii="Verdana" w:hAnsi="Verdana"/>
                <w:b/>
                <w:color w:val="000080"/>
                <w:sz w:val="20"/>
                <w:szCs w:val="18"/>
              </w:rPr>
              <w:t xml:space="preserve">: </w:t>
            </w:r>
          </w:p>
          <w:p w:rsidR="00D2682B" w:rsidP="00D2682B" w:rsidRDefault="00D2682B" w14:paraId="2ECC355B" wp14:textId="77777777">
            <w:pPr>
              <w:rPr>
                <w:rFonts w:ascii="Verdana" w:hAnsi="Verdana"/>
                <w:b/>
                <w:color w:val="000080"/>
                <w:sz w:val="20"/>
                <w:szCs w:val="18"/>
              </w:rPr>
            </w:pPr>
          </w:p>
          <w:p w:rsidRPr="00C779B9" w:rsidR="00C779B9" w:rsidP="230D6C80" w:rsidRDefault="000673CB" w14:paraId="12A5DF7F" w14:noSpellErr="1" wp14:textId="46C918C4">
            <w:p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3-1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Kõikide dementsuss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ündroomi kahtlusega isikutele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on soovitatav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 diferentsiaaldiagnostikaks ning kognitiivset funktsiooni potentsiaalselt halvendavate kaasuvate haigusseisundite tuvastamiseks teha järgnevad laboratoorsed analüüsid: </w:t>
            </w:r>
          </w:p>
          <w:p w:rsidRPr="00C779B9" w:rsidR="00C779B9" w:rsidP="00C779B9" w:rsidRDefault="00C779B9" w14:paraId="27066DCB" wp14:textId="77777777">
            <w:pPr>
              <w:numPr>
                <w:ilvl w:val="0"/>
                <w:numId w:val="5"/>
              </w:num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80"/>
                <w:sz w:val="20"/>
                <w:szCs w:val="18"/>
              </w:rPr>
              <w:t>Hemogramm</w:t>
            </w:r>
            <w:proofErr w:type="spellEnd"/>
            <w:r>
              <w:rPr>
                <w:rFonts w:ascii="Verdana" w:hAnsi="Verdana"/>
                <w:color w:val="000080"/>
                <w:sz w:val="20"/>
                <w:szCs w:val="18"/>
              </w:rPr>
              <w:t>,</w:t>
            </w:r>
          </w:p>
          <w:p w:rsidRPr="00C779B9" w:rsidR="00C779B9" w:rsidP="00C779B9" w:rsidRDefault="000673CB" w14:paraId="279A0CAA" wp14:textId="77777777">
            <w:pPr>
              <w:numPr>
                <w:ilvl w:val="0"/>
                <w:numId w:val="5"/>
              </w:num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r>
              <w:rPr>
                <w:rFonts w:ascii="Verdana" w:hAnsi="Verdana"/>
                <w:color w:val="000080"/>
                <w:sz w:val="20"/>
                <w:szCs w:val="18"/>
              </w:rPr>
              <w:t xml:space="preserve">TSH, </w:t>
            </w:r>
          </w:p>
          <w:p w:rsidRPr="00C779B9" w:rsidR="00C779B9" w:rsidP="00C779B9" w:rsidRDefault="000673CB" w14:paraId="5F1FCF77" wp14:textId="77777777">
            <w:pPr>
              <w:numPr>
                <w:ilvl w:val="0"/>
                <w:numId w:val="5"/>
              </w:num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r>
              <w:rPr>
                <w:rFonts w:ascii="Verdana" w:hAnsi="Verdana"/>
                <w:color w:val="000080"/>
                <w:sz w:val="20"/>
                <w:szCs w:val="18"/>
              </w:rPr>
              <w:t xml:space="preserve">vitamiin B12, </w:t>
            </w:r>
          </w:p>
          <w:p w:rsidRPr="00C779B9" w:rsidR="00C779B9" w:rsidP="00C779B9" w:rsidRDefault="000673CB" w14:paraId="7AD4DB66" wp14:textId="77777777">
            <w:pPr>
              <w:numPr>
                <w:ilvl w:val="0"/>
                <w:numId w:val="5"/>
              </w:num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80"/>
                <w:sz w:val="20"/>
                <w:szCs w:val="18"/>
              </w:rPr>
              <w:t>foolhape</w:t>
            </w:r>
            <w:proofErr w:type="spellEnd"/>
            <w:r>
              <w:rPr>
                <w:rFonts w:ascii="Verdana" w:hAnsi="Verdana"/>
                <w:color w:val="000080"/>
                <w:sz w:val="20"/>
                <w:szCs w:val="18"/>
              </w:rPr>
              <w:t xml:space="preserve">, </w:t>
            </w:r>
            <w:r w:rsidRPr="00C779B9">
              <w:rPr>
                <w:rFonts w:ascii="Verdana" w:hAnsi="Verdana"/>
                <w:color w:val="000080"/>
                <w:sz w:val="20"/>
                <w:szCs w:val="18"/>
              </w:rPr>
              <w:t xml:space="preserve"> </w:t>
            </w:r>
          </w:p>
          <w:p w:rsidRPr="00C779B9" w:rsidR="00C779B9" w:rsidP="00C779B9" w:rsidRDefault="001707E3" w14:paraId="4429F471" wp14:textId="77777777">
            <w:pPr>
              <w:numPr>
                <w:ilvl w:val="0"/>
                <w:numId w:val="5"/>
              </w:num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r>
              <w:rPr>
                <w:rFonts w:ascii="Verdana" w:hAnsi="Verdana"/>
                <w:color w:val="000080"/>
                <w:sz w:val="20"/>
                <w:szCs w:val="18"/>
              </w:rPr>
              <w:t xml:space="preserve">maksa- ning neerufunktsiooni näitajad, </w:t>
            </w:r>
          </w:p>
          <w:p w:rsidRPr="00C779B9" w:rsidR="00C779B9" w:rsidP="00C779B9" w:rsidRDefault="00C779B9" w14:paraId="6F885E8B" wp14:textId="77777777">
            <w:pPr>
              <w:numPr>
                <w:ilvl w:val="0"/>
                <w:numId w:val="5"/>
              </w:num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r>
              <w:rPr>
                <w:rFonts w:ascii="Verdana" w:hAnsi="Verdana"/>
                <w:color w:val="000080"/>
                <w:sz w:val="20"/>
                <w:szCs w:val="18"/>
              </w:rPr>
              <w:t>K, Na, Ca</w:t>
            </w:r>
            <w:r w:rsidR="001707E3">
              <w:rPr>
                <w:rFonts w:ascii="Verdana" w:hAnsi="Verdana"/>
                <w:color w:val="000080"/>
                <w:sz w:val="20"/>
                <w:szCs w:val="18"/>
              </w:rPr>
              <w:t xml:space="preserve">, </w:t>
            </w:r>
          </w:p>
          <w:p w:rsidRPr="00C779B9" w:rsidR="00C779B9" w:rsidP="00C779B9" w:rsidRDefault="00C779B9" w14:paraId="1EE0033A" wp14:textId="77777777">
            <w:pPr>
              <w:ind w:left="1080"/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r>
              <w:rPr>
                <w:rFonts w:ascii="Verdana" w:hAnsi="Verdana"/>
                <w:color w:val="000080"/>
                <w:sz w:val="20"/>
                <w:szCs w:val="18"/>
              </w:rPr>
              <w:t xml:space="preserve">                          - hea tava suunis</w:t>
            </w:r>
          </w:p>
          <w:p w:rsidRPr="009D06C6" w:rsidR="009C3A27" w:rsidP="230D6C80" w:rsidRDefault="001707E3" w14:paraId="3B9E3E7F" wp14:textId="64CC0B36">
            <w:pPr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  <w:bookmarkStart w:name="_GoBack" w:id="0"/>
            <w:bookmarkEnd w:id="0"/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3-2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Riskigrupis olevatel inimestel, kelle puhul tekib kliinilise läbivaatuse tulemusena kahtlus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infektsioonist põhjustatud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 kognitiivsele häirele, on soovitav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teha</w:t>
            </w:r>
            <w:r w:rsidRPr="230D6C80" w:rsidR="230D6C80">
              <w:rPr>
                <w:rFonts w:ascii="Verdana" w:hAnsi="Verdana" w:eastAsia="Verdana" w:cs="Verdana"/>
                <w:i w:val="1"/>
                <w:iCs w:val="1"/>
                <w:color w:val="000080"/>
                <w:sz w:val="20"/>
                <w:szCs w:val="20"/>
              </w:rPr>
              <w:t xml:space="preserve">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süüfilise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, </w:t>
            </w:r>
            <w:proofErr w:type="spellStart"/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borreli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oosi</w:t>
            </w:r>
            <w:proofErr w:type="spellEnd"/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, HIV-i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seroloogilised sõeltestid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 või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ravimimürgistuse kahtlusel vastavad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>spetsiifilised testid.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 </w:t>
            </w:r>
            <w:r w:rsidRPr="230D6C80" w:rsidR="230D6C80">
              <w:rPr>
                <w:rFonts w:ascii="Verdana" w:hAnsi="Verdana" w:eastAsia="Verdana" w:cs="Verdana"/>
                <w:color w:val="000080"/>
                <w:sz w:val="20"/>
                <w:szCs w:val="20"/>
              </w:rPr>
              <w:t xml:space="preserve"> - hea tava suunis</w:t>
            </w:r>
            <w:r>
              <w:br/>
            </w:r>
          </w:p>
          <w:p w:rsidRPr="00A97024" w:rsidR="00891C08" w:rsidP="00891C08" w:rsidRDefault="00891C08" w14:paraId="16967DD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230D6C80" w14:paraId="18F5BFEC" wp14:textId="77777777">
        <w:tc>
          <w:tcPr>
            <w:tcW w:w="2376" w:type="dxa"/>
            <w:shd w:val="clear" w:color="auto" w:fill="auto"/>
            <w:tcMar/>
          </w:tcPr>
          <w:p w:rsidRPr="00A97024" w:rsidR="00432CD4" w:rsidRDefault="00432CD4" w14:paraId="4EC160EE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6912" w:type="dxa"/>
            <w:gridSpan w:val="3"/>
            <w:shd w:val="clear" w:color="auto" w:fill="auto"/>
            <w:tcMar/>
          </w:tcPr>
          <w:p w:rsidRPr="00A97024" w:rsidR="0002590A" w:rsidP="0031077D" w:rsidRDefault="00701EDE" w14:paraId="1D629FA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eastAsia="Palatino Linotype" w:cs="Palatino Linotype"/>
              </w:rPr>
              <w:t>Alzheimeri tõve diagnoosiga patsiendid</w:t>
            </w:r>
          </w:p>
          <w:p w:rsidRPr="00A97024" w:rsidR="0031077D" w:rsidP="0031077D" w:rsidRDefault="0031077D" w14:paraId="0CAA640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230D6C80" w14:paraId="1A131BB2" wp14:textId="77777777">
        <w:tc>
          <w:tcPr>
            <w:tcW w:w="2376" w:type="dxa"/>
            <w:shd w:val="clear" w:color="auto" w:fill="auto"/>
            <w:tcMar/>
          </w:tcPr>
          <w:p w:rsidRPr="00A97024" w:rsidR="00432CD4" w:rsidRDefault="0031077D" w14:paraId="0E071975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6912" w:type="dxa"/>
            <w:gridSpan w:val="3"/>
            <w:shd w:val="clear" w:color="auto" w:fill="auto"/>
            <w:tcMar/>
          </w:tcPr>
          <w:p w:rsidRPr="00A97024" w:rsidR="0031077D" w:rsidP="0031077D" w:rsidRDefault="00970DD6" w14:paraId="42E49F5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0"/>
              </w:rPr>
              <w:t>d</w:t>
            </w:r>
            <w:r w:rsidRPr="00970DD6">
              <w:rPr>
                <w:rFonts w:ascii="Calibri" w:hAnsi="Calibri"/>
                <w:sz w:val="22"/>
                <w:szCs w:val="20"/>
              </w:rPr>
              <w:t xml:space="preserve">iferentsiaaldiagnostilised laboratoorsed analüüsid </w:t>
            </w:r>
            <w:r w:rsidR="00701EDE">
              <w:rPr>
                <w:rFonts w:eastAsia="Palatino Linotype" w:cs="Palatino Linotype"/>
              </w:rPr>
              <w:t>(ülal toodud)</w:t>
            </w:r>
          </w:p>
        </w:tc>
      </w:tr>
      <w:tr xmlns:wp14="http://schemas.microsoft.com/office/word/2010/wordml" w:rsidRPr="00A97024" w:rsidR="007D6E2D" w:rsidTr="230D6C80" w14:paraId="1B7CFD7E" wp14:textId="77777777">
        <w:tc>
          <w:tcPr>
            <w:tcW w:w="2376" w:type="dxa"/>
            <w:shd w:val="clear" w:color="auto" w:fill="auto"/>
            <w:tcMar/>
          </w:tcPr>
          <w:p w:rsidRPr="00A97024" w:rsidR="00432CD4" w:rsidRDefault="0031077D" w14:paraId="3AD58F66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01DC598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/>
          </w:tcPr>
          <w:p w:rsidRPr="00A97024" w:rsidR="00432CD4" w:rsidRDefault="0031077D" w14:paraId="0CB3510D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4819" w:type="dxa"/>
            <w:shd w:val="clear" w:color="auto" w:fill="auto"/>
            <w:tcMar/>
          </w:tcPr>
          <w:p w:rsidRPr="00A97024" w:rsidR="00432CD4" w:rsidRDefault="0031077D" w14:paraId="5B28EEB3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1100" w:type="dxa"/>
            <w:shd w:val="clear" w:color="auto" w:fill="auto"/>
            <w:tcMar/>
          </w:tcPr>
          <w:p w:rsidRPr="00A97024" w:rsidR="00432CD4" w:rsidRDefault="00432CD4" w14:paraId="27439230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230D6C80" w14:paraId="0E5CF370" wp14:textId="77777777">
        <w:tc>
          <w:tcPr>
            <w:tcW w:w="2376" w:type="dxa"/>
            <w:shd w:val="clear" w:color="auto" w:fill="auto"/>
            <w:tcMar/>
          </w:tcPr>
          <w:p w:rsidRPr="00A97024" w:rsidR="0031077D" w:rsidP="00A97024" w:rsidRDefault="0031077D" w14:paraId="204ADE5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2A94670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764BE27A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7452C7C9" wp14:textId="77777777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3CC4365F" wp14:textId="77777777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5B36FFD8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/>
          </w:tcPr>
          <w:p w:rsidRPr="00A97024" w:rsidR="00432CD4" w:rsidRDefault="00432CD4" w14:paraId="6688A8D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1EF85B6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5375BCC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212C154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D95AEA" w14:paraId="21ABE56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Pr="00A97024" w:rsidR="00432CD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4819" w:type="dxa"/>
            <w:shd w:val="clear" w:color="auto" w:fill="auto"/>
            <w:tcMar/>
          </w:tcPr>
          <w:p w:rsidRPr="00A97024" w:rsidR="00432CD4" w:rsidP="00701EDE" w:rsidRDefault="003F6C06" w14:paraId="00FE7E4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Väga</w:t>
            </w:r>
            <w:r w:rsidR="00B81756">
              <w:rPr>
                <w:rFonts w:ascii="Verdana" w:hAnsi="Verdana"/>
                <w:color w:val="000080"/>
                <w:sz w:val="18"/>
                <w:szCs w:val="18"/>
              </w:rPr>
              <w:t xml:space="preserve"> h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ea kvaliteediga tõendusmaterjali on vähe.</w:t>
            </w:r>
            <w:r w:rsidR="00B81756">
              <w:rPr>
                <w:rFonts w:ascii="Verdana" w:hAnsi="Verdana"/>
                <w:color w:val="000080"/>
                <w:sz w:val="18"/>
                <w:szCs w:val="18"/>
              </w:rPr>
              <w:t xml:space="preserve"> Viimase 10 aasta jooksul on laborianalüüside teemal süstemaatilisi ülevaateid ja meta-analüüse tehtud väga vähe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. Olemasolevates ravijuhendites on soovitused konsensuse ning hea kliinilise tava tasemel. </w:t>
            </w:r>
            <w:r w:rsidR="00B81756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B81756">
              <w:rPr>
                <w:rFonts w:ascii="Verdana" w:hAnsi="Verdana"/>
                <w:color w:val="000080"/>
                <w:sz w:val="18"/>
                <w:szCs w:val="18"/>
              </w:rPr>
              <w:t xml:space="preserve">Mõnel teemal, nt kõrvalkilpnäärme haigusseisundite, on kliinilised uuringud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madala või keskmise kvaliteediga, valimid on väikesed (enamasti paarkümmend patsienti), uuringud meta-analüüsiks liiga heterogeense disainiga, uuringutulemused on ebapiisavalt esitatud.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Subkliinilise hüpotüreoosi teemal on aga uuringud pigem (väga) hea või keskmise kvaliteediga.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br/>
            </w:r>
          </w:p>
        </w:tc>
        <w:tc>
          <w:tcPr>
            <w:tcW w:w="1100" w:type="dxa"/>
            <w:shd w:val="clear" w:color="auto" w:fill="auto"/>
            <w:tcMar/>
          </w:tcPr>
          <w:p w:rsidRPr="00A97024" w:rsidR="004F6C78" w:rsidP="00A97024" w:rsidRDefault="004F6C78" w14:paraId="10A5E7C1" wp14:textId="77777777">
            <w:pPr>
              <w:shd w:val="clear" w:color="auto" w:fill="FFFFFF"/>
              <w:spacing w:after="120"/>
              <w:ind w:left="36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CE4799" w:rsidRDefault="00CE4799" w14:paraId="23C85E49" wp14:textId="77777777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4819"/>
        <w:gridCol w:w="1100"/>
      </w:tblGrid>
      <w:tr xmlns:wp14="http://schemas.microsoft.com/office/word/2010/wordml" w:rsidRPr="00A97024" w:rsidR="007D6E2D" w:rsidTr="00701EDE" w14:paraId="3323E139" wp14:textId="77777777">
        <w:tc>
          <w:tcPr>
            <w:tcW w:w="2376" w:type="dxa"/>
            <w:shd w:val="clear" w:color="auto" w:fill="auto"/>
          </w:tcPr>
          <w:p w:rsidRPr="00A97024" w:rsidR="0031077D" w:rsidP="00A97024" w:rsidRDefault="0031077D" w14:paraId="3027927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13A1130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50368EA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20F00E3A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63AE8DC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2030D75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2B5A4FA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7BB95B0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36FE1F4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46A8AFF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230EA98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026B36C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993" w:type="dxa"/>
            <w:shd w:val="clear" w:color="auto" w:fill="auto"/>
          </w:tcPr>
          <w:p w:rsidRPr="00A97024" w:rsidR="00432CD4" w:rsidP="00432CD4" w:rsidRDefault="00432CD4" w14:paraId="77B95C5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5778F5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583883" w14:paraId="39F31F8C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Pr="00A97024" w:rsidR="00432CD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2218E44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377CF0C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4819" w:type="dxa"/>
            <w:shd w:val="clear" w:color="auto" w:fill="auto"/>
          </w:tcPr>
          <w:p w:rsidRPr="00A97024" w:rsidR="00432CD4" w:rsidP="0036061E" w:rsidRDefault="00583883" w14:paraId="7FC2DB9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Kuigi potentsiaalselt (täielikult või osaliselt) ravitavate dementsuste osakaal on väga väike, esineb vanematel inimestel sageli kaasuvaid probleeme, mis võivad kognitiivset funktsiooni halvendada. Ekspertarvamuse tasemel soovitatakse ravijuhendites</w:t>
            </w:r>
            <w:r w:rsidR="0036061E">
              <w:rPr>
                <w:rFonts w:ascii="Verdana" w:hAnsi="Verdana"/>
                <w:color w:val="000080"/>
                <w:sz w:val="18"/>
                <w:szCs w:val="18"/>
              </w:rPr>
              <w:t xml:space="preserve"> sel põhjusel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 määrata eeskätt TSH ja B12</w:t>
            </w:r>
            <w:r w:rsidR="0036061E">
              <w:rPr>
                <w:rFonts w:ascii="Verdana" w:hAnsi="Verdana"/>
                <w:color w:val="000080"/>
                <w:sz w:val="18"/>
                <w:szCs w:val="18"/>
              </w:rPr>
              <w:t>.</w:t>
            </w:r>
            <w:r w:rsidR="001B2F9E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1B2F9E">
              <w:rPr>
                <w:rFonts w:ascii="Verdana" w:hAnsi="Verdana"/>
                <w:color w:val="000080"/>
                <w:sz w:val="18"/>
                <w:szCs w:val="18"/>
              </w:rPr>
              <w:t xml:space="preserve">1/4ndikul Alzheimeri tõvega patsientidest on kaasuvalt muu krooniline haigus (südamepuudulikkus, krooniline obstruktiivne kopsuhaigus, diabeet, osteoartroos jne). </w:t>
            </w:r>
            <w:r w:rsidR="00F24CFF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F24CFF">
              <w:rPr>
                <w:rFonts w:ascii="Verdana" w:hAnsi="Verdana"/>
                <w:color w:val="000080"/>
                <w:sz w:val="18"/>
                <w:szCs w:val="18"/>
              </w:rPr>
              <w:t xml:space="preserve">Clarfield toob välja, et eakatel inimestel ei peaks otsima kõikvõimalikke dementsuse põhjuseid, kuna valepositiivsete tulemuste tõenäosus on suur ning patsienti koormatakse liigselt uuringutega. </w:t>
            </w:r>
            <w:r w:rsidR="00F24CFF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F24CFF">
              <w:rPr>
                <w:rFonts w:ascii="Verdana" w:hAnsi="Verdana"/>
                <w:color w:val="000080"/>
                <w:sz w:val="18"/>
                <w:szCs w:val="18"/>
              </w:rPr>
              <w:t>Kognitiivse funktsiooni järsul halvenemisel soovitatakse otsida kaasuvaid haiguseid või nende dekompensatsiooni.</w:t>
            </w:r>
            <w:r w:rsidR="00F24CFF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F24CFF">
              <w:rPr>
                <w:rFonts w:ascii="Verdana" w:hAnsi="Verdana"/>
                <w:color w:val="000080"/>
                <w:sz w:val="18"/>
                <w:szCs w:val="18"/>
              </w:rPr>
              <w:t>Ravijuhendid ei soovita rutiinselt määrata kõikidel dementsusega inimestel süüfilise, HIV, borrelioos, toksikoloogia ega raskmetallide analüüse</w:t>
            </w:r>
            <w:r w:rsidR="000673CB">
              <w:rPr>
                <w:rFonts w:ascii="Verdana" w:hAnsi="Verdana"/>
                <w:color w:val="000080"/>
                <w:sz w:val="18"/>
                <w:szCs w:val="18"/>
              </w:rPr>
              <w:t xml:space="preserve">; neid peaks määrama kliinilise kahtluse korral ja/või riskigruppi kuuluvatel inimestel. </w:t>
            </w:r>
          </w:p>
        </w:tc>
        <w:tc>
          <w:tcPr>
            <w:tcW w:w="1100" w:type="dxa"/>
            <w:shd w:val="clear" w:color="auto" w:fill="auto"/>
          </w:tcPr>
          <w:p w:rsidRPr="00A97024" w:rsidR="00CE4799" w:rsidRDefault="00CE4799" w14:paraId="193D193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02590A" w:rsidRDefault="0002590A" w14:paraId="3ED4F121" wp14:textId="77777777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3969"/>
        <w:gridCol w:w="1950"/>
      </w:tblGrid>
      <w:tr xmlns:wp14="http://schemas.microsoft.com/office/word/2010/wordml" w:rsidRPr="00A97024" w:rsidR="007D6E2D" w:rsidTr="008A3BE3" w14:paraId="50407465" wp14:textId="77777777">
        <w:tc>
          <w:tcPr>
            <w:tcW w:w="2376" w:type="dxa"/>
            <w:shd w:val="clear" w:color="auto" w:fill="auto"/>
          </w:tcPr>
          <w:p w:rsidRPr="00A97024" w:rsidR="0031077D" w:rsidP="00A97024" w:rsidRDefault="0031077D" w14:paraId="4DDE11F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7B3596C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621BCCDA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60673EA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300DD50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993" w:type="dxa"/>
            <w:shd w:val="clear" w:color="auto" w:fill="auto"/>
          </w:tcPr>
          <w:p w:rsidRPr="00A97024" w:rsidR="00432CD4" w:rsidP="00432CD4" w:rsidRDefault="00432CD4" w14:paraId="79FD647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7B4BA42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7C368A6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AFE7E9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B66783" w14:paraId="19149D6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Pr="00A97024" w:rsidR="00432CD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3969" w:type="dxa"/>
            <w:shd w:val="clear" w:color="auto" w:fill="auto"/>
          </w:tcPr>
          <w:p w:rsidRPr="00B66783" w:rsidR="00B66783" w:rsidP="006D7602" w:rsidRDefault="00B66783" w14:paraId="7D6131B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Clarfieldi metaanalüüsis mainitakse, et põhjalikud uuringud vanemaealistel (üle 60-aastastel) dementsetel inimestel võivad pigem koormata inimest ning et valepositiivsete tulemuste tõenäosus on suur.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Teistes uuringutes ega ravijuhendites ei ole patsiendi väärtuseid ega eelistusi mainitud, kuid on öeldud, et kaasuvad haigused on sagedased</w:t>
            </w:r>
            <w:r w:rsidR="003F01B4">
              <w:rPr>
                <w:rFonts w:ascii="Verdana" w:hAnsi="Verdana"/>
                <w:color w:val="000080"/>
                <w:sz w:val="18"/>
                <w:szCs w:val="18"/>
              </w:rPr>
              <w:t xml:space="preserve"> ja nende tuvastamine ning </w:t>
            </w:r>
            <w:r w:rsidR="0036061E">
              <w:rPr>
                <w:rFonts w:ascii="Verdana" w:hAnsi="Verdana"/>
                <w:color w:val="000080"/>
                <w:sz w:val="18"/>
                <w:szCs w:val="18"/>
              </w:rPr>
              <w:t xml:space="preserve">optimaalne </w:t>
            </w:r>
            <w:r w:rsidR="003F01B4">
              <w:rPr>
                <w:rFonts w:ascii="Verdana" w:hAnsi="Verdana"/>
                <w:color w:val="000080"/>
                <w:sz w:val="18"/>
                <w:szCs w:val="18"/>
              </w:rPr>
              <w:t xml:space="preserve">ravimine võivad </w:t>
            </w:r>
            <w:r w:rsidR="0036061E">
              <w:rPr>
                <w:rFonts w:ascii="Verdana" w:hAnsi="Verdana"/>
                <w:color w:val="000080"/>
                <w:sz w:val="18"/>
                <w:szCs w:val="18"/>
              </w:rPr>
              <w:t>potentsiaalselt parandada kognitiivset funktsiooni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br/>
            </w:r>
          </w:p>
          <w:p w:rsidRPr="00A97024" w:rsidR="00432CD4" w:rsidP="006D7602" w:rsidRDefault="00432CD4" w14:paraId="1F1C411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Pr="00A97024" w:rsidR="004F6C78" w:rsidRDefault="004F6C78" w14:paraId="68591C4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0AADFCE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6E3B468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3C7CC26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3A38E07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A97024" w:rsidP="004F6C78" w:rsidRDefault="00A97024" w14:paraId="4395046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08A3BE3" w14:paraId="6E2C1C1D" wp14:textId="77777777">
        <w:tc>
          <w:tcPr>
            <w:tcW w:w="2376" w:type="dxa"/>
            <w:shd w:val="clear" w:color="auto" w:fill="auto"/>
          </w:tcPr>
          <w:p w:rsidRPr="00A97024" w:rsidR="00A97024" w:rsidP="00A97024" w:rsidRDefault="00A97024" w14:paraId="74F08EB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2EDB0BF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3F4DC33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8A3BE3" w:rsidR="00A97024" w:rsidP="00A97024" w:rsidRDefault="00A97024" w14:paraId="2DAA17D0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Mida suurem on sekkumise </w:t>
            </w:r>
          </w:p>
          <w:p w:rsidRPr="008A3BE3" w:rsidR="00A97024" w:rsidP="00A97024" w:rsidRDefault="00A97024" w14:paraId="19B58CD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kulu võrreldes kaalutava alternatiiviga ja muud otsusega </w:t>
            </w:r>
          </w:p>
          <w:p w:rsidRPr="008A3BE3" w:rsidR="00A97024" w:rsidP="00A97024" w:rsidRDefault="00A97024" w14:paraId="58CBC91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seotud kulud, st mida rohkem </w:t>
            </w:r>
          </w:p>
          <w:p w:rsidRPr="008A3BE3" w:rsidR="00A97024" w:rsidP="00A97024" w:rsidRDefault="00A97024" w14:paraId="6ECF4C7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ressursse tarbitakse, seda </w:t>
            </w:r>
          </w:p>
          <w:p w:rsidRPr="008A3BE3" w:rsidR="00A97024" w:rsidP="00A97024" w:rsidRDefault="00A97024" w14:paraId="1980CC1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>tõenäolisem on tingimuslik/</w:t>
            </w:r>
          </w:p>
          <w:p w:rsidRPr="008A3BE3" w:rsidR="00A97024" w:rsidP="00A97024" w:rsidRDefault="00A97024" w14:paraId="19829D3C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>nõrk soovitus.</w:t>
            </w:r>
          </w:p>
          <w:p w:rsidRPr="00A97024" w:rsidR="00432CD4" w:rsidP="00A97024" w:rsidRDefault="00432CD4" w14:paraId="7F1330F7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Pr="00A97024" w:rsidR="00432CD4" w:rsidP="00432CD4" w:rsidRDefault="00432CD4" w14:paraId="6A2EF49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13BA2A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D56508" w14:paraId="7768CE8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Pr="00A97024" w:rsidR="00432CD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4F36D2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62E36CD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3969" w:type="dxa"/>
            <w:shd w:val="clear" w:color="auto" w:fill="auto"/>
          </w:tcPr>
          <w:p w:rsidRPr="007523E4" w:rsidR="00432CD4" w:rsidP="009E685E" w:rsidRDefault="00B66783" w14:paraId="62498082" wp14:textId="77777777">
            <w:pPr>
              <w:rPr>
                <w:rFonts w:ascii="Verdana" w:hAnsi="Verdana"/>
                <w:color w:val="000080"/>
                <w:sz w:val="18"/>
                <w:szCs w:val="18"/>
                <w:highlight w:val="yellow"/>
              </w:rPr>
            </w:pPr>
            <w:r w:rsidRPr="009E685E">
              <w:rPr>
                <w:rFonts w:ascii="Verdana" w:hAnsi="Verdana"/>
                <w:color w:val="000080"/>
                <w:sz w:val="18"/>
                <w:szCs w:val="18"/>
              </w:rPr>
              <w:t xml:space="preserve">Analüüside teostamisega seotud kulu ei ole </w:t>
            </w:r>
            <w:r w:rsidRPr="009E685E" w:rsidR="009E685E">
              <w:rPr>
                <w:rFonts w:ascii="Verdana" w:hAnsi="Verdana"/>
                <w:color w:val="000080"/>
                <w:sz w:val="18"/>
                <w:szCs w:val="18"/>
              </w:rPr>
              <w:t xml:space="preserve">ravijuhendites ega uuringutes välja toodud. </w:t>
            </w:r>
            <w:r w:rsidR="009E685E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9E685E">
              <w:rPr>
                <w:rFonts w:ascii="Verdana" w:hAnsi="Verdana"/>
                <w:color w:val="000080"/>
                <w:sz w:val="18"/>
                <w:szCs w:val="18"/>
              </w:rPr>
              <w:t xml:space="preserve">Arvestades kaasuvate haiguste sagedust ning nende mõju kognitiivsele funktsioonile (kognitiivse funktsiooni halvenemine, deliirium), toob valitud vereanalüüside tegemine rohkem kasu kui kahju. </w:t>
            </w:r>
            <w:r w:rsidR="009E685E">
              <w:rPr>
                <w:rFonts w:ascii="Verdana" w:hAnsi="Verdana"/>
                <w:color w:val="000080"/>
                <w:sz w:val="18"/>
                <w:szCs w:val="18"/>
              </w:rPr>
              <w:br/>
            </w:r>
            <w:r w:rsidR="0036061E">
              <w:rPr>
                <w:rFonts w:ascii="Verdana" w:hAnsi="Verdana"/>
                <w:color w:val="000080"/>
                <w:sz w:val="18"/>
                <w:szCs w:val="18"/>
                <w:highlight w:val="yellow"/>
              </w:rPr>
              <w:t>?</w:t>
            </w:r>
          </w:p>
        </w:tc>
        <w:tc>
          <w:tcPr>
            <w:tcW w:w="1950" w:type="dxa"/>
            <w:shd w:val="clear" w:color="auto" w:fill="auto"/>
          </w:tcPr>
          <w:p w:rsidRPr="00A97024" w:rsidR="00432CD4" w:rsidP="00CE4799" w:rsidRDefault="00432CD4" w14:paraId="186B7C3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B22EE4" w:rsidTr="00701EDE" w14:paraId="6E1AC1C7" wp14:textId="77777777">
        <w:tc>
          <w:tcPr>
            <w:tcW w:w="2376" w:type="dxa"/>
            <w:shd w:val="clear" w:color="auto" w:fill="auto"/>
          </w:tcPr>
          <w:p w:rsidRPr="00A97024" w:rsidR="00A97024" w:rsidP="00A97024" w:rsidRDefault="00A97024" w14:paraId="4088CF93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33A0B8C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8A3BE3" w:rsidR="00A97024" w:rsidP="00A97024" w:rsidRDefault="00A97024" w14:paraId="263372D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Mida suurem on sekkumise </w:t>
            </w:r>
          </w:p>
          <w:p w:rsidRPr="008A3BE3" w:rsidR="00A97024" w:rsidP="00A97024" w:rsidRDefault="00A97024" w14:paraId="300EAB7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kulu võrreldes kaalutava alternatiiviga ja muud otsusega </w:t>
            </w:r>
          </w:p>
          <w:p w:rsidRPr="008A3BE3" w:rsidR="00A97024" w:rsidP="00A97024" w:rsidRDefault="00A97024" w14:paraId="7F82D0A3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seotud kulud, st mida rohkem </w:t>
            </w:r>
          </w:p>
          <w:p w:rsidRPr="008A3BE3" w:rsidR="00A97024" w:rsidP="00A97024" w:rsidRDefault="00A97024" w14:paraId="4BFFA0A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 xml:space="preserve">ressursse tarbitakse, seda </w:t>
            </w:r>
          </w:p>
          <w:p w:rsidRPr="008A3BE3" w:rsidR="00A97024" w:rsidP="00A97024" w:rsidRDefault="00A97024" w14:paraId="2D94128A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25AD77D0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8A3BE3">
              <w:rPr>
                <w:rFonts w:ascii="Verdana" w:hAnsi="Verdana" w:cs="Calibri-Bold"/>
                <w:bCs/>
                <w:i/>
                <w:color w:val="000080"/>
                <w:sz w:val="14"/>
                <w:szCs w:val="18"/>
                <w:lang w:eastAsia="en-US"/>
              </w:rPr>
              <w:t>nõrk soovitus.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8A3BE3" w:rsidP="008A3BE3" w:rsidRDefault="008A3BE3" w14:paraId="634EF5AB" wp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="008A3BE3" w:rsidP="008A3BE3" w:rsidRDefault="008A3BE3" w14:paraId="0F60400C" wp14:textId="77777777">
            <w:pPr>
              <w:rPr>
                <w:rFonts w:ascii="Verdana" w:hAnsi="Verdana" w:cs="New-Baskerville-BoldA"/>
                <w:bCs/>
                <w:sz w:val="18"/>
                <w:szCs w:val="18"/>
              </w:rPr>
            </w:pPr>
            <w:bookmarkStart w:name="OLE_LINK6" w:id="1"/>
            <w:bookmarkStart w:name="OLE_LINK5" w:id="2"/>
            <w:r>
              <w:rPr>
                <w:rFonts w:ascii="Verdana" w:hAnsi="Verdana" w:cs="New-Baskerville-BoldA"/>
                <w:bCs/>
                <w:sz w:val="18"/>
                <w:szCs w:val="18"/>
              </w:rPr>
              <w:t>Tugev positiivne soovitus</w:t>
            </w:r>
          </w:p>
          <w:p w:rsidR="008A3BE3" w:rsidP="008A3BE3" w:rsidRDefault="008A3BE3" w14:paraId="7AC9926C" wp14:textId="77777777">
            <w:pPr>
              <w:rPr>
                <w:rFonts w:ascii="Verdana" w:hAnsi="Verdana" w:cs="New-Baskerville-BoldA"/>
                <w:bCs/>
                <w:sz w:val="18"/>
                <w:szCs w:val="18"/>
              </w:rPr>
            </w:pPr>
          </w:p>
          <w:p w:rsidR="008A3BE3" w:rsidP="008A3BE3" w:rsidRDefault="008A3BE3" w14:paraId="4BB7D905" wp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New-Baskerville-BoldA"/>
                <w:bCs/>
                <w:sz w:val="18"/>
                <w:szCs w:val="18"/>
              </w:rPr>
              <w:t>Nõrk positiivne soovitus</w:t>
            </w:r>
          </w:p>
          <w:bookmarkEnd w:id="1"/>
          <w:bookmarkEnd w:id="2"/>
          <w:p w:rsidR="008A3BE3" w:rsidP="008A3BE3" w:rsidRDefault="008A3BE3" w14:paraId="659C21E3" wp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="008A3BE3" w:rsidP="008A3BE3" w:rsidRDefault="008A3BE3" w14:paraId="7D441051" wp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Praktiline soovitus</w:t>
            </w:r>
          </w:p>
          <w:p w:rsidR="008A3BE3" w:rsidP="008A3BE3" w:rsidRDefault="008A3BE3" w14:paraId="3C2DD72D" wp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="008A3BE3" w:rsidP="008A3BE3" w:rsidRDefault="008A3BE3" w14:paraId="2B10FD1C" wp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Nõrk negatiivne soovitus</w:t>
            </w:r>
          </w:p>
          <w:p w:rsidR="008A3BE3" w:rsidP="008A3BE3" w:rsidRDefault="008A3BE3" w14:paraId="49E4626C" wp14:textId="7777777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Pr="00A97024" w:rsidR="004F6C78" w:rsidP="008A3BE3" w:rsidRDefault="008A3BE3" w14:paraId="2165686D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Tugev negatiivne soovitus</w:t>
            </w:r>
            <w:r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:rsidRPr="00A97024" w:rsidR="00D25CBB" w:rsidP="008A3BE3" w:rsidRDefault="00D25CBB" w14:paraId="0E904EBD" wp14:textId="77777777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052B2" w:rsidP="003D7DEF" w:rsidRDefault="007052B2" w14:paraId="079B758F" wp14:textId="77777777">
      <w:r>
        <w:separator/>
      </w:r>
    </w:p>
  </w:endnote>
  <w:endnote w:type="continuationSeparator" w:id="0">
    <w:p xmlns:wp14="http://schemas.microsoft.com/office/word/2010/wordml" w:rsidR="007052B2" w:rsidP="003D7DEF" w:rsidRDefault="007052B2" w14:paraId="413E888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4D8B7EF1" wp14:textId="77777777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F971B9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F971B9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052B2" w:rsidP="003D7DEF" w:rsidRDefault="007052B2" w14:paraId="607C9869" wp14:textId="77777777">
      <w:r>
        <w:separator/>
      </w:r>
    </w:p>
  </w:footnote>
  <w:footnote w:type="continuationSeparator" w:id="0">
    <w:p xmlns:wp14="http://schemas.microsoft.com/office/word/2010/wordml" w:rsidR="007052B2" w:rsidP="003D7DEF" w:rsidRDefault="007052B2" w14:paraId="61C906E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48663FFF" wp14:textId="77777777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97024" w:rsidRDefault="00A97024" w14:paraId="7D23596C" wp14:textId="77777777">
    <w:pPr>
      <w:pStyle w:val="Header"/>
    </w:pPr>
    <w:r>
      <w:t>Soovituste koostamiseks kokkuvõte</w:t>
    </w:r>
    <w:r w:rsidR="00523AAB">
      <w:t xml:space="preserve"> - </w:t>
    </w:r>
    <w:r w:rsidR="00523AAB">
      <w:t>soKo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CC3"/>
    <w:multiLevelType w:val="hybridMultilevel"/>
    <w:tmpl w:val="368261FE"/>
    <w:lvl w:ilvl="0" w:tplc="B3427612">
      <w:start w:val="4"/>
      <w:numFmt w:val="decimal"/>
      <w:lvlText w:val="%1"/>
      <w:lvlJc w:val="left"/>
      <w:pPr>
        <w:ind w:left="720" w:hanging="360"/>
      </w:pPr>
      <w:rPr>
        <w:rFonts w:hint="default" w:ascii="Verdana" w:hAnsi="Verdana" w:cs="Times New Roman"/>
        <w:color w:val="000080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B20"/>
    <w:multiLevelType w:val="hybridMultilevel"/>
    <w:tmpl w:val="6A0482F0"/>
    <w:lvl w:ilvl="0" w:tplc="6D0E2B6E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245532"/>
    <w:multiLevelType w:val="hybridMultilevel"/>
    <w:tmpl w:val="73482A7C"/>
    <w:lvl w:ilvl="0" w:tplc="6D0E2B6E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/>
        <w:b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62B83"/>
    <w:multiLevelType w:val="hybridMultilevel"/>
    <w:tmpl w:val="013A7978"/>
    <w:lvl w:ilvl="0" w:tplc="7A4E68B2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cs="Times New Roman"/>
        <w:color w:val="000080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8880464"/>
    <w:multiLevelType w:val="hybridMultilevel"/>
    <w:tmpl w:val="0CEE62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87D8F"/>
    <w:multiLevelType w:val="hybridMultilevel"/>
    <w:tmpl w:val="6A026482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2391"/>
    <w:rsid w:val="000630F4"/>
    <w:rsid w:val="00063909"/>
    <w:rsid w:val="00064798"/>
    <w:rsid w:val="00065E2D"/>
    <w:rsid w:val="0006704A"/>
    <w:rsid w:val="000673CB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3ED4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7E3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2F9E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58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73CC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061E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1B4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3F6C06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0E7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3883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1E5E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1EDE"/>
    <w:rsid w:val="00702111"/>
    <w:rsid w:val="007021A1"/>
    <w:rsid w:val="0070287E"/>
    <w:rsid w:val="00702B19"/>
    <w:rsid w:val="00702F55"/>
    <w:rsid w:val="007033B5"/>
    <w:rsid w:val="00703D6A"/>
    <w:rsid w:val="0070471C"/>
    <w:rsid w:val="007052B2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3167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BC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590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3BE3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DD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3A27"/>
    <w:rsid w:val="009C46DF"/>
    <w:rsid w:val="009C4792"/>
    <w:rsid w:val="009C53F8"/>
    <w:rsid w:val="009C5A7C"/>
    <w:rsid w:val="009C6166"/>
    <w:rsid w:val="009C69A6"/>
    <w:rsid w:val="009D06C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685E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783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756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9B9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0F1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82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508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8DD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5AEA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7A5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CFF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1B9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230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A2879A-651B-44B8-8F33-44BB5745957C}"/>
  <w14:docId w14:val="73FF8D1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Pr>
      <w:sz w:val="24"/>
      <w:szCs w:val="24"/>
      <w:lang w:val="et-EE" w:eastAsia="et-E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styleId="HeaderChar" w:customStyle="1">
    <w:name w:val="Header Char"/>
    <w:link w:val="Header"/>
    <w:uiPriority w:val="99"/>
    <w:rsid w:val="00A97024"/>
    <w:rPr>
      <w:sz w:val="24"/>
      <w:szCs w:val="24"/>
    </w:rPr>
  </w:style>
  <w:style w:type="paragraph" w:styleId="paragraph" w:customStyle="1">
    <w:name w:val="paragraph"/>
    <w:basedOn w:val="Normal"/>
    <w:rsid w:val="009D06C6"/>
  </w:style>
  <w:style w:type="character" w:styleId="spellingerror" w:customStyle="1">
    <w:name w:val="spellingerror"/>
    <w:rsid w:val="009D06C6"/>
  </w:style>
  <w:style w:type="character" w:styleId="normaltextrun" w:customStyle="1">
    <w:name w:val="normaltextrun"/>
    <w:rsid w:val="009D06C6"/>
  </w:style>
  <w:style w:type="character" w:styleId="eop" w:customStyle="1">
    <w:name w:val="eop"/>
    <w:rsid w:val="009D06C6"/>
  </w:style>
  <w:style w:type="paragraph" w:styleId="ListParagraph">
    <w:name w:val="List Paragraph"/>
    <w:basedOn w:val="Normal"/>
    <w:uiPriority w:val="99"/>
    <w:qFormat/>
    <w:rsid w:val="00970DD6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Reet Reet</lastModifiedBy>
  <revision>12</revision>
  <lastPrinted>2011-04-03T13:46:00.0000000Z</lastPrinted>
  <dcterms:created xsi:type="dcterms:W3CDTF">2016-05-24T06:32:00.0000000Z</dcterms:created>
  <dcterms:modified xsi:type="dcterms:W3CDTF">2016-05-24T06:47:46.4857220Z</dcterms:modified>
</coreProperties>
</file>