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42FF2" w:rsidR="00304F79" w:rsidP="7F4137D3" w:rsidRDefault="00042FF2" w14:paraId="4FE8FB50" wp14:textId="52F539F0">
      <w:pPr>
        <w:pStyle w:val="Normaallaad"/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</w:pP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Kliiniline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küsimus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 xml:space="preserve"> </w:t>
      </w:r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nr</w:t>
      </w:r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.</w:t>
      </w:r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  <w:lang w:val="fi-FI"/>
        </w:rPr>
        <w:t>5</w:t>
      </w:r>
    </w:p>
    <w:p xmlns:wp14="http://schemas.microsoft.com/office/word/2010/wordml" w:rsidRPr="002D065A" w:rsidR="003B0510" w:rsidP="69672B24" w:rsidRDefault="00042FF2" w14:paraId="3B5000CC" wp14:textId="23B5C42D">
      <w:pPr>
        <w:pStyle w:val="Normaallaad"/>
        <w:ind w:left="0"/>
        <w:jc w:val="both"/>
      </w:pP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Kas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kõikidele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dementsussündroomiga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patsientidele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teha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haiguse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diferentsiaaldiagnostikaks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lisauuringuid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nt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liikvori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uuringud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elektroentsefalograafia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, vs.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mitte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?</w:t>
      </w:r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</w:p>
    <w:p xmlns:wp14="http://schemas.microsoft.com/office/word/2010/wordml" w:rsidRPr="002D065A" w:rsidR="003B0510" w:rsidP="69672B24" w:rsidRDefault="00042FF2" w14:paraId="4C857A4F" wp14:textId="5ABF209E">
      <w:pPr>
        <w:jc w:val="both"/>
      </w:pP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n-US"/>
        </w:rPr>
        <w:t>Tulemusnäitajad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u w:val="single"/>
          <w:lang w:val="en-US"/>
        </w:rPr>
        <w:t>:</w:t>
      </w:r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ravitavate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dementsuste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diagnoosimine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teiste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dementsussündroomi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põhjustavate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haiguste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välistamine</w:t>
      </w:r>
      <w:proofErr w:type="spellEnd"/>
      <w:r w:rsidRPr="7F4137D3" w:rsidR="7F4137D3">
        <w:rPr>
          <w:rFonts w:ascii="Verdana" w:hAnsi="Verdana" w:eastAsia="Verdana" w:cs="Verdana"/>
          <w:b w:val="0"/>
          <w:bCs w:val="0"/>
          <w:sz w:val="18"/>
          <w:szCs w:val="18"/>
          <w:lang w:val="en-US"/>
        </w:rPr>
        <w:t>.</w:t>
      </w:r>
    </w:p>
    <w:p w:rsidR="6D362053" w:rsidP="7F4137D3" w:rsidRDefault="6D362053" w14:paraId="611631EF" w14:textId="6FB77B04">
      <w:pPr>
        <w:pStyle w:val="Normaallaad"/>
        <w:jc w:val="both"/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</w:pPr>
      <w:proofErr w:type="spellStart"/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Kokkuvõte</w:t>
      </w:r>
      <w:proofErr w:type="spellEnd"/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:</w:t>
      </w:r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Kõige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põhjalikumalt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käsitleb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teemast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ENFS, APA ja NICE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ravijuhendid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.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Lisauuringute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all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mõeldakse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liikvori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uuringuid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elektroentsefalograafiat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(EEG) ja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geenitestimist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. </w:t>
      </w:r>
    </w:p>
    <w:p w:rsidR="6D362053" w:rsidP="7F4137D3" w:rsidRDefault="6D362053" w14:paraId="036B2F9C" w14:textId="0E4BDA25">
      <w:pPr>
        <w:pStyle w:val="Normaallaad"/>
        <w:jc w:val="both"/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</w:pP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u w:val="single"/>
          <w:lang w:val="fi-FI"/>
        </w:rPr>
        <w:t>Liikvori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u w:val="single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u w:val="single"/>
          <w:lang w:val="fi-FI"/>
        </w:rPr>
        <w:t>uuringud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: ENFS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juhendi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alusel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on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oovitatud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atüüpilistel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juhtudel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(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hea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praktika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tava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).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Teha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juhul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kui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kahtlustatakse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vaskuliiti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põletikulist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hematoloogilist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demüeliniseerivat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haigust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või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Creutzwald-Jakobi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tõbe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(CJD) (B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taseme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soovitus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). AT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korral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esinevad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muutused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liikvoris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(Ab42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taseme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langus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tau ja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fosfo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-tau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valgu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hulga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tõus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)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toetavad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diagnoosi (B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tase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m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soovitus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). APA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ravijuhendi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alusel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ei ole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piisavalt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tõenduspõhisust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, et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kasutada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rutiinses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kliinilises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praktikas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. NICE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ravijuhendi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alusel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tuleks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teha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kiiresti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progresseeruva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dementsuse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korral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. Canada ja NIAAA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ravijuhendid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ei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soovita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kasutada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kliinilises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praktikas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.</w:t>
      </w:r>
    </w:p>
    <w:p w:rsidR="6D362053" w:rsidP="7F4137D3" w:rsidRDefault="6D362053" w14:paraId="7F77FB22" w14:textId="2A35266B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u w:val="single"/>
          <w:lang w:val="fi-FI"/>
        </w:rPr>
        <w:t xml:space="preserve">EEG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u w:val="single"/>
          <w:lang w:val="fi-FI"/>
        </w:rPr>
        <w:t>uuringut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käsitlevad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EFNS ja NICE </w:t>
      </w:r>
      <w:proofErr w:type="spellStart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ravijuhendid</w:t>
      </w:r>
      <w:proofErr w:type="spellEnd"/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.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 EE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G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 xml:space="preserve">-st </w:t>
      </w:r>
      <w:r w:rsidRPr="7F4137D3" w:rsidR="7F4137D3">
        <w:rPr>
          <w:rFonts w:ascii="Verdana,Arial" w:hAnsi="Verdana,Arial" w:eastAsia="Verdana,Arial" w:cs="Verdana,Arial"/>
          <w:b w:val="0"/>
          <w:bCs w:val="0"/>
          <w:color w:val="auto"/>
          <w:sz w:val="18"/>
          <w:szCs w:val="18"/>
          <w:lang w:val="fi-FI"/>
        </w:rPr>
        <w:t>v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õib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olla kasu atüüpilise AT </w:t>
      </w:r>
      <w:r w:rsidRPr="7F4137D3" w:rsidR="7F4137D3">
        <w:rPr>
          <w:rFonts w:ascii="Verdana" w:hAnsi="Verdana" w:eastAsia="Verdana" w:cs="Verdana"/>
          <w:sz w:val="18"/>
          <w:szCs w:val="18"/>
        </w:rPr>
        <w:t>korra</w:t>
      </w:r>
      <w:r w:rsidRPr="7F4137D3" w:rsidR="7F4137D3">
        <w:rPr>
          <w:rFonts w:ascii="Verdana" w:hAnsi="Verdana" w:eastAsia="Verdana" w:cs="Verdana"/>
          <w:sz w:val="18"/>
          <w:szCs w:val="18"/>
        </w:rPr>
        <w:t>l</w:t>
      </w:r>
      <w:r w:rsidRPr="7F4137D3" w:rsidR="7F4137D3">
        <w:rPr>
          <w:rFonts w:ascii="Verdana" w:hAnsi="Verdana" w:eastAsia="Verdana" w:cs="Verdana"/>
          <w:sz w:val="18"/>
          <w:szCs w:val="18"/>
        </w:rPr>
        <w:t>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EEG võib anda infot varajase </w:t>
      </w:r>
      <w:r w:rsidRPr="7F4137D3" w:rsidR="7F4137D3">
        <w:rPr>
          <w:rFonts w:ascii="Verdana" w:hAnsi="Verdana" w:eastAsia="Verdana" w:cs="Verdana"/>
          <w:sz w:val="18"/>
          <w:szCs w:val="18"/>
        </w:rPr>
        <w:t>CJD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toksilis-metaboolse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häire, võimaliku epileptilise </w:t>
      </w:r>
      <w:r w:rsidRPr="7F4137D3" w:rsidR="7F4137D3">
        <w:rPr>
          <w:rFonts w:ascii="Verdana" w:hAnsi="Verdana" w:eastAsia="Verdana" w:cs="Verdana"/>
          <w:sz w:val="18"/>
          <w:szCs w:val="18"/>
        </w:rPr>
        <w:t>amnee</w:t>
      </w:r>
      <w:r w:rsidRPr="7F4137D3" w:rsidR="7F4137D3">
        <w:rPr>
          <w:rFonts w:ascii="Verdana" w:hAnsi="Verdana" w:eastAsia="Verdana" w:cs="Verdana"/>
          <w:sz w:val="18"/>
          <w:szCs w:val="18"/>
        </w:rPr>
        <w:t>s</w:t>
      </w:r>
      <w:r w:rsidRPr="7F4137D3" w:rsidR="7F4137D3">
        <w:rPr>
          <w:rFonts w:ascii="Verdana" w:hAnsi="Verdana" w:eastAsia="Verdana" w:cs="Verdana"/>
          <w:sz w:val="18"/>
          <w:szCs w:val="18"/>
        </w:rPr>
        <w:t>ia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või muu haiguse korral</w:t>
      </w:r>
      <w:r w:rsidRPr="7F4137D3" w:rsidR="7F4137D3">
        <w:rPr>
          <w:rFonts w:ascii="Verdana" w:hAnsi="Verdana" w:eastAsia="Verdana" w:cs="Verdana"/>
          <w:sz w:val="18"/>
          <w:szCs w:val="18"/>
        </w:rPr>
        <w:t>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>EFNS ravijuhendi</w:t>
      </w:r>
      <w:r w:rsidRPr="7F4137D3" w:rsidR="7F4137D3">
        <w:rPr>
          <w:rFonts w:ascii="Verdana" w:hAnsi="Verdana" w:eastAsia="Verdana" w:cs="Verdana"/>
          <w:sz w:val="18"/>
          <w:szCs w:val="18"/>
        </w:rPr>
        <w:t>s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>tuuaks</w:t>
      </w:r>
      <w:r w:rsidRPr="7F4137D3" w:rsidR="7F4137D3">
        <w:rPr>
          <w:rFonts w:ascii="Verdana" w:hAnsi="Verdana" w:eastAsia="Verdana" w:cs="Verdana"/>
          <w:sz w:val="18"/>
          <w:szCs w:val="18"/>
        </w:rPr>
        <w:t>e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EEG uuringu teostamine atüüpilise AT korral välja hea praktika tavana, CJD või epileptilise amneesia korral B taseme soovitusena.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NICE ravijuhendi alusel ei tohiks EEG olla kasutusel rutiinse meetodina. </w:t>
      </w:r>
      <w:r w:rsidRPr="7F4137D3" w:rsidR="7F4137D3">
        <w:rPr>
          <w:rFonts w:ascii="Verdana" w:hAnsi="Verdana" w:eastAsia="Verdana" w:cs="Verdana"/>
          <w:sz w:val="18"/>
          <w:szCs w:val="18"/>
        </w:rPr>
        <w:t>T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uleks kaaluda, kui on kahtlus deliiriumile,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frontotemporaalsele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dementsusele või CJD-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</w:t>
      </w:r>
      <w:r w:rsidRPr="7F4137D3" w:rsidR="7F4137D3">
        <w:rPr>
          <w:rFonts w:ascii="Verdana" w:hAnsi="Verdana" w:eastAsia="Verdana" w:cs="Verdana"/>
          <w:sz w:val="18"/>
          <w:szCs w:val="18"/>
        </w:rPr>
        <w:t>Ka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>patsientidel, kel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kaasub dementsusega krambisündroom. </w:t>
      </w:r>
    </w:p>
    <w:p w:rsidR="6D362053" w:rsidP="5F2D1411" w:rsidRDefault="6D362053" w14:paraId="08EF8372" w14:textId="343D926F" w14:noSpellErr="1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  <w:u w:val="single"/>
        </w:rPr>
        <w:t>Geenitestimine:</w:t>
      </w:r>
      <w:r w:rsidRPr="5F2D1411" w:rsidR="5F2D1411">
        <w:rPr>
          <w:rFonts w:ascii="Verdana" w:hAnsi="Verdana" w:eastAsia="Verdana" w:cs="Verdana"/>
          <w:sz w:val="18"/>
          <w:szCs w:val="18"/>
        </w:rPr>
        <w:t xml:space="preserve"> ApoE4 ei soovitata testida, kuna võib esineda ka normaalsetel eakatel</w:t>
      </w:r>
      <w:r w:rsidRPr="5F2D1411" w:rsidR="5F2D1411">
        <w:rPr>
          <w:rFonts w:ascii="Verdana" w:hAnsi="Verdana" w:eastAsia="Verdana" w:cs="Verdana"/>
          <w:sz w:val="18"/>
          <w:szCs w:val="18"/>
        </w:rPr>
        <w:t>. Varase algusega dementsed suunata spetsialiseeritud keskustesse, kus otsustatakse geenitestimise vajadus.</w:t>
      </w:r>
    </w:p>
    <w:p w:rsidR="6D362053" w:rsidP="6D362053" w:rsidRDefault="6D362053" w14:paraId="7BE16E77" w14:textId="26FDFB2B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</w:p>
    <w:p w:rsidR="2C6E0731" w:rsidP="2C6E0731" w:rsidRDefault="2C6E0731" w14:noSpellErr="1" w14:paraId="6C1E6669" w14:textId="77B7A879">
      <w:pPr>
        <w:jc w:val="both"/>
      </w:pPr>
      <w:r w:rsidRPr="7F4137D3" w:rsidR="7F4137D3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 xml:space="preserve">Soovitused: </w:t>
      </w:r>
    </w:p>
    <w:p w:rsidR="7F4137D3" w:rsidP="7F4137D3" w:rsidRDefault="7F4137D3" w14:paraId="3A0261A8" w14:textId="2DC0B36F">
      <w:pPr>
        <w:ind w:left="806" w:hanging="806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1.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Rutiinne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uurimine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Alzheimeri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tõve diagnostikas ei ole soovitav 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tugev negatiivne soovitus</w:t>
      </w:r>
      <w:r w:rsidRPr="7F4137D3" w:rsidR="7F4137D3">
        <w:rPr>
          <w:rFonts w:ascii="Verdana" w:hAnsi="Verdana" w:eastAsia="Verdana" w:cs="Verdana"/>
          <w:sz w:val="18"/>
          <w:szCs w:val="18"/>
        </w:rPr>
        <w:t>)</w:t>
      </w:r>
    </w:p>
    <w:p w:rsidR="7F4137D3" w:rsidP="7F4137D3" w:rsidRDefault="7F4137D3" w14:paraId="205476D4" w14:textId="005AC7CB">
      <w:pPr>
        <w:ind w:left="806" w:hanging="806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2.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Elektroentsefalograafia ei ole rutiinses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Alzheimeri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tõve diagnostikas soovitav </w:t>
      </w:r>
      <w:r w:rsidRPr="7F4137D3" w:rsidR="7F4137D3">
        <w:rPr>
          <w:rFonts w:ascii="Verdana" w:hAnsi="Verdana" w:eastAsia="Verdana" w:cs="Verdana"/>
          <w:sz w:val="18"/>
          <w:szCs w:val="18"/>
        </w:rPr>
        <w:t>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nõrk negatiivne soovitus</w:t>
      </w:r>
      <w:r w:rsidRPr="7F4137D3" w:rsidR="7F4137D3">
        <w:rPr>
          <w:rFonts w:ascii="Verdana" w:hAnsi="Verdana" w:eastAsia="Verdana" w:cs="Verdana"/>
          <w:sz w:val="18"/>
          <w:szCs w:val="18"/>
        </w:rPr>
        <w:t>)</w:t>
      </w:r>
    </w:p>
    <w:p w:rsidR="7F4137D3" w:rsidP="7F4137D3" w:rsidRDefault="7F4137D3" w14:paraId="2E3257F7" w14:textId="627CC03D">
      <w:pPr>
        <w:ind w:left="806" w:hanging="806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3.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EEG-st võib olla kasu erijuhtudel: atüüpiline ja kiiresti progresseeruv dementsus,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Creutzwald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-Jakobi tõve kahtlus, deliirium, dementsusega kaasuv krambisündroom, jne 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töörühma praktiline soovitus</w:t>
      </w:r>
      <w:r w:rsidRPr="7F4137D3" w:rsidR="7F4137D3">
        <w:rPr>
          <w:rFonts w:ascii="Verdana" w:hAnsi="Verdana" w:eastAsia="Verdana" w:cs="Verdana"/>
          <w:sz w:val="18"/>
          <w:szCs w:val="18"/>
        </w:rPr>
        <w:t>) – või kirjutada lahti tekstis?</w:t>
      </w:r>
    </w:p>
    <w:p w:rsidR="7F4137D3" w:rsidP="7F4137D3" w:rsidRDefault="7F4137D3" w14:noSpellErr="1" w14:paraId="51EA1EDB" w14:textId="312E64B7">
      <w:pPr>
        <w:ind w:left="806" w:hanging="806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4.</w:t>
      </w:r>
      <w:r w:rsidRPr="7F4137D3" w:rsidR="7F4137D3">
        <w:rPr>
          <w:rFonts w:ascii="Verdana" w:hAnsi="Verdana" w:eastAsia="Verdana" w:cs="Verdana"/>
          <w:sz w:val="18"/>
          <w:szCs w:val="18"/>
        </w:rPr>
        <w:t>R</w:t>
      </w:r>
      <w:r w:rsidRPr="7F4137D3" w:rsidR="7F4137D3">
        <w:rPr>
          <w:rFonts w:ascii="Verdana" w:hAnsi="Verdana" w:eastAsia="Verdana" w:cs="Verdana"/>
          <w:sz w:val="18"/>
          <w:szCs w:val="18"/>
        </w:rPr>
        <w:t>utiinne ApoE4 genotüübi testimine ei ole soovitav 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tugev negatiivne soovitus</w:t>
      </w:r>
      <w:r w:rsidRPr="7F4137D3" w:rsidR="7F4137D3">
        <w:rPr>
          <w:rFonts w:ascii="Verdana" w:hAnsi="Verdana" w:eastAsia="Verdana" w:cs="Verdana"/>
          <w:sz w:val="18"/>
          <w:szCs w:val="18"/>
        </w:rPr>
        <w:t>)</w:t>
      </w:r>
    </w:p>
    <w:p w:rsidR="7F4137D3" w:rsidP="7F4137D3" w:rsidRDefault="7F4137D3" w14:noSpellErr="1" w14:paraId="5FDE3FE1" w14:textId="2C7DEC3C">
      <w:pPr>
        <w:ind w:left="806" w:hanging="806"/>
        <w:jc w:val="both"/>
      </w:pPr>
      <w:r w:rsidRPr="7F4137D3" w:rsidR="7F4137D3">
        <w:rPr>
          <w:rFonts w:ascii="Verdana" w:hAnsi="Verdana" w:eastAsia="Verdana" w:cs="Verdana"/>
          <w:sz w:val="18"/>
          <w:szCs w:val="18"/>
        </w:rPr>
        <w:t>5.</w:t>
      </w:r>
      <w:r w:rsidRPr="7F4137D3" w:rsidR="7F4137D3">
        <w:rPr>
          <w:rFonts w:ascii="Verdana" w:hAnsi="Verdana" w:eastAsia="Verdana" w:cs="Verdana"/>
          <w:sz w:val="18"/>
          <w:szCs w:val="18"/>
        </w:rPr>
        <w:t>Perekondlike ja varase algusega dementsuse korral on soovitav haiged suunata spetsialiseeritud keskustesse  - mälukliinikusse? Geneetiku vastuvõtule? 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töörühma praktiline soovitus</w:t>
      </w:r>
      <w:r w:rsidRPr="7F4137D3" w:rsidR="7F4137D3">
        <w:rPr>
          <w:rFonts w:ascii="Verdana" w:hAnsi="Verdana" w:eastAsia="Verdana" w:cs="Verdana"/>
          <w:sz w:val="18"/>
          <w:szCs w:val="18"/>
        </w:rPr>
        <w:t>)</w:t>
      </w:r>
    </w:p>
    <w:p w:rsidR="7F4137D3" w:rsidP="7F4137D3" w:rsidRDefault="7F4137D3" w14:paraId="398BAC25" w14:textId="191FFC4B">
      <w:pPr>
        <w:pStyle w:val="Normaallaad"/>
        <w:ind w:left="0"/>
        <w:jc w:val="both"/>
        <w:rPr>
          <w:rFonts w:ascii="Verdana" w:hAnsi="Verdana" w:eastAsia="Verdana" w:cs="Verdana"/>
          <w:b w:val="0"/>
          <w:bCs w:val="0"/>
          <w:color w:val="auto"/>
          <w:sz w:val="18"/>
          <w:szCs w:val="18"/>
        </w:rPr>
      </w:pPr>
    </w:p>
    <w:p w:rsidR="2C6E0731" w:rsidP="2C6E0731" w:rsidRDefault="2C6E0731" w14:paraId="343C5758" w14:textId="277B0B01">
      <w:pPr>
        <w:jc w:val="both"/>
      </w:pPr>
      <w:r>
        <w:br/>
      </w:r>
      <w:proofErr w:type="spellStart"/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Süstemaatilised</w:t>
      </w:r>
      <w:proofErr w:type="spellEnd"/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 xml:space="preserve"> </w:t>
      </w:r>
      <w:proofErr w:type="spellStart"/>
      <w:r w:rsidRPr="7F4137D3" w:rsidR="7F4137D3"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  <w:t>ülevaated</w:t>
      </w:r>
      <w:proofErr w:type="spellEnd"/>
    </w:p>
    <w:p w:rsidR="2C6E0731" w:rsidP="7F4137D3" w:rsidRDefault="2C6E0731" w14:paraId="221BB586" w14:textId="0429D5F2">
      <w:pPr>
        <w:pStyle w:val="Normaallaad"/>
        <w:jc w:val="both"/>
        <w:rPr>
          <w:rFonts w:ascii="Verdana,Arial" w:hAnsi="Verdana,Arial" w:eastAsia="Verdana,Arial" w:cs="Verdana,Arial"/>
          <w:b w:val="1"/>
          <w:bCs w:val="1"/>
          <w:color w:val="000080"/>
          <w:sz w:val="18"/>
          <w:szCs w:val="18"/>
          <w:lang w:val="fi-FI"/>
        </w:rPr>
      </w:pPr>
      <w:r w:rsidRPr="7F4137D3" w:rsidR="7F4137D3">
        <w:rPr>
          <w:rFonts w:ascii="Verdana,Arial" w:hAnsi="Verdana,Arial" w:eastAsia="Verdana,Arial" w:cs="Verdana,Arial"/>
          <w:b w:val="1"/>
          <w:bCs w:val="1"/>
          <w:color w:val="auto"/>
          <w:sz w:val="18"/>
          <w:szCs w:val="18"/>
          <w:u w:val="single"/>
          <w:lang w:val="fi-FI"/>
        </w:rPr>
        <w:t>1.</w:t>
      </w:r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Ritchie C,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. Plasma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cerebrospinal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fluid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amyloid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beta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diagnosis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dementia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other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dementias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people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with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mild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cognitive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impairment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(MCI).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Cochrane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Database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Systematic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Reviews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2014,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Issue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6. Art. No.: CD008782</w:t>
      </w:r>
    </w:p>
    <w:p xmlns:wp14="http://schemas.microsoft.com/office/word/2010/wordml" w:rsidRPr="002D065A" w:rsidR="003E1B67" w:rsidP="7F4137D3" w:rsidRDefault="00042FF2" w14:paraId="7B586849" wp14:textId="0DB0D8E7">
      <w:pPr>
        <w:pBdr>
          <w:top w:val="single" w:color="000080" w:sz="4" w:space="1"/>
          <w:left w:val="single" w:color="000080" w:sz="4" w:space="4"/>
          <w:bottom w:val="single" w:color="000080" w:sz="4" w:space="1"/>
          <w:right w:val="single" w:color="000080" w:sz="4" w:space="4"/>
        </w:pBdr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1"/>
          <w:iCs w:val="1"/>
          <w:color w:val="000080"/>
          <w:sz w:val="18"/>
          <w:szCs w:val="18"/>
          <w:lang w:val="fi-FI" w:eastAsia="en-US"/>
        </w:rPr>
      </w:pP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Cochrane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süstemaatiline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ülevaade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tasuta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kättesaadav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vaid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abstract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mistõtti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AMSTAR ei ole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kohaldatav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. </w:t>
      </w:r>
    </w:p>
    <w:p xmlns:wp14="http://schemas.microsoft.com/office/word/2010/wordml" w:rsidRPr="002D065A" w:rsidR="003E1B67" w:rsidP="7F4137D3" w:rsidRDefault="00042FF2" w14:paraId="1E55C1B6" wp14:textId="2ECE73A1">
      <w:pPr>
        <w:pBdr>
          <w:top w:val="single" w:color="000080" w:sz="4" w:space="1"/>
          <w:left w:val="single" w:color="000080" w:sz="4" w:space="4"/>
          <w:bottom w:val="single" w:color="000080" w:sz="4" w:space="1"/>
          <w:right w:val="single" w:color="000080" w:sz="4" w:space="4"/>
        </w:pBdr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</w:pP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Uuriti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liikvori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ja </w:t>
      </w:r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pla</w:t>
      </w:r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sma</w:t>
      </w:r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amüloid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beeta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määramist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kerge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kognitiivse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dementsusega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patsientidel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diagnoosimaks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Alzheimeri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tõbe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.</w:t>
      </w:r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Metaanalüüsi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kaasati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14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uuringut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neist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1349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inimest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kellel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436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arenes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välja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Alzheimeri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tõbi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.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Uuringu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sensitiivsus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36-100% (mediaan 81%),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spetsiifilisus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29-91% (mediaan 64%).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Uuringute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vahel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suur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heterogeensus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,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kvaliteet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varieerub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ja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jälgimisaeg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ebapiisav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.</w:t>
      </w:r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Ka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sensitiivusus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ja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spetsiifilisus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varieerub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suurtes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piirides.</w:t>
      </w:r>
    </w:p>
    <w:p w:rsidR="2C6E0731" w:rsidP="7F4137D3" w:rsidRDefault="2C6E0731" w14:paraId="6660BAEE" w14:textId="13C5EB4A">
      <w:pPr>
        <w:pStyle w:val="Normaallaad"/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</w:pP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Kokkuvõte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: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Liikvori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beeta-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amüloidi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taseme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langus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omab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väga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väikest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diagnostilist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kasu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ja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marginaalset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kliinilist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väärtust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.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Kerge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kognitiivse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langusega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patsientidel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ei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soovitata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liikvori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beeta-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amüloidi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määramist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Alzheimeri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tõve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 </w:t>
      </w:r>
      <w:proofErr w:type="spellStart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diagnoosimiseks</w:t>
      </w:r>
      <w:proofErr w:type="spellEnd"/>
      <w:r w:rsidRPr="7F4137D3" w:rsidR="7F4137D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. </w:t>
      </w:r>
    </w:p>
    <w:p w:rsidR="2C6E0731" w:rsidP="7F4137D3" w:rsidRDefault="2C6E0731" w14:paraId="314DA243" w14:textId="1402B67D">
      <w:pPr>
        <w:pStyle w:val="Normaallaad"/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</w:pPr>
      <w:r w:rsidRPr="7F4137D3" w:rsidR="7F4137D3">
        <w:rPr>
          <w:rFonts w:ascii="Verdana,ArialMT" w:hAnsi="Verdana,ArialMT" w:eastAsia="Verdana,ArialMT" w:cs="Verdana,ArialMT"/>
          <w:b w:val="1"/>
          <w:bCs w:val="1"/>
          <w:i w:val="0"/>
          <w:iCs w:val="0"/>
          <w:color w:val="auto"/>
          <w:sz w:val="18"/>
          <w:szCs w:val="18"/>
          <w:u w:val="single"/>
          <w:lang w:val="fi-FI" w:eastAsia="en-US"/>
        </w:rPr>
        <w:t xml:space="preserve">2.Ruan, et al.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Potential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fluid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biomarkers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pathological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brain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changes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Alzheimer's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Implication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screening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cognitive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frailty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MOLECULAR MEDICINE REPORTS 14: 3184-3198, 2016</w:t>
      </w:r>
    </w:p>
    <w:p w:rsidR="2C6E0731" w:rsidP="6D362053" w:rsidRDefault="2C6E0731" w14:paraId="06B19088" w14:noSpellErr="1" w14:textId="66CD13D2">
      <w:pPr>
        <w:pStyle w:val="Normaallaad"/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</w:pPr>
      <w:r w:rsidRPr="6D362053" w:rsidR="6D36205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 xml:space="preserve">AMSTAR: </w:t>
      </w:r>
      <w:r w:rsidRPr="6D362053" w:rsidR="6D362053"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  <w:t>9/11</w:t>
      </w:r>
    </w:p>
    <w:p w:rsidR="6D362053" w:rsidP="7F4137D3" w:rsidRDefault="6D362053" w14:paraId="47E5BB2F" w14:textId="0B5B77A8">
      <w:pPr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Süstemaatiline ülevaade, mis uurib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biomarkereid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AT ja MCI diagnostikas. Uuritakse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biomarkereid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nii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veres,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kui ka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uriinis.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saab määrata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-valgu,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fosforüleerituf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-beeta tas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et. Kehavedelike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võivad olla kasulikud varases AT </w:t>
      </w:r>
      <w:r w:rsidRPr="7F4137D3" w:rsidR="7F4137D3">
        <w:rPr>
          <w:rFonts w:ascii="Verdana" w:hAnsi="Verdana" w:eastAsia="Verdana" w:cs="Verdana"/>
          <w:sz w:val="18"/>
          <w:szCs w:val="18"/>
        </w:rPr>
        <w:t>diagnostik</w:t>
      </w:r>
      <w:r w:rsidRPr="7F4137D3" w:rsidR="7F4137D3">
        <w:rPr>
          <w:rFonts w:ascii="Verdana" w:hAnsi="Verdana" w:eastAsia="Verdana" w:cs="Verdana"/>
          <w:sz w:val="18"/>
          <w:szCs w:val="18"/>
        </w:rPr>
        <w:t>a</w:t>
      </w:r>
      <w:r w:rsidRPr="7F4137D3" w:rsidR="7F4137D3">
        <w:rPr>
          <w:rFonts w:ascii="Verdana" w:hAnsi="Verdana" w:eastAsia="Verdana" w:cs="Verdana"/>
          <w:sz w:val="18"/>
          <w:szCs w:val="18"/>
        </w:rPr>
        <w:t>s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, ennustamaks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prekliinilise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dementsuse üleminekut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AT-ks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, eristamaks AT mitte-AT-st.</w:t>
      </w:r>
    </w:p>
    <w:p w:rsidR="6D362053" w:rsidP="6D362053" w:rsidRDefault="6D362053" w14:paraId="069F487F" w14:textId="2AD304C0">
      <w:pPr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Aβ42 aitab kõige paremini eristada AT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frontotemporaalsest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dementsusest.</w:t>
      </w:r>
    </w:p>
    <w:p w:rsidR="5F2D1411" w:rsidP="7F4137D3" w:rsidRDefault="5F2D1411" w14:paraId="03C671F5" w14:textId="25B6C8E9">
      <w:pPr>
        <w:pStyle w:val="Normaallaad"/>
        <w:shd w:val="clear" w:color="auto" w:fill="FFFFFF" w:themeFill="background1"/>
        <w:ind w:right="240"/>
        <w:jc w:val="both"/>
        <w:rPr>
          <w:rFonts w:ascii="Verdana,ArialMT" w:hAnsi="Verdana,ArialMT" w:eastAsia="Verdana,ArialMT" w:cs="Verdana,ArialMT"/>
          <w:i w:val="0"/>
          <w:iCs w:val="0"/>
          <w:color w:val="auto"/>
          <w:sz w:val="18"/>
          <w:szCs w:val="18"/>
          <w:lang w:val="fi-FI" w:eastAsia="en-US"/>
        </w:rPr>
      </w:pPr>
      <w:r w:rsidRPr="7F4137D3" w:rsidR="7F4137D3">
        <w:rPr>
          <w:rFonts w:ascii="Verdana,ArialMT" w:hAnsi="Verdana,ArialMT" w:eastAsia="Verdana,ArialMT" w:cs="Verdana,ArialMT"/>
          <w:b w:val="1"/>
          <w:bCs w:val="1"/>
          <w:i w:val="0"/>
          <w:iCs w:val="0"/>
          <w:color w:val="auto"/>
          <w:sz w:val="18"/>
          <w:szCs w:val="18"/>
          <w:u w:val="single"/>
          <w:lang w:val="fi-FI" w:eastAsia="en-US"/>
        </w:rPr>
        <w:t>3.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Dawson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Hedges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P300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Amplitude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A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Meta-Analysis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Meta-Regression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Clinical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EEG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Neuroscience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2016,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Vol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 47(1) 48–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55</w:t>
      </w:r>
    </w:p>
    <w:p w:rsidR="5F2D1411" w:rsidP="5F2D1411" w:rsidRDefault="5F2D1411" w14:noSpellErr="1" w14:paraId="4A3E24F2" w14:textId="143D3D42">
      <w:pPr>
        <w:pStyle w:val="Normaallaad"/>
        <w:shd w:val="clear" w:color="auto" w:fill="FFFFFF" w:themeFill="background1"/>
        <w:ind w:right="240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</w:rPr>
        <w:t>AMSTAR: 9</w:t>
      </w:r>
      <w:r w:rsidRPr="5F2D1411" w:rsidR="5F2D1411">
        <w:rPr>
          <w:rFonts w:ascii="Verdana" w:hAnsi="Verdana" w:eastAsia="Verdana" w:cs="Verdana"/>
          <w:sz w:val="18"/>
          <w:szCs w:val="18"/>
        </w:rPr>
        <w:t>/11</w:t>
      </w:r>
    </w:p>
    <w:p w:rsidR="5F2D1411" w:rsidP="7F4137D3" w:rsidRDefault="5F2D1411" w14:paraId="53E8B6D0" w14:textId="5E224EBD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AT korral esinevad muutused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elektroentsefalograafial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mis võivad olla kasulikud diagnoosiks. Ülevaates uuritakse P300 komponendi muutusi. P300 komponent on kognitiivse aktiivsuse ja töömälu marker.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Kognitsiooni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languse korral esineb amplituudi langus. Langeb ka normaalse vananemise käigus. Tuuakse välja, et võib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ollla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tundlikum, kui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neuropsühholoogiline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testimine.</w:t>
      </w:r>
    </w:p>
    <w:p w:rsidR="5F2D1411" w:rsidP="7F4137D3" w:rsidRDefault="5F2D1411" w14:paraId="4C122AA2" w14:textId="7F388DB0">
      <w:pPr>
        <w:shd w:val="clear" w:color="auto" w:fill="FFFFFF" w:themeFill="background1"/>
        <w:ind w:right="240"/>
        <w:jc w:val="both"/>
        <w:rPr>
          <w:rFonts w:ascii="Verdana,AdvTTc9c3bd71" w:hAnsi="Verdana,AdvTTc9c3bd71" w:eastAsia="Verdana,AdvTTc9c3bd71" w:cs="Verdana,AdvTTc9c3bd71"/>
          <w:i w:val="1"/>
          <w:iCs w:val="1"/>
          <w:color w:val="000080"/>
          <w:sz w:val="18"/>
          <w:szCs w:val="18"/>
        </w:rPr>
      </w:pPr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 xml:space="preserve">Uuringu kokkuvõttes tuuakse, et võrreldes tervete kontrollgrupiga, on AT haigetel P300 </w:t>
      </w:r>
      <w:proofErr w:type="spellStart"/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>ampiltuud</w:t>
      </w:r>
      <w:proofErr w:type="spellEnd"/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 xml:space="preserve"> oluliselt madalam. Leiti ka seos haridustasemega, kuid amplituudi seost</w:t>
      </w:r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 xml:space="preserve"> vanuse, patsiendi soo</w:t>
      </w:r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 xml:space="preserve"> </w:t>
      </w:r>
      <w:r w:rsidRPr="7F4137D3" w:rsidR="7F4137D3">
        <w:rPr>
          <w:rFonts w:ascii="Verdana,AdvTTc9c3bd71" w:hAnsi="Verdana,AdvTTc9c3bd71" w:eastAsia="Verdana,AdvTTc9c3bd71" w:cs="Verdana,AdvTTc9c3bd71"/>
          <w:i w:val="0"/>
          <w:iCs w:val="0"/>
          <w:color w:val="auto"/>
          <w:sz w:val="18"/>
          <w:szCs w:val="18"/>
        </w:rPr>
        <w:t>ja dementsuse raskusastmega ei leitud.</w:t>
      </w:r>
    </w:p>
    <w:p w:rsidR="5F2D1411" w:rsidP="7F4137D3" w:rsidRDefault="5F2D1411" w14:paraId="61E73707" w14:textId="4F400C57">
      <w:pPr>
        <w:jc w:val="both"/>
        <w:rPr>
          <w:rFonts w:ascii="Verdana,ArialMT" w:hAnsi="Verdana,ArialMT" w:eastAsia="Verdana,ArialMT" w:cs="Verdana,ArialMT"/>
          <w:b w:val="1"/>
          <w:bCs w:val="1"/>
          <w:color w:val="000080"/>
          <w:sz w:val="18"/>
          <w:szCs w:val="18"/>
          <w:lang w:val="fi-FI" w:eastAsia="en-US"/>
        </w:rPr>
      </w:pPr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4.Aaron S.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Howe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Meta-analysis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endogenous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N200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latency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event-related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potential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subcomponent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patients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with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mild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cognitive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impairment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Clinical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>Neurophysiology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color w:val="auto"/>
          <w:sz w:val="18"/>
          <w:szCs w:val="18"/>
          <w:u w:val="single"/>
        </w:rPr>
        <w:t xml:space="preserve"> 125 (2014) 1145–1151</w:t>
      </w:r>
      <w:r w:rsidRPr="7F4137D3" w:rsidR="7F4137D3">
        <w:rPr>
          <w:rFonts w:ascii="Verdana" w:hAnsi="Verdana" w:eastAsia="Verdana" w:cs="Verdana"/>
          <w:color w:val="auto"/>
          <w:sz w:val="18"/>
          <w:szCs w:val="18"/>
        </w:rPr>
        <w:t>.</w:t>
      </w:r>
    </w:p>
    <w:p w:rsidR="5F2D1411" w:rsidP="5F2D1411" w:rsidRDefault="5F2D1411" w14:noSpellErr="1" w14:paraId="3B7DEDC0" w14:textId="24D3C3D5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</w:rPr>
        <w:t>AMSTAR: 9/11</w:t>
      </w:r>
    </w:p>
    <w:p w:rsidR="5F2D1411" w:rsidP="7F4137D3" w:rsidRDefault="5F2D1411" w14:paraId="7444DD88" w14:textId="6D46C9D3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EEG uuringul on N200 amplituudi pikenemine seotud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AT-ga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eristab normaalsest vananemisest. Ei ole aga erinevust kerge kognitiivse defitsiidiga patsientidega ja AT haigetega. Võib kasutada ka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kognitsiooni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languse jälgimisel.</w:t>
      </w:r>
    </w:p>
    <w:p w:rsidR="5F2D1411" w:rsidP="7F4137D3" w:rsidRDefault="5F2D1411" w14:paraId="33EE568A" w14:textId="7E5FB8BF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5.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Christina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Micanovic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utility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EEG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early-onset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a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systematic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literature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with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narrative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analysis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J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Transm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(2014) 121:59–69</w:t>
      </w:r>
    </w:p>
    <w:p w:rsidR="5F2D1411" w:rsidP="5F2D1411" w:rsidRDefault="5F2D1411" w14:noSpellErr="1" w14:paraId="34DDB3DE" w14:textId="2CFCF5EE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</w:rPr>
        <w:t>AMSTAR: 10/11</w:t>
      </w:r>
    </w:p>
    <w:p w:rsidR="5F2D1411" w:rsidP="5F2D1411" w:rsidRDefault="5F2D1411" w14:paraId="31FE6CEF" w14:textId="59AE29D5">
      <w:pPr>
        <w:jc w:val="both"/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EEG ei aita eristada dementsuse alatüüpi varajases staadiumis. Küll aga võib üldine fooni aeglustumine olla seotud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alloleva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neurodegeneratiivse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põhjusega. EEG muutused on kõige väljendunumad AT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Lewy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keha dementsuse korral. Seetõttu võib EEG kasutada diagnoosi kinnitada, diferentsida teistest dementsusest (nagu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frontotemporaalne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dementsus).</w:t>
      </w:r>
    </w:p>
    <w:p w:rsidR="5F2D1411" w:rsidP="7F4137D3" w:rsidRDefault="5F2D1411" w14:paraId="2F88E040" w14:textId="7685F7AE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AT korral esineb aeglase-laine aktiivsuse tõus (delta/teeta). Varasem algusega AT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haigetel on nii fokaalseid kui difuusseid muutusi EEG-l võrreldes tervetega. Noortel AT haigetel on raskemad muutused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EEGs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ja madalamad MMSE skoorid võrreldes vanemate AT haigetega. 3 uuringut leidsid EEG muutuste seose dementsuse raskusastmega, aga mitte haiguse kestusega. </w:t>
      </w:r>
    </w:p>
    <w:p w:rsidR="5F2D1411" w:rsidP="7F4137D3" w:rsidRDefault="5F2D1411" w14:paraId="2DA4897B" w14:textId="5C2B173C">
      <w:pPr>
        <w:pStyle w:val="Normaallaad"/>
        <w:ind w:left="0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6.Vesna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Jelic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Evide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ce-Based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Eva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u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iag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ost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Accu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racy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of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Resting EEG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Mild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Cognitive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Impairment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CLINICAL EEG and NEUROSCIENCE.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2009VOL 40N0 2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</w:t>
      </w:r>
    </w:p>
    <w:p w:rsidR="5F2D1411" w:rsidP="5F2D1411" w:rsidRDefault="5F2D1411" w14:noSpellErr="1" w14:paraId="1AC63BEB" w14:textId="5DBEB54D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</w:rPr>
        <w:t>AMSTAR: 10/11</w:t>
      </w:r>
    </w:p>
    <w:p w:rsidR="5F2D1411" w:rsidP="7F4137D3" w:rsidRDefault="5F2D1411" w14:paraId="48621D2C" w14:textId="75A18575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EEG kasutamine dementsuse ja MCI kliinilises diagnoosis ei oma piisavalt tõenduspõhiseid andmeid, et kasutada EEG esmases hindamises. Ei ole ühte kindlat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neurofüsioloogilist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markerit, esineb alfa lainete langus, teeta lainete tõus, üldise fooni langus AT haigetel. </w:t>
      </w:r>
    </w:p>
    <w:p w:rsidR="5F2D1411" w:rsidP="7F4137D3" w:rsidRDefault="5F2D1411" w14:paraId="4A852621" w14:textId="68482712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7.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Hanneke de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Waal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EEG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abnormalities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early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late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onset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understanding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heterogeneity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J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Neurosurg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Psychiatry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2011;82:67e71</w:t>
      </w:r>
    </w:p>
    <w:p w:rsidR="5F2D1411" w:rsidP="7F4137D3" w:rsidRDefault="5F2D1411" w14:paraId="64B648F2" w14:textId="01809A44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Case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control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study</w:t>
      </w:r>
      <w:proofErr w:type="spellEnd"/>
    </w:p>
    <w:p w:rsidR="7F4137D3" w:rsidP="7F4137D3" w:rsidRDefault="7F4137D3" w14:paraId="129E8DF4" w14:textId="528CC4C0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Võrreldi EEG muutusi varase ja hilise algusega (&gt;65 ja &lt;65.a.) AT haigetel ja selle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korrellatsiooni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APOE4 genotüübiga. Tulemustest selgus, et noorematel AT haigetel olid EEG muutused enam väljendunud, kui vanematel. Samas, kui vanematel kontrollgrupi inimestel oli enam EEG muutusi kui noorematel. APOE4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negatiivsed patsiendid – raskemad EEG muutused. </w:t>
      </w:r>
    </w:p>
    <w:p w:rsidR="7F4137D3" w:rsidP="7F4137D3" w:rsidRDefault="7F4137D3" w14:paraId="2D8B2641" w14:textId="3B1426EC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KOkkuvõte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: Varase algusega AT haiged, APOE4 genotüüp negatiivsed – EEG muutused enam väljendunud. </w:t>
      </w:r>
    </w:p>
    <w:p w:rsidR="5F2D1411" w:rsidP="7F4137D3" w:rsidRDefault="5F2D1411" w14:paraId="1377A978" w14:textId="7007A35C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8.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Olsson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CSF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blood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biomarkers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: a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systematic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meta-analysis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Lancet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Neurol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2016; 15: 673–84</w:t>
      </w:r>
    </w:p>
    <w:p w:rsidR="5F2D1411" w:rsidP="5F2D1411" w:rsidRDefault="5F2D1411" w14:noSpellErr="1" w14:paraId="0BC5330D" w14:textId="2566A7A3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5F2D1411" w:rsidR="5F2D1411">
        <w:rPr>
          <w:rFonts w:ascii="Verdana" w:hAnsi="Verdana" w:eastAsia="Verdana" w:cs="Verdana"/>
          <w:sz w:val="18"/>
          <w:szCs w:val="18"/>
        </w:rPr>
        <w:t>AMSTAR: 11/11</w:t>
      </w:r>
    </w:p>
    <w:p w:rsidR="5F2D1411" w:rsidP="7F4137D3" w:rsidRDefault="5F2D1411" w14:paraId="2D8C5433" w14:textId="7CE67B68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Hiljuti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Lancetis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avaldatud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üstemaatiline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ülevaade, kus hinnatakse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biomarkereid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Kokku on vaadeldud 15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ja vere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biomarkereid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Otsiti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Pubmedist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(4521 artiklit(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Web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Science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(231 artiklit), kokku 15699 patsienti.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P-tau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ja AB42 eristasid AT kontrollidest hästi (statistiliselt oluline).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NFL </w:t>
      </w:r>
      <w:r w:rsidRPr="7F4137D3" w:rsidR="7F4137D3">
        <w:rPr>
          <w:rFonts w:ascii="Verdana" w:hAnsi="Verdana" w:eastAsia="Verdana" w:cs="Verdana"/>
          <w:sz w:val="18"/>
          <w:szCs w:val="18"/>
        </w:rPr>
        <w:t>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neurofi</w:t>
      </w:r>
      <w:r w:rsidRPr="7F4137D3" w:rsidR="7F4137D3">
        <w:rPr>
          <w:rFonts w:ascii="Verdana" w:hAnsi="Verdana" w:eastAsia="Verdana" w:cs="Verdana"/>
          <w:sz w:val="18"/>
          <w:szCs w:val="18"/>
        </w:rPr>
        <w:t>lament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light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protein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)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r w:rsidRPr="7F4137D3" w:rsidR="7F4137D3">
        <w:rPr>
          <w:rFonts w:ascii="Verdana" w:hAnsi="Verdana" w:eastAsia="Verdana" w:cs="Verdana"/>
          <w:sz w:val="18"/>
          <w:szCs w:val="18"/>
        </w:rPr>
        <w:t>ja plasma T-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olid hea tundlikkusega. Samas kui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NSE, VLP-1, HFABP ja YKL-40 olid mõõduka tundlikkusega (uued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). </w:t>
      </w:r>
    </w:p>
    <w:p w:rsidR="5F2D1411" w:rsidP="7F4137D3" w:rsidRDefault="5F2D1411" w14:paraId="12EADA5A" w14:textId="5AC21C73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Kliinilises praktikas kasutada T-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P-tau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, AB42 ja NFL.</w:t>
      </w:r>
    </w:p>
    <w:p w:rsidR="6A9DDCFF" w:rsidP="7F4137D3" w:rsidRDefault="6A9DDCFF" w14:paraId="240CD15D" w14:textId="20B63871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9.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Jin-A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Mo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et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Cerebrospinal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Fluid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β-Amyloid1–42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Levels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Differential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—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Systematic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Review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Meta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-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Analysis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PLOS ONE | DOI:10.1371/journal.pone.0116802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February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24, 2015</w:t>
      </w:r>
    </w:p>
    <w:p w:rsidR="6A9DDCFF" w:rsidP="7F4137D3" w:rsidRDefault="6A9DDCFF" w14:paraId="23E0C8C3" w14:noSpellErr="1" w14:textId="62733FD4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>AMSTAR: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11/11</w:t>
      </w:r>
    </w:p>
    <w:p w:rsidR="7F4137D3" w:rsidP="7F4137D3" w:rsidRDefault="7F4137D3" w14:paraId="30A7C18F" w14:textId="266DFF12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Metaanalüüsis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uuritakse, kas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beeta-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määramine aitab eristada AT teistest dementsustest. AT korral esineb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beeta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42 valgu langus. Aga beeta-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tase on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fluktueeruv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ajas ja individuaalselt. Ei ole paika pandud absoluutset piiri, mis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diferentseeriksAT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tervetest ja teistest dementsustest.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Meta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-analüüsi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kaasati 10 uuringut (kokku 2211 AT haiget ja 1030 kontrolli).</w:t>
      </w:r>
    </w:p>
    <w:p w:rsidR="7F4137D3" w:rsidP="7F4137D3" w:rsidRDefault="7F4137D3" w14:paraId="77E30A9A" w14:textId="4FD7A879">
      <w:pPr>
        <w:pStyle w:val="Normaallaad"/>
        <w:jc w:val="both"/>
        <w:rPr>
          <w:rFonts w:ascii="Verdana" w:hAnsi="Verdana" w:eastAsia="Verdana" w:cs="Verdana"/>
          <w:sz w:val="18"/>
          <w:szCs w:val="18"/>
        </w:rPr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Tulemused: Kuigi AT haigetel on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-beeta tase keskmiselt kuni 50% madalam, kui tervetel kontrollides, et leitud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cut-off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piiri, mis aitaks kindlalt diferentsida. Ei diferentsi kontrolle ja MCI haigeid. Beeta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määramine aitab eristada AT ja mitte-AT haigeid. Aga beeta-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amlüoid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üksi ei ole </w:t>
      </w:r>
      <w:r w:rsidRPr="7F4137D3" w:rsidR="7F4137D3">
        <w:rPr>
          <w:rFonts w:ascii="Verdana" w:hAnsi="Verdana" w:eastAsia="Verdana" w:cs="Verdana"/>
          <w:sz w:val="18"/>
          <w:szCs w:val="18"/>
        </w:rPr>
        <w:t>piisav, et diagnoosida AT.</w:t>
      </w:r>
    </w:p>
    <w:p w:rsidR="7F4137D3" w:rsidP="7F4137D3" w:rsidRDefault="7F4137D3" w14:paraId="4560E5A2" w14:textId="2A893711">
      <w:pPr>
        <w:jc w:val="both"/>
        <w:rPr>
          <w:rFonts w:ascii="Verdana" w:hAnsi="Verdana" w:eastAsia="Verdana" w:cs="Verdana"/>
          <w:sz w:val="18"/>
          <w:szCs w:val="18"/>
        </w:rPr>
      </w:pPr>
    </w:p>
    <w:p xmlns:wp14="http://schemas.microsoft.com/office/word/2010/wordml" w:rsidRPr="002D065A" w:rsidR="003B0510" w:rsidP="7F4137D3" w:rsidRDefault="00042FF2" w14:paraId="69A9867F" wp14:textId="77777777">
      <w:pPr>
        <w:autoSpaceDE w:val="0"/>
        <w:autoSpaceDN w:val="0"/>
        <w:adjustRightInd w:val="0"/>
        <w:jc w:val="both"/>
        <w:rPr>
          <w:rFonts w:ascii="Verdana,ArialMT" w:hAnsi="Verdana,ArialMT" w:eastAsia="Verdana,ArialMT" w:cs="Verdana,ArialMT"/>
          <w:b w:val="1"/>
          <w:bCs w:val="1"/>
          <w:color w:val="000080"/>
          <w:sz w:val="18"/>
          <w:szCs w:val="18"/>
          <w:lang w:val="fi-FI" w:eastAsia="en-US"/>
        </w:rPr>
      </w:pPr>
      <w:proofErr w:type="spellStart"/>
      <w:r w:rsidRPr="7F4137D3" w:rsidR="7F4137D3">
        <w:rPr>
          <w:rFonts w:ascii="Verdana,ArialMT" w:hAnsi="Verdana,ArialMT" w:eastAsia="Verdana,ArialMT" w:cs="Verdana,ArialMT"/>
          <w:b w:val="1"/>
          <w:bCs w:val="1"/>
          <w:color w:val="000080"/>
          <w:sz w:val="18"/>
          <w:szCs w:val="18"/>
          <w:lang w:val="fi-FI" w:eastAsia="en-US"/>
        </w:rPr>
        <w:t>Viited</w:t>
      </w:r>
      <w:proofErr w:type="spellEnd"/>
    </w:p>
    <w:p xmlns:wp14="http://schemas.microsoft.com/office/word/2010/wordml" w:rsidRPr="002D065A" w:rsidR="003B0510" w:rsidP="003B0510" w:rsidRDefault="003B0510" w14:paraId="6D1776FC" wp14:textId="77777777">
      <w:pPr>
        <w:autoSpaceDE w:val="0"/>
        <w:autoSpaceDN w:val="0"/>
        <w:adjustRightInd w:val="0"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ook w:val="01E0" w:firstRow="1" w:lastRow="1" w:firstColumn="1" w:lastColumn="1" w:noHBand="0" w:noVBand="0"/>
        <w:tblCaption w:val=""/>
        <w:tblDescription w:val=""/>
      </w:tblPr>
      <w:tblGrid>
        <w:gridCol w:w="6192"/>
        <w:gridCol w:w="3096"/>
      </w:tblGrid>
      <w:tr xmlns:wp14="http://schemas.microsoft.com/office/word/2010/wordml" w:rsidRPr="00FE17E8" w:rsidR="00CE5B40" w:rsidTr="7F4137D3" w14:paraId="05A7E4B9" wp14:textId="77777777">
        <w:tc>
          <w:tcPr>
            <w:tcW w:w="6192" w:type="dxa"/>
            <w:shd w:val="clear" w:color="auto" w:fill="auto"/>
            <w:tcMar/>
          </w:tcPr>
          <w:p w:rsidRPr="002D065A" w:rsidR="00CE5B40" w:rsidP="7F4137D3" w:rsidRDefault="00042FF2" w14:paraId="5155F79B" wp14:textId="77777777">
            <w:pPr>
              <w:spacing w:before="75" w:after="225"/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</w:pP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Kokkuvõtte</w:t>
            </w:r>
            <w:proofErr w:type="spellEnd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(</w:t>
            </w: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abstract</w:t>
            </w:r>
            <w:proofErr w:type="spellEnd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või</w:t>
            </w:r>
            <w:proofErr w:type="spellEnd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kokkuvõtlikum</w:t>
            </w:r>
            <w:proofErr w:type="spellEnd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 xml:space="preserve"> info</w:t>
            </w:r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  <w:t>)</w:t>
            </w:r>
          </w:p>
        </w:tc>
        <w:tc>
          <w:tcPr>
            <w:tcW w:w="3096" w:type="dxa"/>
            <w:shd w:val="clear" w:color="auto" w:fill="auto"/>
            <w:tcMar/>
          </w:tcPr>
          <w:p w:rsidRPr="00832974" w:rsidR="00CE5B40" w:rsidP="7F4137D3" w:rsidRDefault="00042FF2" w14:paraId="0EEE1ED7" wp14:textId="77777777">
            <w:pPr>
              <w:spacing w:before="75" w:after="225"/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</w:pP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Viide</w:t>
            </w:r>
            <w:proofErr w:type="spellEnd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7F4137D3" w:rsidR="7F4137D3"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en-US"/>
              </w:rPr>
              <w:t>kirjandusallikale</w:t>
            </w:r>
            <w:proofErr w:type="spellEnd"/>
          </w:p>
        </w:tc>
      </w:tr>
      <w:tr xmlns:wp14="http://schemas.microsoft.com/office/word/2010/wordml" w:rsidRPr="00FE17E8" w:rsidR="00AC2F0F" w:rsidTr="7F4137D3" w14:paraId="0D7238BE" wp14:textId="77777777">
        <w:tc>
          <w:tcPr>
            <w:tcW w:w="6192" w:type="dxa"/>
            <w:shd w:val="clear" w:color="auto" w:fill="auto"/>
            <w:tcMar/>
          </w:tcPr>
          <w:p w:rsidRPr="000C3547" w:rsidR="00C709B0" w:rsidP="7F4137D3" w:rsidRDefault="00C709B0" w14:paraId="78CE2314" wp14:textId="56E7120E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i w:val="0"/>
                <w:iCs w:val="0"/>
                <w:color w:val="auto"/>
                <w:sz w:val="18"/>
                <w:szCs w:val="18"/>
              </w:rPr>
              <w:t>1.</w:t>
            </w:r>
            <w:r w:rsidRPr="7F4137D3" w:rsidR="7F4137D3">
              <w:rPr>
                <w:rFonts w:ascii="Verdana" w:hAnsi="Verdana" w:eastAsia="Verdana" w:cs="Verdana"/>
                <w:i w:val="0"/>
                <w:iCs w:val="0"/>
                <w:color w:val="auto"/>
                <w:sz w:val="18"/>
                <w:szCs w:val="18"/>
              </w:rPr>
              <w:t xml:space="preserve">Andmebaasid: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MEDLINE (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OvidSP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), EMBASE (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OvidSP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), BIOSIS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Previews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(ISI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Knowledge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Science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Conference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Proceedings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(ISI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Knowledge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PsycINFO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OvidSP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), and LILACS (BIREME).</w:t>
            </w:r>
          </w:p>
          <w:p w:rsidRPr="000C3547" w:rsidR="00C709B0" w:rsidP="7F4137D3" w:rsidRDefault="00C709B0" w14:paraId="4B65D38F" wp14:textId="17A5B0AF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confidence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(MCI)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raised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application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based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measures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cerebrospinal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(CSF)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imaging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tests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added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might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increase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sensitivity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specificity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testing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strategy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However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other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systematically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sensitivity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specificity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other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properties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plasma and 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amyloid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Aß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performed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0C3547" w:rsidR="00C709B0" w:rsidP="7F4137D3" w:rsidRDefault="00C709B0" w14:paraId="4C1A8420" wp14:textId="0759A17F">
            <w:pPr>
              <w:spacing w:before="0" w:beforeAutospacing="off" w:after="0" w:afterAutospacing="off"/>
              <w:rPr>
                <w:rFonts w:ascii="Verdana,Arial" w:hAnsi="Verdana,Arial" w:eastAsia="Verdana,Arial" w:cs="Verdana,Arial"/>
                <w:i w:val="1"/>
                <w:iCs w:val="1"/>
                <w:color w:val="000080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proposed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prodromal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MCI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although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still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debated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would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fulfilled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both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single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our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measure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low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Aß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has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very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little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benefit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likelihood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ratios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suggesting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only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marginal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quality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reports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also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poor,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thresholds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length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follow-up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inconsistent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conclude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applied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population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MCI,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Aß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cannot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recommended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accurate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test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diseas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Pr="00AC2F0F" w:rsidR="00AC2F0F" w:rsidP="7F4137D3" w:rsidRDefault="00AC2F0F" w14:paraId="3B26E8D7" wp14:textId="344E3E80">
            <w:pPr>
              <w:autoSpaceDE w:val="0"/>
              <w:autoSpaceDN w:val="0"/>
              <w:adjustRightInd w:val="0"/>
              <w:rPr>
                <w:rFonts w:ascii="Verdana,Arial" w:hAnsi="Verdana,Arial" w:eastAsia="Verdana,Arial" w:cs="Verdana,Arial"/>
                <w:b w:val="1"/>
                <w:bCs w:val="1"/>
                <w:color w:val="000080"/>
                <w:sz w:val="18"/>
                <w:szCs w:val="18"/>
                <w:lang w:val="fi-FI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b w:val="0"/>
                <w:bCs w:val="0"/>
                <w:color w:val="000080"/>
                <w:sz w:val="18"/>
                <w:szCs w:val="18"/>
                <w:u w:val="none"/>
              </w:rPr>
              <w:t>1.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Ritchie C,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. Plasma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cerebrospinal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amyloid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beta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other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dementias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people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(MCI).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Cochrane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Database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Reviews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2014,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Issue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6. Art. No.: CD008782</w:t>
            </w:r>
          </w:p>
        </w:tc>
      </w:tr>
      <w:tr xmlns:wp14="http://schemas.microsoft.com/office/word/2010/wordml" w:rsidRPr="00FE17E8" w:rsidR="000500F3" w:rsidTr="7F4137D3" w14:paraId="11639529" wp14:textId="77777777">
        <w:tc>
          <w:tcPr>
            <w:tcW w:w="6192" w:type="dxa"/>
            <w:shd w:val="clear" w:color="auto" w:fill="auto"/>
            <w:tcMar/>
          </w:tcPr>
          <w:p w:rsidRPr="00AC2F0F" w:rsidR="00002CA6" w:rsidP="7F4137D3" w:rsidRDefault="00002CA6" w14:paraId="3E93FE3E" wp14:textId="7154643D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2.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Andmebaasid: MEDLINE,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AC2F0F" w:rsidR="00002CA6" w:rsidP="7F4137D3" w:rsidRDefault="00002CA6" w14:paraId="207E361D" wp14:textId="6AD98622">
            <w:pPr>
              <w:rPr>
                <w:rFonts w:ascii="Verdana,Arial" w:hAnsi="Verdana,Arial" w:eastAsia="Verdana,Arial" w:cs="Verdana,Arial"/>
                <w:color w:val="000080"/>
                <w:sz w:val="18"/>
                <w:szCs w:val="18"/>
                <w:lang w:val="en-US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present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AD,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At present,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widely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cerebrospinal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(CSF),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phosphorylated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amyloid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-β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development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novel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measurement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techniques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improvements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understanding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regarding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mechanisms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underlying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aging-related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major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disorders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numerous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novel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various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aspects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neuropathology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explored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specific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measurements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Aβ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oligomer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monomer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forms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proteins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peripheral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plasma and CSF,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novel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synaptic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dysfunction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damage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apoptosis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alteration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neuroinflammation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blood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brain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barrier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dysfunction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oxidative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stress,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metabolites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mitochondrial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function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aberrant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lipid metabolism.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proposed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panels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useful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AD,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prediction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progression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stages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differentiation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combination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physical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frailty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present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surmised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also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fraility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(CF),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contribute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discovering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causes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informing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interventions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CF.</w:t>
            </w: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7F4137D3" w:rsidRDefault="000500F3" w14:paraId="7F4D53D7" wp14:textId="123EDC57">
            <w:pPr>
              <w:pStyle w:val="Normaallaad"/>
              <w:shd w:val="clear" w:color="auto" w:fill="FFFFFF" w:themeFill="background1"/>
              <w:ind w:right="240"/>
              <w:jc w:val="both"/>
              <w:rPr>
                <w:rFonts w:ascii="Verdana,ArialMT" w:hAnsi="Verdana,ArialMT" w:eastAsia="Verdana,ArialMT" w:cs="Verdana,ArialMT"/>
                <w:i w:val="0"/>
                <w:iCs w:val="0"/>
                <w:color w:val="auto"/>
                <w:sz w:val="18"/>
                <w:szCs w:val="18"/>
                <w:lang w:val="fi-FI" w:eastAsia="en-US"/>
              </w:rPr>
            </w:pPr>
            <w:r w:rsidRPr="7F4137D3" w:rsidR="7F4137D3">
              <w:rPr>
                <w:rFonts w:ascii="Verdana,ArialMT" w:hAnsi="Verdana,ArialMT" w:eastAsia="Verdana,ArialMT" w:cs="Verdana,ArialMT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fi-FI" w:eastAsia="en-US"/>
              </w:rPr>
              <w:t xml:space="preserve">2.Ruan, et al.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Potential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pathological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brain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changes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Alzheimer's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Implication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screening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frailty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MOLECULAR MEDICINE REPORTS 14: 3184-3198, 2016</w:t>
            </w:r>
          </w:p>
        </w:tc>
      </w:tr>
      <w:tr xmlns:wp14="http://schemas.microsoft.com/office/word/2010/wordml" w:rsidRPr="00FE17E8" w:rsidR="000500F3" w:rsidTr="7F4137D3" w14:paraId="2AC3BBDF" wp14:textId="77777777">
        <w:tc>
          <w:tcPr>
            <w:tcW w:w="6192" w:type="dxa"/>
            <w:shd w:val="clear" w:color="auto" w:fill="auto"/>
            <w:tcMar/>
          </w:tcPr>
          <w:p w:rsidRPr="00AC2F0F" w:rsidR="000500F3" w:rsidP="7F4137D3" w:rsidRDefault="000500F3" w14:paraId="7CFF0699" wp14:textId="03206579">
            <w:pPr>
              <w:rPr>
                <w:rFonts w:ascii="Verdana,Arial" w:hAnsi="Verdana,Arial" w:eastAsia="Verdana,Arial" w:cs="Verdana,Arial"/>
                <w:color w:val="000080"/>
                <w:sz w:val="18"/>
                <w:szCs w:val="18"/>
              </w:rPr>
            </w:pPr>
            <w:r w:rsidRPr="7F4137D3" w:rsidR="7F4137D3">
              <w:rPr>
                <w:rFonts w:ascii="Verdana,Arial" w:hAnsi="Verdana,Arial" w:eastAsia="Verdana,Arial" w:cs="Verdana,Arial"/>
                <w:color w:val="000080"/>
                <w:sz w:val="18"/>
                <w:szCs w:val="18"/>
              </w:rPr>
              <w:t xml:space="preserve">3. </w:t>
            </w:r>
            <w:r w:rsidRPr="7F4137D3" w:rsidR="7F4137D3">
              <w:rPr>
                <w:rFonts w:ascii="Verdana,Arial" w:hAnsi="Verdana,Arial" w:eastAsia="Verdana,Arial" w:cs="Verdana,Arial"/>
                <w:color w:val="auto"/>
                <w:sz w:val="18"/>
                <w:szCs w:val="18"/>
              </w:rPr>
              <w:t>Andmeba</w:t>
            </w:r>
            <w:r w:rsidRPr="7F4137D3" w:rsidR="7F4137D3">
              <w:rPr>
                <w:rFonts w:ascii="Verdana,Arial" w:hAnsi="Verdana,Arial" w:eastAsia="Verdana,Arial" w:cs="Verdana,Arial"/>
                <w:color w:val="auto"/>
                <w:sz w:val="18"/>
                <w:szCs w:val="18"/>
              </w:rPr>
              <w:t>asid</w:t>
            </w:r>
            <w:r w:rsidRPr="7F4137D3" w:rsidR="7F4137D3">
              <w:rPr>
                <w:rFonts w:ascii="Verdana,Arial" w:hAnsi="Verdana,Arial" w:eastAsia="Verdana,Arial" w:cs="Verdana,Arial"/>
                <w:color w:val="000080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Medline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Knowledge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PsychINFO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AC2F0F" w:rsidR="000500F3" w:rsidP="7F4137D3" w:rsidRDefault="000500F3" w14:paraId="1C69FB6D" wp14:textId="43620EB4">
            <w:pPr>
              <w:rPr>
                <w:rFonts w:ascii="Verdana,Arial" w:hAnsi="Verdana,Arial" w:eastAsia="Verdana,Arial" w:cs="Verdana,Arial"/>
                <w:color w:val="000080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Numerous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developed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help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making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event-related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potential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Given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possible</w:t>
            </w:r>
            <w:proofErr w:type="spellEnd"/>
          </w:p>
          <w:p w:rsidRPr="00AC2F0F" w:rsidR="000500F3" w:rsidP="00AC2F0F" w:rsidRDefault="000500F3" w14:paraId="5FD71520" wp14:textId="7D0E6331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need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</w:p>
          <w:p w:rsidRPr="00AC2F0F" w:rsidR="000500F3" w:rsidP="00AC2F0F" w:rsidRDefault="000500F3" w14:paraId="2877A0A9" wp14:textId="09343870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main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purpose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meta-analysis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meta-regression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characterize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probable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</w:p>
          <w:p w:rsidRPr="00AC2F0F" w:rsidR="000500F3" w:rsidP="00AC2F0F" w:rsidRDefault="000500F3" w14:paraId="4EB13292" wp14:textId="42BD634D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healthy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online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search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engines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identified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peer-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reviewed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articles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containing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measures</w:t>
            </w:r>
            <w:proofErr w:type="spellEnd"/>
          </w:p>
          <w:p w:rsidRPr="00AC2F0F" w:rsidR="000500F3" w:rsidP="00AC2F0F" w:rsidRDefault="000500F3" w14:paraId="7866EC2B" wp14:textId="2063C33A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P300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response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visual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auditory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oddball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stimulus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in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healthy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</w:p>
          <w:p w:rsidRPr="00AC2F0F" w:rsidR="000500F3" w:rsidP="00AC2F0F" w:rsidRDefault="000500F3" w14:paraId="423FD60D" wp14:textId="66A0ABA6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pooled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sizes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differences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obtain</w:t>
            </w:r>
            <w:proofErr w:type="spellEnd"/>
          </w:p>
          <w:p w:rsidRPr="00AC2F0F" w:rsidR="000500F3" w:rsidP="00AC2F0F" w:rsidRDefault="000500F3" w14:paraId="103E26D6" wp14:textId="420DE971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summary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sizes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also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meta-regression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determine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whether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sex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educational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attainment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</w:p>
          <w:p w:rsidRPr="00AC2F0F" w:rsidR="000500F3" w:rsidP="00AC2F0F" w:rsidRDefault="000500F3" w14:paraId="31CFD3DD" wp14:textId="7BDEB6E2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affected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Twenty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articles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containing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646</w:t>
            </w:r>
          </w:p>
          <w:p w:rsidRPr="00AC2F0F" w:rsidR="000500F3" w:rsidP="00AC2F0F" w:rsidRDefault="000500F3" w14:paraId="1A92014B" wp14:textId="266E84FB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exclusion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overall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size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all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electrode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locations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1.079 (95%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confidence</w:t>
            </w:r>
            <w:proofErr w:type="spellEnd"/>
          </w:p>
          <w:p w:rsidRPr="00AC2F0F" w:rsidR="000500F3" w:rsidP="7F4137D3" w:rsidRDefault="000500F3" w14:paraId="7BC0C42D" wp14:textId="03E43391">
            <w:pPr>
              <w:rPr>
                <w:rFonts w:ascii="Verdana,Arial" w:hAnsi="Verdana,Arial" w:eastAsia="Verdana,Arial" w:cs="Verdana,Arial"/>
                <w:color w:val="000080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interval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= 0.745-1.412, P &lt; .001).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pooled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sizes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Cz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Fz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Pz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locations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1.226 (P &lt; .001), 0.724 (P = .0007),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and 1.430 (P &lt; .001),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respectively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Meta-regression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showed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educational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attainment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but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no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sex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, P300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smaller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healthy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Pr="00AC2F0F" w:rsidR="000500F3" w:rsidP="7F4137D3" w:rsidRDefault="000500F3" w14:paraId="7C383147" wp14:textId="22540E53">
            <w:pPr>
              <w:pStyle w:val="Normaallaad"/>
              <w:shd w:val="clear" w:color="auto" w:fill="FFFFFF" w:themeFill="background1"/>
              <w:ind w:right="240"/>
              <w:jc w:val="both"/>
              <w:rPr>
                <w:rFonts w:ascii="Verdana,ArialMT" w:hAnsi="Verdana,ArialMT" w:eastAsia="Verdana,ArialMT" w:cs="Verdana,ArialMT"/>
                <w:i w:val="0"/>
                <w:iCs w:val="0"/>
                <w:color w:val="auto"/>
                <w:sz w:val="18"/>
                <w:szCs w:val="18"/>
                <w:lang w:val="fi-FI" w:eastAsia="en-US"/>
              </w:rPr>
            </w:pPr>
            <w:r w:rsidRPr="7F4137D3" w:rsidR="7F4137D3">
              <w:rPr>
                <w:rFonts w:ascii="Verdana,ArialMT" w:hAnsi="Verdana,ArialMT" w:eastAsia="Verdana,ArialMT" w:cs="Verdana,ArialMT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fi-FI" w:eastAsia="en-US"/>
              </w:rPr>
              <w:t>3.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Dawson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Hedges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P300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Amplitude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A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Meta-Analysis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Meta-Regression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EEG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Neuroscience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2016,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Vol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. 47(1) 48–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55</w:t>
            </w:r>
          </w:p>
        </w:tc>
      </w:tr>
      <w:tr xmlns:wp14="http://schemas.microsoft.com/office/word/2010/wordml" w:rsidRPr="00FE17E8" w:rsidR="00AC2F0F" w:rsidTr="7F4137D3" w14:paraId="07C787E9" wp14:textId="77777777">
        <w:tc>
          <w:tcPr>
            <w:tcW w:w="6192" w:type="dxa"/>
            <w:shd w:val="clear" w:color="auto" w:fill="auto"/>
            <w:tcMar/>
          </w:tcPr>
          <w:p w:rsidRPr="00185231" w:rsidR="00AC2F0F" w:rsidP="7F4137D3" w:rsidRDefault="00AC2F0F" w14:paraId="2ECDD827" wp14:textId="6889D5E9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 xml:space="preserve">4. Andmebaasid: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PsycINFO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Medline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Scopus</w:t>
            </w:r>
            <w:proofErr w:type="spellEnd"/>
          </w:p>
          <w:p w:rsidRPr="00185231" w:rsidR="00AC2F0F" w:rsidP="00002CA6" w:rsidRDefault="00AC2F0F" w14:paraId="1BA1E43B" wp14:textId="5C6877CF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Objectives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subcomponent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potential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neurophysiological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marker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deterioration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seen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(AD)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(MCI).</w:t>
            </w:r>
          </w:p>
          <w:p w:rsidRPr="00185231" w:rsidR="00AC2F0F" w:rsidP="00002CA6" w:rsidRDefault="00AC2F0F" w14:paraId="62CFF67F" wp14:textId="72343EE0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Methods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Standard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(SMD)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estimates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subcomponent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three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treatment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MCI,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unrelated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elderly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00002CA6" w:rsidRDefault="00AC2F0F" w14:paraId="46DA61A8" wp14:textId="403B27A8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significantly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prolonged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pooled SMD: 0.866 (95% CI: 0.517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1.214, z = 4.87, p &lt; 0.001).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MCI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significantly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prolonged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pooled SMD: 0.578 (95% CI: 0.213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0.943, z = 3.31,</w:t>
            </w:r>
          </w:p>
          <w:p w:rsidRPr="00185231" w:rsidR="00AC2F0F" w:rsidP="00002CA6" w:rsidRDefault="00AC2F0F" w14:paraId="4A820EDD" wp14:textId="72FB287E">
            <w:pPr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p = 0.002).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and MCI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similar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pooled SMD: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0.096 (95% CI: 0.261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0.453, z = 0.53, p = 0.598).</w:t>
            </w:r>
          </w:p>
          <w:p w:rsidRPr="00185231" w:rsidR="00AC2F0F" w:rsidP="00002CA6" w:rsidRDefault="00AC2F0F" w14:paraId="1C318D4E" wp14:textId="3BE35974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present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subcomponent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validate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previous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informative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indicator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information-processing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deterioration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7F4137D3" w:rsidRDefault="00AC2F0F" w14:paraId="47EDAC7A" wp14:textId="6A7E76BB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Significance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Clinically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measurements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N200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 risk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assessment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elderly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may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progressing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and/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7F4137D3" w:rsidRDefault="00AC2F0F" w14:paraId="27BAA4EE" wp14:textId="07677183">
            <w:pPr>
              <w:jc w:val="both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4.Aaron S.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Howe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Meta-analysis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endogenous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N200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latency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event-related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potential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subcomponent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>Neurophysiology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color w:val="auto"/>
                <w:sz w:val="18"/>
                <w:szCs w:val="18"/>
                <w:u w:val="none"/>
              </w:rPr>
              <w:t xml:space="preserve"> 125 (2014) 1145–1151</w:t>
            </w:r>
          </w:p>
        </w:tc>
      </w:tr>
      <w:tr xmlns:wp14="http://schemas.microsoft.com/office/word/2010/wordml" w:rsidRPr="00FE17E8" w:rsidR="00AC2F0F" w:rsidTr="7F4137D3" w14:paraId="620A3449" wp14:textId="77777777">
        <w:tc>
          <w:tcPr>
            <w:tcW w:w="6192" w:type="dxa"/>
            <w:shd w:val="clear" w:color="auto" w:fill="auto"/>
            <w:tcMar/>
          </w:tcPr>
          <w:p w:rsidRPr="00185231" w:rsidR="00AC2F0F" w:rsidP="7F4137D3" w:rsidRDefault="00AC2F0F" w14:paraId="5D8476AA" wp14:textId="5F53BBD4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color w:val="000080"/>
                <w:sz w:val="18"/>
                <w:szCs w:val="18"/>
              </w:rPr>
              <w:t>5.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(EOD)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characterized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by</w:t>
            </w:r>
            <w:proofErr w:type="spellEnd"/>
          </w:p>
          <w:p w:rsidRPr="00185231" w:rsidR="00AC2F0F" w:rsidP="7F4137D3" w:rsidRDefault="00AC2F0F" w14:paraId="218817CE" wp14:textId="12FA40AE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functionally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deterioration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memory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language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</w:t>
            </w:r>
          </w:p>
          <w:p w:rsidRPr="00185231" w:rsidR="00AC2F0F" w:rsidP="7F4137D3" w:rsidRDefault="00AC2F0F" w14:paraId="13B312AF" wp14:textId="2EF0A8FD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personality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visuospatial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skills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emerging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under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</w:t>
            </w:r>
          </w:p>
          <w:p w:rsidRPr="00185231" w:rsidR="00AC2F0F" w:rsidP="7F4137D3" w:rsidRDefault="00AC2F0F" w14:paraId="5D32C9C7" wp14:textId="1510EDCD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65.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Cerebral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functioning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visual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electroencephalography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(EEG)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interpretation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aim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this</w:t>
            </w:r>
            <w:proofErr w:type="spellEnd"/>
          </w:p>
          <w:p w:rsidRPr="00185231" w:rsidR="00AC2F0F" w:rsidP="7F4137D3" w:rsidRDefault="00AC2F0F" w14:paraId="033294D6" wp14:textId="0F304DFE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</w:t>
            </w:r>
          </w:p>
          <w:p w:rsidRPr="00185231" w:rsidR="00AC2F0F" w:rsidP="7F4137D3" w:rsidRDefault="00AC2F0F" w14:paraId="29F93ED6" wp14:textId="67E3576E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visual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in EOD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focusing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(AD),</w:t>
            </w:r>
          </w:p>
          <w:p w:rsidRPr="00185231" w:rsidR="00AC2F0F" w:rsidP="7F4137D3" w:rsidRDefault="00AC2F0F" w14:paraId="392E223E" wp14:textId="299CB531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vascular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(VAD),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Lewy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bodies</w:t>
            </w:r>
            <w:proofErr w:type="spellEnd"/>
          </w:p>
          <w:p w:rsidRPr="00185231" w:rsidR="00AC2F0F" w:rsidP="7F4137D3" w:rsidRDefault="00AC2F0F" w14:paraId="3F29CDF5" wp14:textId="5C3C0F5D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(DLB),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frontotemporal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(FTD).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Medline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Embase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</w:t>
            </w:r>
          </w:p>
          <w:p w:rsidRPr="00185231" w:rsidR="00AC2F0F" w:rsidP="7F4137D3" w:rsidRDefault="00AC2F0F" w14:paraId="16304F6B" wp14:textId="788B0B64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Scopus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Knowledge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Google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Scholar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Pr="00185231" w:rsidR="00AC2F0F" w:rsidP="7F4137D3" w:rsidRDefault="00AC2F0F" w14:paraId="68B7595C" wp14:textId="48FFACF5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systematically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searched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EEGs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Pr="00185231" w:rsidR="00AC2F0F" w:rsidP="7F4137D3" w:rsidRDefault="00AC2F0F" w14:paraId="49FC4520" wp14:textId="5CF2F446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included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</w:p>
          <w:p w:rsidRPr="00185231" w:rsidR="00AC2F0F" w:rsidP="7F4137D3" w:rsidRDefault="00AC2F0F" w14:paraId="505794ED" wp14:textId="1A28202D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under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65.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paper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quality</w:t>
            </w:r>
            <w:proofErr w:type="spellEnd"/>
          </w:p>
          <w:p w:rsidRPr="00185231" w:rsidR="00AC2F0F" w:rsidP="7F4137D3" w:rsidRDefault="00AC2F0F" w14:paraId="324C9653" wp14:textId="64D4561C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according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</w:p>
          <w:p w:rsidRPr="00185231" w:rsidR="00AC2F0F" w:rsidP="7F4137D3" w:rsidRDefault="00AC2F0F" w14:paraId="57830554" wp14:textId="327278AE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cause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narrative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summary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4,157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papers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Pr="00185231" w:rsidR="00AC2F0F" w:rsidP="7F4137D3" w:rsidRDefault="00AC2F0F" w14:paraId="79321470" wp14:textId="51F394C0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screened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12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eligibility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</w:t>
            </w:r>
          </w:p>
          <w:p w:rsidRPr="00185231" w:rsidR="00AC2F0F" w:rsidP="7F4137D3" w:rsidRDefault="00AC2F0F" w14:paraId="57355A2A" wp14:textId="02F44575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965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common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all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causes</w:t>
            </w:r>
            <w:proofErr w:type="spellEnd"/>
          </w:p>
          <w:p w:rsidRPr="00185231" w:rsidR="00AC2F0F" w:rsidP="7F4137D3" w:rsidRDefault="00AC2F0F" w14:paraId="04004899" wp14:textId="48D66CC8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of EOD.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early-onset</w:t>
            </w:r>
            <w:proofErr w:type="spellEnd"/>
          </w:p>
          <w:p w:rsidRPr="00185231" w:rsidR="00AC2F0F" w:rsidP="7F4137D3" w:rsidRDefault="00AC2F0F" w14:paraId="64710A53" wp14:textId="61DE5E0E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grade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independent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</w:p>
          <w:p w:rsidRPr="00185231" w:rsidR="00AC2F0F" w:rsidP="7F4137D3" w:rsidRDefault="00AC2F0F" w14:paraId="5D60FAAF" wp14:textId="73DAF3F6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duration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Slow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common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all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</w:t>
            </w:r>
          </w:p>
          <w:p w:rsidRPr="00185231" w:rsidR="00AC2F0F" w:rsidP="7F4137D3" w:rsidRDefault="00AC2F0F" w14:paraId="258BDC61" wp14:textId="2F437F16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but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most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prominent in DLB.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Frontal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intermittent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rhythmic</w:t>
            </w:r>
            <w:proofErr w:type="spellEnd"/>
          </w:p>
          <w:p w:rsidRPr="00185231" w:rsidR="00AC2F0F" w:rsidP="7F4137D3" w:rsidRDefault="00AC2F0F" w14:paraId="30FF9E80" wp14:textId="369DE31B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delta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could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considered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supportive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</w:p>
          <w:p w:rsidRPr="00185231" w:rsidR="00AC2F0F" w:rsidP="7F4137D3" w:rsidRDefault="00AC2F0F" w14:paraId="1138B5FA" wp14:textId="3BC747EB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DLB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Grand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over</w:t>
            </w:r>
            <w:proofErr w:type="spellEnd"/>
          </w:p>
          <w:p w:rsidRPr="00185231" w:rsidR="00AC2F0F" w:rsidP="7F4137D3" w:rsidRDefault="00AC2F0F" w14:paraId="1B71A7C1" wp14:textId="148D46AC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9.5.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usually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FTD.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changes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</w:p>
          <w:p w:rsidRPr="00185231" w:rsidR="00AC2F0F" w:rsidP="7F4137D3" w:rsidRDefault="00AC2F0F" w14:paraId="6BB703CA" wp14:textId="624A3464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seen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advanced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VAD.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employed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small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</w:t>
            </w:r>
            <w:proofErr w:type="spellEnd"/>
          </w:p>
          <w:p w:rsidRPr="00185231" w:rsidR="00AC2F0F" w:rsidP="7F4137D3" w:rsidRDefault="00AC2F0F" w14:paraId="789F3CBA" wp14:textId="799E9B46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varying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minority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</w:t>
            </w:r>
          </w:p>
          <w:p w:rsidRPr="00185231" w:rsidR="00AC2F0F" w:rsidP="7F4137D3" w:rsidRDefault="00AC2F0F" w14:paraId="1D273B5D" wp14:textId="1A02D774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pathologically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confirmed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may</w:t>
            </w:r>
            <w:proofErr w:type="spellEnd"/>
          </w:p>
          <w:p w:rsidRPr="00185231" w:rsidR="00AC2F0F" w:rsidP="7F4137D3" w:rsidRDefault="00AC2F0F" w14:paraId="5E83DB7C" wp14:textId="2641BD88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useful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adjunct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DLB and AD.</w:t>
            </w:r>
          </w:p>
          <w:p w:rsidRPr="00185231" w:rsidR="00AC2F0F" w:rsidP="7F4137D3" w:rsidRDefault="00AC2F0F" w14:paraId="6C3D29E2" wp14:textId="439AB967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Further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prospective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well-powered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are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required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</w:p>
          <w:p w:rsidRPr="00185231" w:rsidR="00AC2F0F" w:rsidP="7F4137D3" w:rsidRDefault="00AC2F0F" w14:paraId="5DB2FF4A" wp14:textId="7FAE0DA7">
            <w:pPr>
              <w:spacing w:before="0" w:beforeAutospacing="off" w:after="0" w:afterAutospacing="off"/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investigate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robustly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5F2D1411" w:rsidRDefault="00AC2F0F" w14:paraId="5AABD624" wp14:textId="35234C7A">
            <w:pPr>
              <w:pStyle w:val="Normaallaadveeb"/>
              <w:shd w:val="clear" w:color="auto" w:fill="FFFFFF" w:themeFill="background1"/>
              <w:spacing w:before="0" w:beforeAutospacing="off" w:after="0" w:afterAutospacing="off"/>
              <w:rPr>
                <w:rFonts w:ascii="Verdana" w:hAnsi="Verdana" w:eastAsia="Verdana" w:cs="Verdana"/>
                <w:color w:val="00008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7F4137D3" w:rsidRDefault="00AC2F0F" w14:paraId="5311471F" wp14:textId="022FA9F0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5.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Christina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Micanovic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EEG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early-onset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a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literature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narrative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analysis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J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Transm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(2014) 121:59–69</w:t>
            </w:r>
          </w:p>
        </w:tc>
      </w:tr>
      <w:tr xmlns:wp14="http://schemas.microsoft.com/office/word/2010/wordml" w:rsidRPr="00FE17E8" w:rsidR="00AC2F0F" w:rsidTr="7F4137D3" w14:paraId="504456DE" wp14:textId="77777777">
        <w:tc>
          <w:tcPr>
            <w:tcW w:w="6192" w:type="dxa"/>
            <w:shd w:val="clear" w:color="auto" w:fill="auto"/>
            <w:tcMar/>
          </w:tcPr>
          <w:p w:rsidRPr="00185231" w:rsidR="00AC2F0F" w:rsidP="7F4137D3" w:rsidRDefault="00AC2F0F" w14:paraId="434BC49B" wp14:textId="34992D94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>6.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Using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evidence-based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technique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searched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articles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</w:t>
            </w:r>
          </w:p>
          <w:p w:rsidRPr="00185231" w:rsidR="00AC2F0F" w:rsidP="00002CA6" w:rsidRDefault="00AC2F0F" w14:paraId="53A08B61" wp14:textId="0882B5E0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spontaneous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disorders</w:t>
            </w:r>
            <w:proofErr w:type="spellEnd"/>
          </w:p>
          <w:p w:rsidRPr="00185231" w:rsidR="00AC2F0F" w:rsidP="00002CA6" w:rsidRDefault="00AC2F0F" w14:paraId="0E7167CC" wp14:textId="12F50FC5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published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1980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until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June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2008.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original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article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published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English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10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according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established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consensus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"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gold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standard."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addition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should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possible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calculate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reported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indexes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test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sensitivity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specificity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likelihood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ratios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odds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ratios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Forty-six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articles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retrieved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satisfied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eligibility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criteria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7F4137D3" w:rsidRDefault="00AC2F0F" w14:paraId="6A4369D2" wp14:textId="34CEB716">
            <w:pPr>
              <w:rPr>
                <w:rFonts w:ascii="Verdana,SabonLTStd-Roman" w:hAnsi="Verdana,SabonLTStd-Roman" w:eastAsia="Verdana,SabonLTStd-Roman" w:cs="Verdana,SabonLTStd-Roman"/>
                <w:color w:val="000080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despite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wealth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published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</w:t>
            </w:r>
          </w:p>
          <w:p w:rsidRPr="00185231" w:rsidR="00AC2F0F" w:rsidP="00002CA6" w:rsidRDefault="00AC2F0F" w14:paraId="480B2582" wp14:textId="5AAE9A00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reported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high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indexes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EEG,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qEEG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</w:t>
            </w:r>
          </w:p>
          <w:p w:rsidRPr="00185231" w:rsidR="00AC2F0F" w:rsidP="00002CA6" w:rsidRDefault="00AC2F0F" w14:paraId="07C0267C" wp14:textId="3A1B372D">
            <w:pPr/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particular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individual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evidence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resting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EEG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(MCI)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still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not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sufficient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establish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method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initial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evaluation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routine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practice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Joint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effort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preferably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multicenter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uniform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standards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should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develop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optimized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methods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investigate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added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value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EEG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established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predictive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EEG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in MCI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questionable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Pr="00185231" w:rsidR="00AC2F0F" w:rsidP="5F2D1411" w:rsidRDefault="00AC2F0F" w14:paraId="5A8BA244" wp14:textId="5BB79AF9">
            <w:pPr>
              <w:pStyle w:val="Normaallaad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Pr="00185231" w:rsidR="00AC2F0F" w:rsidP="7F4137D3" w:rsidRDefault="00AC2F0F" w14:paraId="00F2EC86" wp14:textId="2DCF094D">
            <w:pPr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6.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Vesna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Jelic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Evide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ce-Based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Eva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u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on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iag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ost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Accu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racy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of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Resting EEG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CLINICAL EEG and NEUROSCIENCE.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2009VOL 40N0 2</w:t>
            </w:r>
          </w:p>
        </w:tc>
      </w:tr>
      <w:tr w:rsidR="5F2D1411" w:rsidTr="7F4137D3" w14:paraId="1C59247A">
        <w:tc>
          <w:tcPr>
            <w:tcW w:w="6192" w:type="dxa"/>
            <w:shd w:val="clear" w:color="auto" w:fill="auto"/>
            <w:tcMar/>
          </w:tcPr>
          <w:p w:rsidR="5F2D1411" w:rsidP="7F4137D3" w:rsidRDefault="5F2D1411" w14:paraId="1FD4AB84" w14:textId="59261B05">
            <w:pPr>
              <w:pStyle w:val="Normaallaad"/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>7.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Objective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differences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</w:t>
            </w:r>
          </w:p>
          <w:p w:rsidR="5F2D1411" w:rsidRDefault="5F2D1411" w14:paraId="43FC29B6" w14:textId="7CD69E15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electroencephalography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(EEG)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</w:p>
          <w:p w:rsidR="5F2D1411" w:rsidRDefault="5F2D1411" w14:paraId="4DADB349" w14:textId="41515BFB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(AD)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</w:p>
          <w:p w:rsidR="5F2D1411" w:rsidRDefault="5F2D1411" w14:paraId="59F4DC98" w14:textId="37A7D967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influence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APOE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genotype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this</w:t>
            </w:r>
            <w:proofErr w:type="spellEnd"/>
          </w:p>
          <w:p w:rsidR="5F2D1411" w:rsidRDefault="5F2D1411" w14:paraId="3F28860E" w14:textId="5467FB6A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in order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understand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biological</w:t>
            </w:r>
            <w:proofErr w:type="spellEnd"/>
          </w:p>
          <w:p w:rsidR="5F2D1411" w:rsidRDefault="5F2D1411" w14:paraId="2F675D03" w14:textId="00360157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differences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according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</w:p>
          <w:p w:rsidR="5F2D1411" w:rsidRDefault="5F2D1411" w14:paraId="6057CFD2" w14:textId="2129676C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Method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460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probable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336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</w:p>
          <w:p w:rsidR="5F2D1411" w:rsidRDefault="5F2D1411" w14:paraId="132FE5B9" w14:textId="591EA432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complaints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serving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 EEG and</w:t>
            </w:r>
          </w:p>
          <w:p w:rsidR="5F2D1411" w:rsidRDefault="5F2D1411" w14:paraId="36B81E63" w14:textId="5157C0BE"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APOE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genotype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obtained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="5F2D1411" w:rsidRDefault="5F2D1411" w14:paraId="7C126E88" w14:textId="0C455DD0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categorised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younger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(#65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years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an</w:t>
            </w:r>
            <w:proofErr w:type="spellEnd"/>
          </w:p>
          <w:p w:rsidR="5F2D1411" w:rsidRDefault="5F2D1411" w14:paraId="325599DD" w14:textId="015A7D66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older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group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(&gt;65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years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),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based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5F2D1411" w:rsidRDefault="5F2D1411" w14:paraId="3D69EAF6" w14:textId="3CE9103B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visually</w:t>
            </w:r>
            <w:proofErr w:type="spellEnd"/>
          </w:p>
          <w:p w:rsidR="5F2D1411" w:rsidRDefault="5F2D1411" w14:paraId="7C0B0474" w14:textId="59529A24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ranged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</w:p>
          <w:p w:rsidR="5F2D1411" w:rsidRDefault="5F2D1411" w14:paraId="0EC3947F" w14:textId="5EEB605C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slightly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moderately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 EEG</w:t>
            </w:r>
          </w:p>
          <w:p w:rsidR="5F2D1411" w:rsidRDefault="5F2D1411" w14:paraId="143C070F" w14:textId="3468CA18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characterised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focal</w:t>
            </w:r>
            <w:proofErr w:type="spellEnd"/>
          </w:p>
          <w:p w:rsidR="5F2D1411" w:rsidRDefault="5F2D1411" w14:paraId="36B4AB78" w14:textId="60352FE7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diffuse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both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focal</w:t>
            </w:r>
            <w:proofErr w:type="spellEnd"/>
          </w:p>
          <w:p w:rsidR="5F2D1411" w:rsidRDefault="5F2D1411" w14:paraId="6FDD1A59" w14:textId="7EDFB424"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diffuse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5F2D1411" w:rsidRDefault="5F2D1411" w14:paraId="4360406A" w14:textId="538F91AA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Logistic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regression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revealed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younger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</w:t>
            </w:r>
          </w:p>
          <w:p w:rsidR="5F2D1411" w:rsidRDefault="5F2D1411" w14:paraId="404FE2C7" w14:textId="6CA744BD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often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which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="5F2D1411" w:rsidRDefault="5F2D1411" w14:paraId="69B82FCC" w14:textId="0E12DC06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predominance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both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</w:t>
            </w:r>
          </w:p>
          <w:p w:rsidR="5F2D1411" w:rsidRDefault="5F2D1411" w14:paraId="3817ADA6" w14:textId="0D5F8D1E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diffuse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observed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</w:p>
          <w:p w:rsidR="5F2D1411" w:rsidRDefault="5F2D1411" w14:paraId="6216526B" w14:textId="6C18873A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opposite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older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often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</w:t>
            </w:r>
          </w:p>
          <w:p w:rsidR="5F2D1411" w:rsidRDefault="5F2D1411" w14:paraId="30A29F3C" w14:textId="4372D08D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younger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Furthermore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 APOE</w:t>
            </w:r>
          </w:p>
          <w:p w:rsidR="5F2D1411" w:rsidRDefault="5F2D1411" w14:paraId="54FFF8E5" w14:textId="348073D0"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34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negative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</w:t>
            </w:r>
          </w:p>
          <w:p w:rsidR="5F2D1411" w:rsidRDefault="5F2D1411" w14:paraId="241E8353" w14:textId="6C0B1FED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APOE 34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positive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while</w:t>
            </w:r>
            <w:proofErr w:type="spellEnd"/>
          </w:p>
          <w:p w:rsidR="5F2D1411" w:rsidRDefault="5F2D1411" w14:paraId="7F979DD2" w14:textId="14C38A58"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no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observed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no</w:t>
            </w:r>
          </w:p>
          <w:p w:rsidR="5F2D1411" w:rsidRDefault="5F2D1411" w14:paraId="7B3BF733" w14:textId="78400637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interaction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between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age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APOE 34</w:t>
            </w:r>
          </w:p>
          <w:p w:rsidR="5F2D1411" w:rsidRDefault="5F2D1411" w14:paraId="411208C0" w14:textId="228C3725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genotype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5F2D1411" w:rsidRDefault="5F2D1411" w14:paraId="3E56F6F1" w14:textId="297D3BB7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Conclusion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APOE 34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negative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</w:t>
            </w:r>
          </w:p>
          <w:p w:rsidR="5F2D1411" w:rsidRDefault="5F2D1411" w14:paraId="1C69C46A" w14:textId="489F4AED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present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severe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EEG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abnormalities</w:t>
            </w:r>
            <w:proofErr w:type="spellEnd"/>
          </w:p>
          <w:p w:rsidR="5F2D1411" w:rsidRDefault="5F2D1411" w14:paraId="44D93E78" w14:textId="07D922B5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APOE 34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positive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These</w:t>
            </w:r>
            <w:proofErr w:type="spellEnd"/>
          </w:p>
          <w:p w:rsidR="5F2D1411" w:rsidRDefault="5F2D1411" w14:paraId="4282103E" w14:textId="3EB5AD85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results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suggest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younger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patients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manifests</w:t>
            </w:r>
            <w:proofErr w:type="spellEnd"/>
          </w:p>
          <w:p w:rsidR="5F2D1411" w:rsidRDefault="5F2D1411" w14:paraId="307D3BCC" w14:textId="622034F5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prominent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functional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brain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changes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5F2D1411" w:rsidP="5F2D1411" w:rsidRDefault="5F2D1411" w14:paraId="0A92ED33" w14:textId="1D7F9A49">
            <w:pPr>
              <w:pStyle w:val="Normaallaad"/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auto"/>
            <w:tcMar/>
          </w:tcPr>
          <w:p w:rsidR="5F2D1411" w:rsidP="7F4137D3" w:rsidRDefault="5F2D1411" w14:paraId="678DAEC8" w14:textId="079D3DFC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7.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Hanneke de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Waal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EEG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abnormalities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early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late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onset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understanding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heterogeneity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J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Neurosurg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Psychiatry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2011;82:67e71</w:t>
            </w:r>
          </w:p>
        </w:tc>
      </w:tr>
      <w:tr w:rsidR="5F2D1411" w:rsidTr="7F4137D3" w14:paraId="04F49D23">
        <w:tc>
          <w:tcPr>
            <w:tcW w:w="6192" w:type="dxa"/>
            <w:shd w:val="clear" w:color="auto" w:fill="auto"/>
            <w:tcMar/>
          </w:tcPr>
          <w:p w:rsidR="5F2D1411" w:rsidP="7F4137D3" w:rsidRDefault="5F2D1411" w14:paraId="750971A7" w14:textId="46DFC30B">
            <w:pPr>
              <w:pStyle w:val="Normaallaad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 xml:space="preserve">8. Andmebaasid: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PubMed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Web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Science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5F2D1411" w:rsidRDefault="5F2D1411" w14:paraId="06F9F34A" w14:textId="33461884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neurodegeneration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(T-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P-tau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 and Aβ42), CSF NFL, and plasma T-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</w:p>
          <w:p w:rsidR="5F2D1411" w:rsidRDefault="5F2D1411" w14:paraId="32FBAEFF" w14:textId="09C2FC82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strongly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strongly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</w:p>
          <w:p w:rsidR="5F2D1411" w:rsidRDefault="5F2D1411" w14:paraId="6161CF23" w14:textId="224F03B4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Emerging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NSE, VLP-1, HFABP, and YKL-40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</w:p>
          <w:p w:rsidR="5F2D1411" w:rsidRDefault="5F2D1411" w14:paraId="5FC13488" w14:textId="3994EA8B"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moderately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associated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whereas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plasma Aβ42 and Aβ40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Due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their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consistency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</w:t>
            </w:r>
          </w:p>
          <w:p w:rsidR="5F2D1411" w:rsidRDefault="5F2D1411" w14:paraId="10DC063C" w14:textId="0BC9B00C"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P-tau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Aβ42, and NFL in CSF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should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practice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clinical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research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="5F2D1411" w:rsidP="7F4137D3" w:rsidRDefault="5F2D1411" w14:paraId="18733F4D" w14:textId="70E8A360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8.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Olsson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CSF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blood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: a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meta-analysis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Lancet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Neurol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2016; 15: 673–84</w:t>
            </w:r>
          </w:p>
        </w:tc>
      </w:tr>
      <w:tr w:rsidR="6A9DDCFF" w:rsidTr="7F4137D3" w14:paraId="7E75547D">
        <w:tc>
          <w:tcPr>
            <w:tcW w:w="6192" w:type="dxa"/>
            <w:shd w:val="clear" w:color="auto" w:fill="auto"/>
            <w:tcMar/>
          </w:tcPr>
          <w:p w:rsidR="6A9DDCFF" w:rsidP="7F4137D3" w:rsidRDefault="6A9DDCFF" w14:paraId="10D350F3" w14:textId="799EF094">
            <w:pPr>
              <w:pStyle w:val="Normaallaad"/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</w:pP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>9. Andmebaasid</w:t>
            </w:r>
            <w:r w:rsidRPr="7F4137D3" w:rsidR="7F4137D3"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  <w:t xml:space="preserve">: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Korea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international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databases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including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-MEDLINE, EMBASE,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Cochrane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Library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6A9DDCFF" w:rsidP="7F4137D3" w:rsidRDefault="6A9DDCFF" w14:paraId="6B19F736" w14:textId="39D792A2">
            <w:pPr>
              <w:rPr>
                <w:rFonts w:ascii="Verdana" w:hAnsi="Verdana" w:eastAsia="Verdana" w:cs="Verdana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purpose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carry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out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literature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metaanalysis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cerebrospinal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(CSF)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42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amino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acid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amyloid-beta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(Aβ1–42)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differentiating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(AD)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from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  <w:p w:rsidR="6A9DDCFF" w:rsidP="7F4137D3" w:rsidRDefault="6A9DDCFF" w14:paraId="550D3169" w14:textId="0FA26E8C">
            <w:pPr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A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total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17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evaluation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identified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which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CSF Aβ1–42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assessed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Meta-analysis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performed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on 11 robust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confirmed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(n = 2211)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healthy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individuals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(n = 1030), 10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(n = 627), and 5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studies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that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amnestic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mild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cognitive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impairment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(n = 1133)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with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non-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amnestic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type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subjects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(n = 1276).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Overall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CSF Aβ1–42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were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reduced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AD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compared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to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dementia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effectiveness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of 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test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(pooled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sensitivity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0.80 (95% CI 0.78–0.82); pooled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specificity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, 0.76 (95% CI 0.74–0.78).</w:t>
            </w:r>
          </w:p>
          <w:p w:rsidR="6A9DDCFF" w:rsidP="7F4137D3" w:rsidRDefault="6A9DDCFF" w14:paraId="59881F95" w14:textId="13027611">
            <w:pPr>
              <w:rPr>
                <w:rFonts w:ascii="Verdana,SabonLTStd-Roman" w:hAnsi="Verdana,SabonLTStd-Roman" w:eastAsia="Verdana,SabonLTStd-Roman" w:cs="Verdana,SabonLTStd-Roman"/>
                <w:color w:val="auto"/>
                <w:sz w:val="18"/>
                <w:szCs w:val="18"/>
              </w:rPr>
            </w:pP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Reduced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CSF Aβ1–42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are of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potential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utility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differential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of AD versus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dementias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  <w:u w:val="single"/>
              </w:rPr>
              <w:t>.</w:t>
            </w:r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Diagnostic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accuracy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was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high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in AD versus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healthy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controls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However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,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differential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for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MCI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non-AD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might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be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evaluated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by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other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biomarkers</w:t>
            </w:r>
            <w:proofErr w:type="spellEnd"/>
            <w:r w:rsidRPr="7F4137D3" w:rsidR="7F4137D3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3096" w:type="dxa"/>
            <w:shd w:val="clear" w:color="auto" w:fill="auto"/>
            <w:tcMar/>
          </w:tcPr>
          <w:p w:rsidR="6A9DDCFF" w:rsidP="7F4137D3" w:rsidRDefault="6A9DDCFF" w14:paraId="047F09F9" w14:textId="45B15F70">
            <w:pPr>
              <w:pStyle w:val="Normaallaad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9.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Jin-A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Mo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, et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Cerebrospinal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Fluid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β-Amyloid1–42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Levels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in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the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Differential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Diagnosis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of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Alzheimer’s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Disease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—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Systematic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Review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and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Meta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-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Analysis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. </w:t>
            </w:r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PLOS ONE | DOI:10.1371/journal.pone.0116802 </w:t>
            </w:r>
            <w:proofErr w:type="spellStart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>February</w:t>
            </w:r>
            <w:proofErr w:type="spellEnd"/>
            <w:r w:rsidRPr="7F4137D3" w:rsidR="7F4137D3">
              <w:rPr>
                <w:rFonts w:ascii="Verdana" w:hAnsi="Verdana" w:eastAsia="Verdana" w:cs="Verdana"/>
                <w:b w:val="0"/>
                <w:bCs w:val="0"/>
                <w:sz w:val="18"/>
                <w:szCs w:val="18"/>
                <w:u w:val="none"/>
              </w:rPr>
              <w:t xml:space="preserve"> 24, 2015</w:t>
            </w:r>
          </w:p>
        </w:tc>
      </w:tr>
    </w:tbl>
    <w:p xmlns:wp14="http://schemas.microsoft.com/office/word/2010/wordml" w:rsidR="003B0510" w:rsidP="7F4137D3" w:rsidRDefault="003B0510" w14:paraId="02B10633" wp14:textId="63AC34A8">
      <w:pPr>
        <w:rPr>
          <w:lang w:val="en-US"/>
        </w:rPr>
      </w:pPr>
    </w:p>
    <w:p xmlns:wp14="http://schemas.microsoft.com/office/word/2010/wordml" w:rsidR="002D065A" w:rsidP="003E1B67" w:rsidRDefault="002D065A" w14:paraId="6BF79894" wp14:textId="77777777">
      <w:pPr>
        <w:rPr>
          <w:lang w:val="en-US"/>
        </w:rPr>
      </w:pPr>
    </w:p>
    <w:p xmlns:wp14="http://schemas.microsoft.com/office/word/2010/wordml" w:rsidRPr="002D065A" w:rsidR="002D065A" w:rsidP="074AD569" w:rsidRDefault="002D065A" w14:paraId="69DC4225" wp14:noSpellErr="1" wp14:textId="1F2FC6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ind/>
        <w:jc w:val="both"/>
        <w:rPr>
          <w:rFonts w:ascii="Verdana" w:hAnsi="Verdana" w:cs="ArialMT"/>
          <w:color w:val="000080"/>
          <w:sz w:val="18"/>
          <w:szCs w:val="18"/>
          <w:lang w:val="fi-FI" w:eastAsia="en-US"/>
        </w:rPr>
      </w:pPr>
      <w:proofErr w:type="spellStart"/>
      <w:r w:rsidRPr="074AD569" w:rsidR="074AD569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Ravijuhendid</w:t>
      </w:r>
      <w:proofErr w:type="spellEnd"/>
      <w:proofErr w:type="spellStart"/>
      <w:proofErr w:type="spellEnd"/>
      <w:proofErr w:type="spellStart"/>
      <w:proofErr w:type="spellEnd"/>
    </w:p>
    <w:p xmlns:wp14="http://schemas.microsoft.com/office/word/2010/wordml" w:rsidRPr="00FE17E8" w:rsidR="002D065A" w:rsidP="7F4137D3" w:rsidRDefault="002D065A" w14:paraId="35CF3AC0" wp14:textId="63A4DDC1">
      <w:pPr>
        <w:pStyle w:val="Normaallaad"/>
        <w:ind w:left="0"/>
        <w:jc w:val="both"/>
        <w:rPr>
          <w:lang w:val="en-US"/>
        </w:rPr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1.EFNS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diagnosis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management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Alzheimer's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. J.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Horta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J. T.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OBrienb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G.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Gainottic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T.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Pirttilad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,, B. O.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Popescue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I.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Rektorovaf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, S.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Sorbig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P.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Scheltensh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behalf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EFNS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Scientist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Panel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</w:t>
      </w:r>
      <w:proofErr w:type="spellEnd"/>
    </w:p>
    <w:p w:rsidR="074AD569" w:rsidP="69672B24" w:rsidRDefault="074AD569" w14:paraId="5422527D" w14:textId="3BE8AE12">
      <w:pPr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Elektoentsefalograafia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 xml:space="preserve"> (EEG)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- võib aidata diferentseerida AT, subjektiivseid kaebusi ja psühhiaatrilisi haigusi. Soovitatud atüüpilise kliinilise pildiga AT korral. EEG võib anda infot varajase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Creutzwald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-Jacobi tõve (CJD),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toksilis-metaboolse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häire, võimaliku epileptilise </w:t>
      </w:r>
      <w:r w:rsidRPr="7F4137D3" w:rsidR="7F4137D3">
        <w:rPr>
          <w:rFonts w:ascii="Verdana" w:hAnsi="Verdana" w:eastAsia="Verdana" w:cs="Verdana"/>
          <w:sz w:val="18"/>
          <w:szCs w:val="18"/>
        </w:rPr>
        <w:t>amnee</w:t>
      </w:r>
      <w:r w:rsidRPr="7F4137D3" w:rsidR="7F4137D3">
        <w:rPr>
          <w:rFonts w:ascii="Verdana" w:hAnsi="Verdana" w:eastAsia="Verdana" w:cs="Verdana"/>
          <w:sz w:val="18"/>
          <w:szCs w:val="18"/>
        </w:rPr>
        <w:t>s</w:t>
      </w:r>
      <w:r w:rsidRPr="7F4137D3" w:rsidR="7F4137D3">
        <w:rPr>
          <w:rFonts w:ascii="Verdana" w:hAnsi="Verdana" w:eastAsia="Verdana" w:cs="Verdana"/>
          <w:sz w:val="18"/>
          <w:szCs w:val="18"/>
        </w:rPr>
        <w:t>ia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või muu haiguse korral. AT haigetele on iseloomulik: vähenenud alfa laine, tõusnud teeta lained ja madalam keskmine sagedus. EEG võib olla normaalne kuni 14% AT haigetest.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KUi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EEG-s ainult difuussed muutused, siis see on pigem diagnoosi vastu.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KUi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esinevad nii difuussed kui  ka fokaalsed nähud - AT või mõni muu dementsus. </w:t>
      </w:r>
    </w:p>
    <w:p w:rsidR="074AD569" w:rsidP="074AD569" w:rsidRDefault="074AD569" w14:paraId="32E3BBAC" w14:textId="3BE00DE5">
      <w:pPr>
        <w:pStyle w:val="Normaallaad"/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Soovitus: </w:t>
      </w:r>
      <w:r w:rsidRPr="7F4137D3" w:rsidR="7F4137D3">
        <w:rPr>
          <w:rFonts w:ascii="Verdana" w:hAnsi="Verdana" w:eastAsia="Verdana" w:cs="Verdana"/>
          <w:sz w:val="18"/>
          <w:szCs w:val="18"/>
          <w:u w:val="none"/>
        </w:rPr>
        <w:t xml:space="preserve">EEG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  <w:u w:val="none"/>
        </w:rPr>
        <w:t>i</w:t>
      </w:r>
      <w:r w:rsidRPr="7F4137D3" w:rsidR="7F4137D3">
        <w:rPr>
          <w:rFonts w:ascii="Verdana" w:hAnsi="Verdana" w:eastAsia="Verdana" w:cs="Verdana"/>
          <w:sz w:val="18"/>
          <w:szCs w:val="18"/>
        </w:rPr>
        <w:t>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recommended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differential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diagnosis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atypical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clinical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presentations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AD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good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practice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point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) and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when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CJD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transient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epileptic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amnesia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suspected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Level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B).</w:t>
      </w:r>
    </w:p>
    <w:p w:rsidR="074AD569" w:rsidP="69672B24" w:rsidRDefault="074AD569" w14:paraId="7E318EB8" w14:textId="33C6F171">
      <w:pPr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 xml:space="preserve"> analüüs (</w:t>
      </w:r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  <w:u w:val="single"/>
        </w:rPr>
        <w:t xml:space="preserve">CSF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  <w:u w:val="single"/>
        </w:rPr>
        <w:t>analysis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)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-Juhul, kui kahtlustatakse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vaskuliiti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põletikulist,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hematoloogilist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või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demüeliniseerivat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haigust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võui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CJD – on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uuring vajalik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pleotsütoos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valk, glükoos, valgu elektroforees).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AT korral on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langenud beeta-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42 tase (Ab42), samas kui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-valgu või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fosfo-tau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hulk on tihti tõusnud. Ab42 sensitiivsus 86%, spetsiifilisus 90%;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-valgu sensitiivsus 81%, spetsiifilisus 90%. Probleemiks on </w:t>
      </w:r>
      <w:r w:rsidRPr="7F4137D3" w:rsidR="7F4137D3">
        <w:rPr>
          <w:rFonts w:ascii="Verdana" w:hAnsi="Verdana" w:eastAsia="Verdana" w:cs="Verdana"/>
          <w:sz w:val="18"/>
          <w:szCs w:val="18"/>
        </w:rPr>
        <w:t>suur varieeruvus laborite vahel, mistõttu hetkel ei ole CSF hindamine usaldusväärne vahend.</w:t>
      </w:r>
    </w:p>
    <w:p w:rsidR="074AD569" w:rsidP="69672B24" w:rsidRDefault="074AD569" w14:paraId="759B06E3" w14:textId="108B9AF7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Soovitus: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Routine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CSF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analysis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recommended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differential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diagnosis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atypical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clinical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presentations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AD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good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practice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point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). CSF 14-3-3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total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measurement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are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recommended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the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identification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CJD in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rapidly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progressive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Level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B).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Alterations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in CSF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total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phospho-tau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and Ab42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support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diagnosis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AD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Level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B).</w:t>
      </w:r>
    </w:p>
    <w:p w:rsidR="074AD569" w:rsidP="69672B24" w:rsidRDefault="074AD569" w14:paraId="228E8A0E" w14:textId="6F9B8811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Geneetiline testimine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– Seotud paljude eetiliste aspektidega. APP, PS1 ja PS2 geeni mutatsioonid seletavad 50% perekondlikest varase algusega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AT-st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ApoE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4 alleel on ainuke geneetiline faktor, mis on seotud hilise algusega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AT-ga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aga see ei pruugi tähendada tingimata haiguse avaldumist. Seetõttu ei ole alust soovitada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Apo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E4 testimist.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Presümptomaatiline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testimine perekondliku dementsuse korral tuleks läbi viia vaid patsiendi soovil ja spetsialiseeritud keskustes. Võib jälgida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Huntingtoni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tõve protokolli. </w:t>
      </w:r>
    </w:p>
    <w:p w:rsidR="074AD569" w:rsidP="69672B24" w:rsidRDefault="074AD569" w14:paraId="05B2D217" w14:textId="7D860968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Soovitus: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Screening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known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pathogenic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mutations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can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undertaken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in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patients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with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appropriate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phenotype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family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history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autosomal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dominant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dementia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Routine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Apo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genotyping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not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recommended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.</w:t>
      </w:r>
    </w:p>
    <w:p w:rsidR="074AD569" w:rsidP="074AD569" w:rsidRDefault="074AD569" w14:paraId="20B7AA5C" w14:textId="4CAADD9C">
      <w:pPr>
        <w:pStyle w:val="Normaallaad"/>
        <w:jc w:val="both"/>
      </w:pPr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Teised uuringud: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Enamasti kliinilistes uuringutes, igapäevapraktik</w:t>
      </w:r>
      <w:r w:rsidRPr="7F4137D3" w:rsidR="7F4137D3">
        <w:rPr>
          <w:rFonts w:ascii="Verdana" w:hAnsi="Verdana" w:eastAsia="Verdana" w:cs="Verdana"/>
          <w:sz w:val="18"/>
          <w:szCs w:val="18"/>
        </w:rPr>
        <w:t>as ei kasutata</w:t>
      </w:r>
      <w:r w:rsidRPr="7F4137D3" w:rsidR="7F4137D3">
        <w:rPr>
          <w:rFonts w:ascii="Verdana" w:hAnsi="Verdana" w:eastAsia="Verdana" w:cs="Verdana"/>
          <w:sz w:val="18"/>
          <w:szCs w:val="18"/>
        </w:rPr>
        <w:t>. Mitte-närvikoe uurimine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fibroblastid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trombotsüüdud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vaskulaarne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epiteel) - analüüsitakse DNA kahjustust ja parandamise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mehanisme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autofaagiat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oksüdatiivset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stressi, ioonkanaleid,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intratsellulaarset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Ca regulatsiooni jne. Naha ja lihasbiopsia – diagnoosimaks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tserebraals</w:t>
      </w:r>
      <w:r w:rsidRPr="7F4137D3" w:rsidR="7F4137D3">
        <w:rPr>
          <w:rFonts w:ascii="Verdana" w:hAnsi="Verdana" w:eastAsia="Verdana" w:cs="Verdana"/>
          <w:sz w:val="18"/>
          <w:szCs w:val="18"/>
        </w:rPr>
        <w:t>et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autosoom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-dominants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et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arteriopaatiat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koos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subkortikaalsete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infarktide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leukoentsefalopaatiaga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(CADASIL -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cerebral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autosomal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dominant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arteriopathy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with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subcortical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infarcts</w:t>
      </w:r>
      <w:proofErr w:type="spellEnd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i w:val="1"/>
          <w:iCs w:val="1"/>
          <w:sz w:val="18"/>
          <w:szCs w:val="18"/>
        </w:rPr>
        <w:t>leukoencephalopathy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)</w:t>
      </w:r>
      <w:r w:rsidRPr="7F4137D3" w:rsidR="7F4137D3">
        <w:rPr>
          <w:rFonts w:ascii="Verdana" w:hAnsi="Verdana" w:eastAsia="Verdana" w:cs="Verdana"/>
          <w:sz w:val="18"/>
          <w:szCs w:val="18"/>
        </w:rPr>
        <w:t>. Ajubiopsia – potentsiaalselt ravitava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dementsuse kahtlusel (I</w:t>
      </w:r>
      <w:r w:rsidRPr="7F4137D3" w:rsidR="7F4137D3">
        <w:rPr>
          <w:rFonts w:ascii="Verdana" w:hAnsi="Verdana" w:eastAsia="Verdana" w:cs="Verdana"/>
          <w:sz w:val="18"/>
          <w:szCs w:val="18"/>
        </w:rPr>
        <w:t>nfektsioon</w:t>
      </w:r>
      <w:r w:rsidRPr="7F4137D3" w:rsidR="7F4137D3">
        <w:rPr>
          <w:rFonts w:ascii="Verdana" w:hAnsi="Verdana" w:eastAsia="Verdana" w:cs="Verdana"/>
          <w:sz w:val="18"/>
          <w:szCs w:val="18"/>
        </w:rPr>
        <w:t>? Põletik?)</w:t>
      </w:r>
      <w:r w:rsidRPr="7F4137D3" w:rsidR="7F4137D3">
        <w:rPr>
          <w:rFonts w:ascii="Verdana" w:hAnsi="Verdana" w:eastAsia="Verdana" w:cs="Verdana"/>
          <w:sz w:val="18"/>
          <w:szCs w:val="18"/>
        </w:rPr>
        <w:t>.</w:t>
      </w:r>
    </w:p>
    <w:p w:rsidR="074AD569" w:rsidP="69672B24" w:rsidRDefault="074AD569" w14:paraId="4555342E" w14:textId="796D409B">
      <w:pPr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2.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watch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(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APA 2007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):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practice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guideline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for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treatment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patients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with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Alzheimer`s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other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dementias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</w:rPr>
        <w:t>.</w:t>
      </w:r>
    </w:p>
    <w:p w:rsidR="69672B24" w:rsidP="69672B24" w:rsidRDefault="69672B24" w14:noSpellErr="1" w14:paraId="1A9378CC" w14:textId="46DC0649">
      <w:pPr>
        <w:jc w:val="both"/>
      </w:pPr>
      <w:r w:rsidRPr="69672B24" w:rsidR="69672B24">
        <w:rPr>
          <w:rFonts w:ascii="Verdana" w:hAnsi="Verdana" w:eastAsia="Verdana" w:cs="Verdana"/>
          <w:sz w:val="18"/>
          <w:szCs w:val="18"/>
        </w:rPr>
        <w:t>EEG – ravijuhendis ei käsitleta.</w:t>
      </w:r>
    </w:p>
    <w:p w:rsidR="69672B24" w:rsidP="69672B24" w:rsidRDefault="69672B24" w14:paraId="5F13D324" w14:textId="15CA1A3C">
      <w:pPr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  <w:u w:val="single"/>
        </w:rPr>
        <w:t xml:space="preserve"> analüüs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 -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On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suhtelselt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vähe uuritud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biomarkerite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kasutamist diagnostikas. Välja arvatud harvadel juhtudel (CSF 14-3-3 valgu määramine CJD korral; viirusentsefaliidi kahtlus, jne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), pole piisavalt tõenduspõhisust soovitada neid rutiinses kliinilises praktikas. </w:t>
      </w:r>
    </w:p>
    <w:p w:rsidR="69672B24" w:rsidP="69672B24" w:rsidRDefault="69672B24" w14:noSpellErr="1" w14:paraId="27A1F75C" w14:textId="736FA082">
      <w:pPr>
        <w:pStyle w:val="Normaallaad"/>
        <w:jc w:val="both"/>
      </w:pPr>
      <w:r w:rsidRPr="69672B24" w:rsidR="69672B24">
        <w:rPr>
          <w:rFonts w:ascii="Verdana" w:hAnsi="Verdana" w:eastAsia="Verdana" w:cs="Verdana"/>
          <w:sz w:val="18"/>
          <w:szCs w:val="18"/>
          <w:u w:val="single"/>
        </w:rPr>
        <w:t>Geenitestimine</w:t>
      </w:r>
      <w:r w:rsidRPr="69672B24" w:rsidR="69672B24">
        <w:rPr>
          <w:rFonts w:ascii="Verdana" w:hAnsi="Verdana" w:eastAsia="Verdana" w:cs="Verdana"/>
          <w:sz w:val="18"/>
          <w:szCs w:val="18"/>
        </w:rPr>
        <w:t xml:space="preserve"> – Geenitestimine ei ole tavaliselt osa rutiinsest patsiendi käsitlusest. Eriti ei ole soovitav määrata ApoE4 mutatsiooni. ApoE4 on osa 19. Kromosoomist, mis on sagedamini leitav dementsetel eakatel</w:t>
      </w:r>
      <w:r w:rsidRPr="69672B24" w:rsidR="69672B24">
        <w:rPr>
          <w:rFonts w:ascii="Verdana" w:hAnsi="Verdana" w:eastAsia="Verdana" w:cs="Verdana"/>
          <w:sz w:val="18"/>
          <w:szCs w:val="18"/>
        </w:rPr>
        <w:t xml:space="preserve">, on seotud hilise algusega dementsusega nii positiivse pereanamneesiga kui ilma. Aga leidub ka tervetel eakatel – ei soovitata. </w:t>
      </w:r>
    </w:p>
    <w:p w:rsidR="69672B24" w:rsidP="69672B24" w:rsidRDefault="69672B24" w14:paraId="7F2EC7FC" w14:textId="443E0D77">
      <w:pPr>
        <w:pStyle w:val="Normaallaad"/>
        <w:jc w:val="both"/>
      </w:pPr>
      <w:r w:rsidRPr="7F4137D3" w:rsidR="7F4137D3">
        <w:rPr>
          <w:rFonts w:ascii="Verdana" w:hAnsi="Verdana" w:eastAsia="Verdana" w:cs="Verdana"/>
          <w:sz w:val="18"/>
          <w:szCs w:val="18"/>
        </w:rPr>
        <w:t>Perekondliku AT seotud geenid: APP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prekursor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proteiin) - kromosoomis 21; PSEN1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preseniliin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1) - kromosoomis 14, PSEN2 (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preseniliin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2) - kromosoomis 1. Geenitestimine on kommertsiaalselt võimalik PSEN1 osas – mis leidub tihti perekondliku AT korral (avaldub enne 50-eluaastat). Kuna pole ennetavaid meetodeid, soovitatakse testimist ainult koos põhjaliku nõustamise ja interpretatsiooniga. Tuleks suunata spetsiaalsesse keskusesse. </w:t>
      </w:r>
    </w:p>
    <w:p w:rsidR="69672B24" w:rsidP="69672B24" w:rsidRDefault="69672B24" w14:paraId="7750DDEE" w14:textId="4C14BEBB">
      <w:pPr>
        <w:pStyle w:val="Normaallaad"/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3.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 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Dementia: supporting people with dementia and their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carers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 in health and social care Clinical guideline, NICE.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 Published: 22 November 2006 (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viimane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ülevaatamine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 xml:space="preserve"> 2015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märtsis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).</w:t>
      </w:r>
      <w:r w:rsidRPr="7F4137D3" w:rsidR="7F4137D3">
        <w:rPr>
          <w:rFonts w:ascii="Verdana" w:hAnsi="Verdana" w:eastAsia="Verdana" w:cs="Verdana"/>
          <w:sz w:val="18"/>
          <w:szCs w:val="18"/>
          <w:lang w:val="et-EE"/>
        </w:rPr>
        <w:t xml:space="preserve"> </w:t>
      </w:r>
    </w:p>
    <w:p w:rsidR="69672B24" w:rsidP="69672B24" w:rsidRDefault="69672B24" w14:paraId="7627B757" w14:textId="1C5AA6BF">
      <w:pPr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Liikvorianalüüs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tuleks teha, kui kahtlustatakse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Creutzfeldt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>–Jakob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i tõbe või mõnda muud kiiresti progresseeruvat dementsust. </w:t>
      </w:r>
    </w:p>
    <w:p w:rsidR="69672B24" w:rsidP="69672B24" w:rsidRDefault="69672B24" w14:paraId="225A8A0B" w14:textId="5E9DD620">
      <w:pPr>
        <w:pStyle w:val="Normaallaad"/>
        <w:jc w:val="both"/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EEG ei tohiks olla kasutusel kui rutiinne uurimismeetod dementsusega patsientidel.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EEG tuleks kaaluda, kui on kahtlus deliiriumile,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frontotemporaalsele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dementsusele või CJD-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le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. Või neil, kel kaasub dementsusega krambisündroom. </w:t>
      </w:r>
    </w:p>
    <w:p w:rsidR="69672B24" w:rsidP="69672B24" w:rsidRDefault="69672B24" w14:paraId="10D2DB6A" w14:textId="1F34934A">
      <w:pPr>
        <w:pStyle w:val="Normaallaad"/>
        <w:jc w:val="both"/>
      </w:pPr>
      <w:r w:rsidRPr="7F4137D3" w:rsidR="7F4137D3">
        <w:rPr>
          <w:rFonts w:ascii="Verdana" w:hAnsi="Verdana" w:eastAsia="Verdana" w:cs="Verdana"/>
          <w:sz w:val="18"/>
          <w:szCs w:val="18"/>
        </w:rPr>
        <w:t xml:space="preserve">Ajubiopsia kui diagnostiline meetod tuleb kõne alla väga valitud patsientidel, kel dementsus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pn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põhjustatud arvatavalt potentsiaalselt pöörduvast põhjusest ja diagnoosida ei ole muul moel võimalik. </w:t>
      </w:r>
    </w:p>
    <w:p w:rsidR="69672B24" w:rsidP="69672B24" w:rsidRDefault="69672B24" w14:paraId="2C16AB88" w14:textId="16283838">
      <w:pPr>
        <w:jc w:val="both"/>
      </w:pP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</w:rPr>
        <w:t>4.</w:t>
      </w:r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The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Diagnosis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of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Dementia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due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to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Disease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: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Recommendations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from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National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Institute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on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Ageing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and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the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Alzheimer’s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Association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Workgroup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 xml:space="preserve"> (2011); (</w:t>
      </w:r>
      <w:proofErr w:type="spellStart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Rec_NIAAA</w:t>
      </w:r>
      <w:proofErr w:type="spellEnd"/>
      <w:r w:rsidRPr="7F4137D3" w:rsidR="7F4137D3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)</w:t>
      </w:r>
    </w:p>
    <w:p w:rsidR="69672B24" w:rsidP="69672B24" w:rsidRDefault="69672B24" w14:noSpellErr="1" w14:paraId="2EB9FA20" w14:textId="7A1806C9">
      <w:pPr>
        <w:jc w:val="both"/>
      </w:pPr>
      <w:r w:rsidRPr="69672B24" w:rsidR="69672B24">
        <w:rPr>
          <w:rFonts w:ascii="Verdana" w:hAnsi="Verdana" w:eastAsia="Verdana" w:cs="Verdana"/>
          <w:sz w:val="18"/>
          <w:szCs w:val="18"/>
        </w:rPr>
        <w:t>EEG –ei käsitleta.</w:t>
      </w:r>
    </w:p>
    <w:p w:rsidR="69672B24" w:rsidP="69672B24" w:rsidRDefault="69672B24" w14:paraId="0840BFD6" w14:textId="1A73A1E6">
      <w:pPr>
        <w:pStyle w:val="Normaallaad"/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Biomarkerid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AT diagnoosis –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-beeta,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fosforüleeritud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määramine. Kvantitatiivne interpretatsioon – varieerub eri laborite vahel, standardiseerimine on vajalik. </w:t>
      </w:r>
      <w:r w:rsidRPr="7F4137D3" w:rsidR="7F4137D3">
        <w:rPr>
          <w:rFonts w:ascii="Verdana" w:hAnsi="Verdana" w:eastAsia="Verdana" w:cs="Verdana"/>
          <w:sz w:val="18"/>
          <w:szCs w:val="18"/>
        </w:rPr>
        <w:t xml:space="preserve">Rutiinses kliinilises praktikas ei soovita kasutada. </w:t>
      </w:r>
    </w:p>
    <w:p w:rsidR="69672B24" w:rsidP="69672B24" w:rsidRDefault="69672B24" w14:noSpellErr="1" w14:paraId="20D2FD9A" w14:textId="11E2876C">
      <w:pPr>
        <w:pStyle w:val="Normaallaad"/>
        <w:jc w:val="both"/>
      </w:pP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t-EE"/>
        </w:rPr>
        <w:t>5.</w:t>
      </w: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Fourth Canadian Consensus Conference on the Diagnosis and Treatment of Dementia: recommendations for family physicians (2014)</w:t>
      </w: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  <w:lang w:val="et-EE"/>
        </w:rPr>
        <w:t xml:space="preserve"> </w:t>
      </w:r>
      <w:r w:rsidRPr="69672B24" w:rsidR="69672B24">
        <w:rPr>
          <w:rFonts w:ascii="Verdana" w:hAnsi="Verdana" w:eastAsia="Verdana" w:cs="Verdana"/>
          <w:sz w:val="18"/>
          <w:szCs w:val="18"/>
          <w:lang w:val="et-EE"/>
        </w:rPr>
        <w:t xml:space="preserve"> </w:t>
      </w:r>
    </w:p>
    <w:p w:rsidR="69672B24" w:rsidP="69672B24" w:rsidRDefault="69672B24" w14:noSpellErr="1" w14:paraId="3891C34A" w14:textId="4EC69B42">
      <w:pPr>
        <w:jc w:val="both"/>
      </w:pPr>
      <w:r w:rsidRPr="69672B24" w:rsidR="69672B24">
        <w:rPr>
          <w:rFonts w:ascii="Verdana" w:hAnsi="Verdana" w:eastAsia="Verdana" w:cs="Verdana"/>
          <w:sz w:val="18"/>
          <w:szCs w:val="18"/>
        </w:rPr>
        <w:t xml:space="preserve">EEG- ei ole ravijuhendis käsitletud. </w:t>
      </w:r>
    </w:p>
    <w:p w:rsidR="69672B24" w:rsidP="69672B24" w:rsidRDefault="69672B24" w14:paraId="170B733C" w14:textId="23634BB8">
      <w:pPr>
        <w:pStyle w:val="Normaallaad"/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analüüs -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B1-42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valgu määramine ei ole soovitatud kliinilises praktikas. </w:t>
      </w:r>
    </w:p>
    <w:p w:rsidR="69672B24" w:rsidP="69672B24" w:rsidRDefault="69672B24" w14:noSpellErr="1" w14:paraId="7CB36505" w14:textId="1095DB14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69672B24" w:rsidR="69672B24">
        <w:rPr>
          <w:rFonts w:ascii="Verdana" w:hAnsi="Verdana" w:eastAsia="Verdana" w:cs="Verdana"/>
          <w:sz w:val="18"/>
          <w:szCs w:val="18"/>
        </w:rPr>
        <w:t xml:space="preserve">Geeniuuringud – varase algusega dementsusega (&lt;65.a.) patsiendid tuleks suunata spetsialistile, kes otsustab geneetilise testimise vajalikkuse ja võimalikkuse. </w:t>
      </w:r>
    </w:p>
    <w:p w:rsidR="69672B24" w:rsidP="69672B24" w:rsidRDefault="69672B24" w14:noSpellErr="1" w14:paraId="7BFAE04D" w14:textId="112CB1A9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</w:rPr>
        <w:t>6.</w:t>
      </w: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  <w:u w:val="single"/>
          <w:lang w:val="en-US"/>
        </w:rPr>
        <w:t>Recommendations of the 4th Canadian Consensus Conference on the Diagnosis and Treatment of Dementia (CCCDTD4)</w:t>
      </w:r>
      <w:r w:rsidRPr="69672B24" w:rsidR="69672B24">
        <w:rPr>
          <w:rFonts w:ascii="Verdana" w:hAnsi="Verdana" w:eastAsia="Verdana" w:cs="Verdana"/>
          <w:b w:val="1"/>
          <w:bCs w:val="1"/>
          <w:sz w:val="18"/>
          <w:szCs w:val="18"/>
          <w:lang w:val="et-EE"/>
        </w:rPr>
        <w:t xml:space="preserve"> </w:t>
      </w:r>
    </w:p>
    <w:p w:rsidR="69672B24" w:rsidP="69672B24" w:rsidRDefault="69672B24" w14:noSpellErr="1" w14:paraId="78F27B43" w14:textId="2E36F73D">
      <w:pPr>
        <w:pStyle w:val="Normaallaad"/>
        <w:bidi w:val="0"/>
        <w:spacing w:before="0" w:beforeAutospacing="off" w:after="160" w:afterAutospacing="off" w:line="259" w:lineRule="auto"/>
        <w:ind w:left="0" w:right="0"/>
        <w:jc w:val="both"/>
      </w:pPr>
      <w:r w:rsidRPr="69672B24" w:rsidR="69672B24">
        <w:rPr>
          <w:rFonts w:ascii="Verdana" w:hAnsi="Verdana" w:eastAsia="Verdana" w:cs="Verdana"/>
          <w:b w:val="0"/>
          <w:bCs w:val="0"/>
          <w:sz w:val="18"/>
          <w:szCs w:val="18"/>
          <w:lang w:val="et-EE"/>
        </w:rPr>
        <w:t>EEG – ei käsitleta</w:t>
      </w:r>
    </w:p>
    <w:p w:rsidR="69672B24" w:rsidP="69672B24" w:rsidRDefault="69672B24" w14:paraId="78F41581" w14:textId="3BB4146F">
      <w:pPr>
        <w:bidi w:val="0"/>
        <w:jc w:val="both"/>
      </w:pP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uuringud -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amüloid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beeta 42 ja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tau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taset </w:t>
      </w:r>
      <w:proofErr w:type="spellStart"/>
      <w:r w:rsidRPr="7F4137D3" w:rsidR="7F4137D3">
        <w:rPr>
          <w:rFonts w:ascii="Verdana" w:hAnsi="Verdana" w:eastAsia="Verdana" w:cs="Verdana"/>
          <w:sz w:val="18"/>
          <w:szCs w:val="18"/>
        </w:rPr>
        <w:t>liikvoris</w:t>
      </w:r>
      <w:proofErr w:type="spellEnd"/>
      <w:r w:rsidRPr="7F4137D3" w:rsidR="7F4137D3">
        <w:rPr>
          <w:rFonts w:ascii="Verdana" w:hAnsi="Verdana" w:eastAsia="Verdana" w:cs="Verdana"/>
          <w:sz w:val="18"/>
          <w:szCs w:val="18"/>
        </w:rPr>
        <w:t xml:space="preserve"> ei soovitata kliinilises praktikas määrata. On osa uuringuprotokollidest, tuleb läbi viia kogemustega keskustest, kus on valideeritud tehnoloogia. </w:t>
      </w:r>
    </w:p>
    <w:sectPr w:rsidRPr="00FE17E8" w:rsidR="002D065A" w:rsidSect="00042FF2">
      <w:headerReference w:type="default" r:id="rId7"/>
      <w:headerReference w:type="first" r:id="rId8"/>
      <w:pgSz w:w="11906" w:h="16838" w:orient="portrait"/>
      <w:pgMar w:top="1417" w:right="1417" w:bottom="1417" w:left="1417" w:header="720" w:footer="720" w:gutter="0"/>
      <w:cols w:space="720"/>
      <w:titlePg/>
      <w:docGrid w:linePitch="360"/>
      <w:footerReference w:type="default" r:id="R0621d5635ffc486b"/>
      <w:footerReference w:type="first" r:id="R7ec11b04b4d34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0187" w:rsidP="00042FF2" w:rsidRDefault="00A50187" w14:paraId="18715ED7" wp14:textId="77777777">
      <w:r>
        <w:separator/>
      </w:r>
    </w:p>
  </w:endnote>
  <w:endnote w:type="continuationSeparator" w:id="0">
    <w:p xmlns:wp14="http://schemas.microsoft.com/office/word/2010/wordml" w:rsidR="00A50187" w:rsidP="00042FF2" w:rsidRDefault="00A50187" w14:paraId="320D4E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PSFU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GARAD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c9c3bd71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tabel"/>
      <w:bidiVisual w:val="0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7F4137D3" w:rsidTr="7F4137D3" w14:paraId="79FE01F7">
      <w:tc>
        <w:tcPr>
          <w:tcW w:w="3024" w:type="dxa"/>
          <w:tcMar/>
        </w:tcPr>
        <w:p w:rsidR="7F4137D3" w:rsidP="7F4137D3" w:rsidRDefault="7F4137D3" w14:paraId="2AF7DE0D" w14:textId="667B6C5F">
          <w:pPr>
            <w:pStyle w:val="Pis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7F4137D3" w:rsidP="7F4137D3" w:rsidRDefault="7F4137D3" w14:paraId="401EE012" w14:textId="3A8C5CD1">
          <w:pPr>
            <w:pStyle w:val="Pis"/>
            <w:bidi w:val="0"/>
            <w:jc w:val="center"/>
          </w:pPr>
        </w:p>
      </w:tc>
      <w:tc>
        <w:tcPr>
          <w:tcW w:w="3024" w:type="dxa"/>
          <w:tcMar/>
        </w:tcPr>
        <w:p w:rsidR="7F4137D3" w:rsidP="7F4137D3" w:rsidRDefault="7F4137D3" w14:noSpellErr="1" w14:paraId="2E614E50" w14:textId="4B2C84B2">
          <w:pPr>
            <w:pStyle w:val="Pis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end"/>
          </w:r>
        </w:p>
      </w:tc>
    </w:tr>
  </w:tbl>
  <w:p w:rsidR="7F4137D3" w:rsidP="7F4137D3" w:rsidRDefault="7F4137D3" w14:paraId="0F0C8448" w14:textId="23F3D880">
    <w:pPr>
      <w:pStyle w:val="Jalus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tabel"/>
      <w:bidiVisual w:val="0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7F4137D3" w:rsidTr="7F4137D3" w14:paraId="71FFCA08">
      <w:tc>
        <w:tcPr>
          <w:tcW w:w="3024" w:type="dxa"/>
          <w:tcMar/>
        </w:tcPr>
        <w:p w:rsidR="7F4137D3" w:rsidP="7F4137D3" w:rsidRDefault="7F4137D3" w14:paraId="48F3867F" w14:textId="2313FFA8">
          <w:pPr>
            <w:pStyle w:val="Pis"/>
            <w:bidi w:val="0"/>
            <w:ind w:left="-115"/>
            <w:jc w:val="left"/>
          </w:pPr>
        </w:p>
      </w:tc>
      <w:tc>
        <w:tcPr>
          <w:tcW w:w="3024" w:type="dxa"/>
          <w:tcMar/>
        </w:tcPr>
        <w:p w:rsidR="7F4137D3" w:rsidP="7F4137D3" w:rsidRDefault="7F4137D3" w14:paraId="6D9AB2AC" w14:textId="431ED6A1">
          <w:pPr>
            <w:pStyle w:val="Pis"/>
            <w:bidi w:val="0"/>
            <w:jc w:val="center"/>
          </w:pPr>
        </w:p>
      </w:tc>
      <w:tc>
        <w:tcPr>
          <w:tcW w:w="3024" w:type="dxa"/>
          <w:tcMar/>
        </w:tcPr>
        <w:p w:rsidR="7F4137D3" w:rsidP="7F4137D3" w:rsidRDefault="7F4137D3" w14:paraId="4B4212A2" w14:textId="5C137C4B">
          <w:pPr>
            <w:pStyle w:val="Pis"/>
            <w:bidi w:val="0"/>
            <w:ind w:right="-115"/>
            <w:jc w:val="right"/>
          </w:pPr>
          <w:r w:rsidR="7F4137D3">
            <w:rPr/>
            <w:t>1</w:t>
          </w:r>
        </w:p>
      </w:tc>
    </w:tr>
  </w:tbl>
  <w:p w:rsidR="7F4137D3" w:rsidP="7F4137D3" w:rsidRDefault="7F4137D3" w14:paraId="4A56FACC" w14:textId="3A873A26">
    <w:pPr>
      <w:pStyle w:val="Jalus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0187" w:rsidP="00042FF2" w:rsidRDefault="00A50187" w14:paraId="73AD2211" wp14:textId="77777777">
      <w:r>
        <w:separator/>
      </w:r>
    </w:p>
  </w:footnote>
  <w:footnote w:type="continuationSeparator" w:id="0">
    <w:p xmlns:wp14="http://schemas.microsoft.com/office/word/2010/wordml" w:rsidR="00A50187" w:rsidP="00042FF2" w:rsidRDefault="00A50187" w14:paraId="7D64B18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2FA78897" wp14:textId="08ED200F">
    <w:pPr>
      <w:pStyle w:val="Pis"/>
    </w:pPr>
  </w:p>
  <w:p xmlns:wp14="http://schemas.microsoft.com/office/word/2010/wordml" w:rsidR="00042FF2" w:rsidRDefault="00042FF2" w14:paraId="68544238" wp14:textId="777777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42FF2" w:rsidRDefault="00042FF2" w14:paraId="3A40F4E5" wp14:textId="77777777">
    <w:pPr>
      <w:pStyle w:val="Pis"/>
    </w:pPr>
    <w:r w:rsidR="7F4137D3">
      <w:rPr/>
      <w:t>Tõendusmaterjali kokkuvõte</w:t>
    </w:r>
    <w:r w:rsidR="7F4137D3">
      <w:rPr/>
      <w:t xml:space="preserve"> - </w:t>
    </w:r>
    <w:proofErr w:type="spellStart"/>
    <w:r w:rsidR="7F4137D3">
      <w:rPr/>
      <w:t>EvSu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501D42"/>
    <w:multiLevelType w:val="hybridMultilevel"/>
    <w:tmpl w:val="6FEACDF4"/>
    <w:lvl w:ilvl="0" w:tplc="E42CFD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0344B"/>
    <w:multiLevelType w:val="hybridMultilevel"/>
    <w:tmpl w:val="CC1E1A86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B4E87"/>
    <w:multiLevelType w:val="hybridMultilevel"/>
    <w:tmpl w:val="6A56C87E"/>
    <w:lvl w:ilvl="0" w:tplc="5C2A4332">
      <w:start w:val="1"/>
      <w:numFmt w:val="decimal"/>
      <w:lvlText w:val="%1."/>
      <w:lvlJc w:val="left"/>
      <w:pPr>
        <w:ind w:left="720" w:hanging="360"/>
      </w:pPr>
      <w:rPr>
        <w:rFonts w:hint="default" w:ascii="AdvPSFUW" w:hAnsi="AdvPSFUW" w:cs="AdvPSFUW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93B32"/>
    <w:multiLevelType w:val="hybridMultilevel"/>
    <w:tmpl w:val="807EEE5E"/>
    <w:lvl w:ilvl="0" w:tplc="60307846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C9564E"/>
    <w:multiLevelType w:val="hybridMultilevel"/>
    <w:tmpl w:val="CC54653A"/>
    <w:lvl w:ilvl="0" w:tplc="590A5B38">
      <w:numFmt w:val="bullet"/>
      <w:lvlText w:val="-"/>
      <w:lvlJc w:val="left"/>
      <w:pPr>
        <w:ind w:left="420" w:hanging="360"/>
      </w:pPr>
      <w:rPr>
        <w:rFonts w:hint="default" w:ascii="Verdana" w:hAnsi="Verdana" w:eastAsia="Times New Roman" w:cs="ArialM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384C760E"/>
    <w:multiLevelType w:val="hybridMultilevel"/>
    <w:tmpl w:val="AD3202CE"/>
    <w:lvl w:ilvl="0" w:tplc="FBBAC2AA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053D9C"/>
    <w:multiLevelType w:val="hybridMultilevel"/>
    <w:tmpl w:val="90D85272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D145B8A"/>
    <w:multiLevelType w:val="hybridMultilevel"/>
    <w:tmpl w:val="E1F6608A"/>
    <w:lvl w:ilvl="0" w:tplc="34C49D60">
      <w:start w:val="1252"/>
      <w:numFmt w:val="bullet"/>
      <w:lvlText w:val="-"/>
      <w:lvlJc w:val="left"/>
      <w:pPr>
        <w:ind w:left="720" w:hanging="360"/>
      </w:pPr>
      <w:rPr>
        <w:rFonts w:hint="default" w:ascii="AdvGARAD-R" w:hAnsi="AdvGARAD-R" w:eastAsia="Times New Roman" w:cs="AdvGARAD-R"/>
        <w:sz w:val="1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111BC"/>
    <w:multiLevelType w:val="hybridMultilevel"/>
    <w:tmpl w:val="62EC6EFC"/>
    <w:lvl w:ilvl="0" w:tplc="E98094D0">
      <w:start w:val="4"/>
      <w:numFmt w:val="bullet"/>
      <w:lvlText w:val="-"/>
      <w:lvlJc w:val="left"/>
      <w:pPr>
        <w:ind w:left="720" w:hanging="360"/>
      </w:pPr>
      <w:rPr>
        <w:rFonts w:hint="default" w:ascii="AdvPSSAB-R" w:hAnsi="AdvPSSAB-R" w:eastAsia="Times New Roman" w:cs="AdvPSSAB-R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">
    <w:abstractNumId w:val="4"/>
  </w:num>
  <w:num w:numId="2">
    <w:abstractNumId w:val="11"/>
  </w:num>
  <w:num w:numId="3">
    <w:abstractNumId w:val="3"/>
    <w:lvlOverride w:ilvl="0">
      <w:startOverride w:val="30"/>
    </w:lvlOverride>
  </w:num>
  <w:num w:numId="4">
    <w:abstractNumId w:val="3"/>
    <w:lvlOverride w:ilvl="0">
      <w:startOverride w:val="3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34"/>
    <w:rsid w:val="00002273"/>
    <w:rsid w:val="00002CA6"/>
    <w:rsid w:val="00003415"/>
    <w:rsid w:val="00003BB1"/>
    <w:rsid w:val="00005947"/>
    <w:rsid w:val="000059B2"/>
    <w:rsid w:val="00006685"/>
    <w:rsid w:val="0000743C"/>
    <w:rsid w:val="0000751E"/>
    <w:rsid w:val="00007540"/>
    <w:rsid w:val="00007FA9"/>
    <w:rsid w:val="00010083"/>
    <w:rsid w:val="0001121A"/>
    <w:rsid w:val="00011A30"/>
    <w:rsid w:val="00012BC6"/>
    <w:rsid w:val="000135ED"/>
    <w:rsid w:val="00014B22"/>
    <w:rsid w:val="00014BB0"/>
    <w:rsid w:val="000151F7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2FF2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EB1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3EFB"/>
    <w:rsid w:val="00095A89"/>
    <w:rsid w:val="00095D5C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27E9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953"/>
    <w:rsid w:val="000C174B"/>
    <w:rsid w:val="000C1A39"/>
    <w:rsid w:val="000C1A80"/>
    <w:rsid w:val="000C1BE1"/>
    <w:rsid w:val="000C2276"/>
    <w:rsid w:val="000C227C"/>
    <w:rsid w:val="000C32B5"/>
    <w:rsid w:val="000C3547"/>
    <w:rsid w:val="000C4235"/>
    <w:rsid w:val="000C431A"/>
    <w:rsid w:val="000C51F1"/>
    <w:rsid w:val="000C5D52"/>
    <w:rsid w:val="000C7B7A"/>
    <w:rsid w:val="000C7DAE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DF8"/>
    <w:rsid w:val="001343D0"/>
    <w:rsid w:val="00134EFF"/>
    <w:rsid w:val="0013545D"/>
    <w:rsid w:val="00136991"/>
    <w:rsid w:val="00136DD4"/>
    <w:rsid w:val="001407F5"/>
    <w:rsid w:val="00141327"/>
    <w:rsid w:val="0014137E"/>
    <w:rsid w:val="00141671"/>
    <w:rsid w:val="0014260B"/>
    <w:rsid w:val="0014373A"/>
    <w:rsid w:val="00144109"/>
    <w:rsid w:val="001441BA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2B4"/>
    <w:rsid w:val="0015337B"/>
    <w:rsid w:val="00153BC0"/>
    <w:rsid w:val="001541CD"/>
    <w:rsid w:val="00154241"/>
    <w:rsid w:val="0015446F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AEE"/>
    <w:rsid w:val="00160C48"/>
    <w:rsid w:val="001614BF"/>
    <w:rsid w:val="0016191C"/>
    <w:rsid w:val="00162FEF"/>
    <w:rsid w:val="00163701"/>
    <w:rsid w:val="001639A1"/>
    <w:rsid w:val="00164483"/>
    <w:rsid w:val="00164634"/>
    <w:rsid w:val="001648F0"/>
    <w:rsid w:val="00164C33"/>
    <w:rsid w:val="00164EB4"/>
    <w:rsid w:val="001650C8"/>
    <w:rsid w:val="00165A4E"/>
    <w:rsid w:val="001664AD"/>
    <w:rsid w:val="001669D3"/>
    <w:rsid w:val="0016732C"/>
    <w:rsid w:val="001675E0"/>
    <w:rsid w:val="00167E94"/>
    <w:rsid w:val="00170CD3"/>
    <w:rsid w:val="00171532"/>
    <w:rsid w:val="00171633"/>
    <w:rsid w:val="001719C5"/>
    <w:rsid w:val="00171E18"/>
    <w:rsid w:val="00172AC8"/>
    <w:rsid w:val="00172EFA"/>
    <w:rsid w:val="001733F5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57A8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47FB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2DD2"/>
    <w:rsid w:val="00203323"/>
    <w:rsid w:val="00203376"/>
    <w:rsid w:val="00203A0F"/>
    <w:rsid w:val="00204A47"/>
    <w:rsid w:val="00204CFC"/>
    <w:rsid w:val="00204EA4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E41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06C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495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58B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1F86"/>
    <w:rsid w:val="0025280E"/>
    <w:rsid w:val="00253250"/>
    <w:rsid w:val="00253EF3"/>
    <w:rsid w:val="00253F7A"/>
    <w:rsid w:val="002541F9"/>
    <w:rsid w:val="002548FB"/>
    <w:rsid w:val="00254A9A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2E33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83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0D1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5A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B70"/>
    <w:rsid w:val="002F1CC1"/>
    <w:rsid w:val="002F1DB7"/>
    <w:rsid w:val="002F288D"/>
    <w:rsid w:val="002F2E78"/>
    <w:rsid w:val="002F36B4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884"/>
    <w:rsid w:val="002F7F7A"/>
    <w:rsid w:val="003001A0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E53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4F79"/>
    <w:rsid w:val="0030546E"/>
    <w:rsid w:val="00305592"/>
    <w:rsid w:val="003078FF"/>
    <w:rsid w:val="003079F3"/>
    <w:rsid w:val="003106F1"/>
    <w:rsid w:val="0031071A"/>
    <w:rsid w:val="00310EB1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0EA5"/>
    <w:rsid w:val="003211FC"/>
    <w:rsid w:val="003220DA"/>
    <w:rsid w:val="003221C7"/>
    <w:rsid w:val="003228AA"/>
    <w:rsid w:val="00323C85"/>
    <w:rsid w:val="003245B0"/>
    <w:rsid w:val="00324819"/>
    <w:rsid w:val="0032548D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B8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5FC"/>
    <w:rsid w:val="003736DE"/>
    <w:rsid w:val="003739D9"/>
    <w:rsid w:val="00373B11"/>
    <w:rsid w:val="00373CB7"/>
    <w:rsid w:val="003740A1"/>
    <w:rsid w:val="00374FB2"/>
    <w:rsid w:val="003751E0"/>
    <w:rsid w:val="0037561B"/>
    <w:rsid w:val="00375CD4"/>
    <w:rsid w:val="00376A1E"/>
    <w:rsid w:val="00377A70"/>
    <w:rsid w:val="00380DBE"/>
    <w:rsid w:val="00380E2F"/>
    <w:rsid w:val="00381414"/>
    <w:rsid w:val="003827F4"/>
    <w:rsid w:val="00382A28"/>
    <w:rsid w:val="003844DA"/>
    <w:rsid w:val="00384A54"/>
    <w:rsid w:val="00384B41"/>
    <w:rsid w:val="00385243"/>
    <w:rsid w:val="00385C51"/>
    <w:rsid w:val="00385EA2"/>
    <w:rsid w:val="003860B9"/>
    <w:rsid w:val="00387029"/>
    <w:rsid w:val="0038727B"/>
    <w:rsid w:val="00387AF2"/>
    <w:rsid w:val="00387D11"/>
    <w:rsid w:val="00390D93"/>
    <w:rsid w:val="00391810"/>
    <w:rsid w:val="003919A8"/>
    <w:rsid w:val="00391DB9"/>
    <w:rsid w:val="003938F5"/>
    <w:rsid w:val="00393C78"/>
    <w:rsid w:val="00393EA1"/>
    <w:rsid w:val="0039410B"/>
    <w:rsid w:val="003952C1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65D"/>
    <w:rsid w:val="003A2B1C"/>
    <w:rsid w:val="003A3034"/>
    <w:rsid w:val="003A32BD"/>
    <w:rsid w:val="003A3CFD"/>
    <w:rsid w:val="003A4FDD"/>
    <w:rsid w:val="003A552E"/>
    <w:rsid w:val="003A5CFA"/>
    <w:rsid w:val="003A7123"/>
    <w:rsid w:val="003A75B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E7F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B67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6F02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65D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45A1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10D5"/>
    <w:rsid w:val="00452078"/>
    <w:rsid w:val="004523DA"/>
    <w:rsid w:val="00453500"/>
    <w:rsid w:val="00453FB2"/>
    <w:rsid w:val="0045444E"/>
    <w:rsid w:val="004546F6"/>
    <w:rsid w:val="00454880"/>
    <w:rsid w:val="00455612"/>
    <w:rsid w:val="00455717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2D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289"/>
    <w:rsid w:val="004807D8"/>
    <w:rsid w:val="00480B40"/>
    <w:rsid w:val="00482363"/>
    <w:rsid w:val="0048258F"/>
    <w:rsid w:val="00482742"/>
    <w:rsid w:val="00482F29"/>
    <w:rsid w:val="00483423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4CD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1CAC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2B74"/>
    <w:rsid w:val="004F3347"/>
    <w:rsid w:val="004F3394"/>
    <w:rsid w:val="004F3A75"/>
    <w:rsid w:val="004F3F23"/>
    <w:rsid w:val="004F4F99"/>
    <w:rsid w:val="004F50C9"/>
    <w:rsid w:val="004F5AEE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0F53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6BED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3E3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4E3"/>
    <w:rsid w:val="00566977"/>
    <w:rsid w:val="00566A60"/>
    <w:rsid w:val="00566AC9"/>
    <w:rsid w:val="00570A20"/>
    <w:rsid w:val="00570CD1"/>
    <w:rsid w:val="00570F5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04F"/>
    <w:rsid w:val="00581360"/>
    <w:rsid w:val="0058159B"/>
    <w:rsid w:val="00581A30"/>
    <w:rsid w:val="005820D1"/>
    <w:rsid w:val="005822DF"/>
    <w:rsid w:val="005827F3"/>
    <w:rsid w:val="005832F8"/>
    <w:rsid w:val="00583CEC"/>
    <w:rsid w:val="005841F3"/>
    <w:rsid w:val="0058531B"/>
    <w:rsid w:val="00585A78"/>
    <w:rsid w:val="00586785"/>
    <w:rsid w:val="0058694B"/>
    <w:rsid w:val="00587F65"/>
    <w:rsid w:val="005910F9"/>
    <w:rsid w:val="00591736"/>
    <w:rsid w:val="00591BB5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64F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3BFB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27807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EB3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58E6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67A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B88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6DA9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1C7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678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245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9D"/>
    <w:rsid w:val="007811F7"/>
    <w:rsid w:val="007825D0"/>
    <w:rsid w:val="00782C5A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A47"/>
    <w:rsid w:val="00790BF2"/>
    <w:rsid w:val="00790EF5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6C5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1EF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12C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5E0C"/>
    <w:rsid w:val="00816DB0"/>
    <w:rsid w:val="0081714E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6E6"/>
    <w:rsid w:val="00830042"/>
    <w:rsid w:val="00830E88"/>
    <w:rsid w:val="00830F5A"/>
    <w:rsid w:val="008312BC"/>
    <w:rsid w:val="00831339"/>
    <w:rsid w:val="0083278F"/>
    <w:rsid w:val="008328E1"/>
    <w:rsid w:val="00832974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D4F"/>
    <w:rsid w:val="00842ED1"/>
    <w:rsid w:val="00843140"/>
    <w:rsid w:val="00843379"/>
    <w:rsid w:val="0084437A"/>
    <w:rsid w:val="00844788"/>
    <w:rsid w:val="00844982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3B1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1C46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C98"/>
    <w:rsid w:val="008E3E4F"/>
    <w:rsid w:val="008E434F"/>
    <w:rsid w:val="008E44C5"/>
    <w:rsid w:val="008E529D"/>
    <w:rsid w:val="008E5B2C"/>
    <w:rsid w:val="008E5F7E"/>
    <w:rsid w:val="008E64A9"/>
    <w:rsid w:val="008E682D"/>
    <w:rsid w:val="008E6ADE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DFE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6A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558"/>
    <w:rsid w:val="009268A2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32E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4CD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6575"/>
    <w:rsid w:val="0098768E"/>
    <w:rsid w:val="00987F19"/>
    <w:rsid w:val="00990C2F"/>
    <w:rsid w:val="00991F03"/>
    <w:rsid w:val="009947A7"/>
    <w:rsid w:val="00994C18"/>
    <w:rsid w:val="00994D88"/>
    <w:rsid w:val="00995782"/>
    <w:rsid w:val="009959CC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2CE7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D7C6C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4FF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D82"/>
    <w:rsid w:val="00A11193"/>
    <w:rsid w:val="00A11EB0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6B51"/>
    <w:rsid w:val="00A47BD2"/>
    <w:rsid w:val="00A5007F"/>
    <w:rsid w:val="00A50187"/>
    <w:rsid w:val="00A50299"/>
    <w:rsid w:val="00A51B5F"/>
    <w:rsid w:val="00A51C76"/>
    <w:rsid w:val="00A51D16"/>
    <w:rsid w:val="00A52EC5"/>
    <w:rsid w:val="00A532B5"/>
    <w:rsid w:val="00A53CA9"/>
    <w:rsid w:val="00A54801"/>
    <w:rsid w:val="00A5497C"/>
    <w:rsid w:val="00A5534C"/>
    <w:rsid w:val="00A554F1"/>
    <w:rsid w:val="00A55F70"/>
    <w:rsid w:val="00A5639E"/>
    <w:rsid w:val="00A56518"/>
    <w:rsid w:val="00A57815"/>
    <w:rsid w:val="00A6076A"/>
    <w:rsid w:val="00A6108C"/>
    <w:rsid w:val="00A6119F"/>
    <w:rsid w:val="00A61A43"/>
    <w:rsid w:val="00A61B1E"/>
    <w:rsid w:val="00A6201F"/>
    <w:rsid w:val="00A62240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414"/>
    <w:rsid w:val="00A917CD"/>
    <w:rsid w:val="00A91E40"/>
    <w:rsid w:val="00A91EF3"/>
    <w:rsid w:val="00A91FF3"/>
    <w:rsid w:val="00A92020"/>
    <w:rsid w:val="00A92AA5"/>
    <w:rsid w:val="00A92AFF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6F0B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0C3B"/>
    <w:rsid w:val="00AC1C81"/>
    <w:rsid w:val="00AC20EE"/>
    <w:rsid w:val="00AC2528"/>
    <w:rsid w:val="00AC28A1"/>
    <w:rsid w:val="00AC2E0B"/>
    <w:rsid w:val="00AC2F0F"/>
    <w:rsid w:val="00AC3B49"/>
    <w:rsid w:val="00AC3BCF"/>
    <w:rsid w:val="00AC5848"/>
    <w:rsid w:val="00AC65EA"/>
    <w:rsid w:val="00AC696C"/>
    <w:rsid w:val="00AC6BE9"/>
    <w:rsid w:val="00AC6ECB"/>
    <w:rsid w:val="00AC7662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0C7"/>
    <w:rsid w:val="00AE43D1"/>
    <w:rsid w:val="00AE4A0A"/>
    <w:rsid w:val="00AE57DE"/>
    <w:rsid w:val="00AE5BAB"/>
    <w:rsid w:val="00AE604E"/>
    <w:rsid w:val="00AE69BB"/>
    <w:rsid w:val="00AE6BEE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7A0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F1A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342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3FBC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3DA1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527"/>
    <w:rsid w:val="00B92639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8BD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244"/>
    <w:rsid w:val="00C00556"/>
    <w:rsid w:val="00C010D9"/>
    <w:rsid w:val="00C0226F"/>
    <w:rsid w:val="00C0247A"/>
    <w:rsid w:val="00C03543"/>
    <w:rsid w:val="00C041E2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3F85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37A96"/>
    <w:rsid w:val="00C405DA"/>
    <w:rsid w:val="00C4160D"/>
    <w:rsid w:val="00C4189E"/>
    <w:rsid w:val="00C4193B"/>
    <w:rsid w:val="00C42386"/>
    <w:rsid w:val="00C4368C"/>
    <w:rsid w:val="00C43DA9"/>
    <w:rsid w:val="00C44214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9B0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6DFB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6CF"/>
    <w:rsid w:val="00C85CF5"/>
    <w:rsid w:val="00C86D2E"/>
    <w:rsid w:val="00C8750A"/>
    <w:rsid w:val="00C876EC"/>
    <w:rsid w:val="00C9055B"/>
    <w:rsid w:val="00C9074B"/>
    <w:rsid w:val="00C910F3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118"/>
    <w:rsid w:val="00CB29FF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6E3D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1DAA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44F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568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4F4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4FEA"/>
    <w:rsid w:val="00D650FE"/>
    <w:rsid w:val="00D656CF"/>
    <w:rsid w:val="00D657F0"/>
    <w:rsid w:val="00D66572"/>
    <w:rsid w:val="00D66F41"/>
    <w:rsid w:val="00D67285"/>
    <w:rsid w:val="00D67DDD"/>
    <w:rsid w:val="00D70594"/>
    <w:rsid w:val="00D706F7"/>
    <w:rsid w:val="00D70EE1"/>
    <w:rsid w:val="00D711F4"/>
    <w:rsid w:val="00D7138E"/>
    <w:rsid w:val="00D7177F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10C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3B73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AB3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326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453"/>
    <w:rsid w:val="00DF05F5"/>
    <w:rsid w:val="00DF08CD"/>
    <w:rsid w:val="00DF0A25"/>
    <w:rsid w:val="00DF1331"/>
    <w:rsid w:val="00DF2CA9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696F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3F56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BFE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DA7"/>
    <w:rsid w:val="00E45E56"/>
    <w:rsid w:val="00E46822"/>
    <w:rsid w:val="00E46AF2"/>
    <w:rsid w:val="00E470C1"/>
    <w:rsid w:val="00E476BA"/>
    <w:rsid w:val="00E47A74"/>
    <w:rsid w:val="00E500C6"/>
    <w:rsid w:val="00E50869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1EBE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D8E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EF7542"/>
    <w:rsid w:val="00F0025D"/>
    <w:rsid w:val="00F00398"/>
    <w:rsid w:val="00F0085D"/>
    <w:rsid w:val="00F008CB"/>
    <w:rsid w:val="00F00D15"/>
    <w:rsid w:val="00F0174A"/>
    <w:rsid w:val="00F01AE3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77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85A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E4F"/>
    <w:rsid w:val="00F5141E"/>
    <w:rsid w:val="00F5148C"/>
    <w:rsid w:val="00F518BC"/>
    <w:rsid w:val="00F51F59"/>
    <w:rsid w:val="00F527AB"/>
    <w:rsid w:val="00F52D51"/>
    <w:rsid w:val="00F54105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6CC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3BC"/>
    <w:rsid w:val="00FA6512"/>
    <w:rsid w:val="00FA69B9"/>
    <w:rsid w:val="00FA6B4F"/>
    <w:rsid w:val="00FA6D31"/>
    <w:rsid w:val="00FA726A"/>
    <w:rsid w:val="00FA729A"/>
    <w:rsid w:val="00FA78AF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7E8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074AD569"/>
    <w:rsid w:val="2C6E0731"/>
    <w:rsid w:val="5F2D1411"/>
    <w:rsid w:val="69672B24"/>
    <w:rsid w:val="6A9DDCFF"/>
    <w:rsid w:val="6D362053"/>
    <w:rsid w:val="7F4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F57B8F-A503-4922-B71A-A3A415C86492}"/>
  <w14:docId w14:val="5B8DC8C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paragraph" w:styleId="Pealkiri1">
    <w:name w:val="heading 1"/>
    <w:basedOn w:val="Normaallaad"/>
    <w:link w:val="Pealkiri1Mrk"/>
    <w:uiPriority w:val="9"/>
    <w:qFormat/>
    <w:rsid w:val="00815E0C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815E0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paragraph" w:styleId="Pealkiri4">
    <w:name w:val="heading 4"/>
    <w:basedOn w:val="Normaallaad"/>
    <w:link w:val="Pealkiri4Mrk"/>
    <w:uiPriority w:val="9"/>
    <w:qFormat/>
    <w:rsid w:val="00815E0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character" w:styleId="subabstractlabel" w:customStyle="1">
    <w:name w:val="sub_abstract_label"/>
    <w:rsid w:val="00402CDE"/>
    <w:rPr>
      <w:b/>
      <w:bCs/>
      <w:sz w:val="24"/>
      <w:szCs w:val="24"/>
    </w:rPr>
  </w:style>
  <w:style w:type="table" w:styleId="Kontuurtabel">
    <w:name w:val="Table Grid"/>
    <w:basedOn w:val="Normaaltabel"/>
    <w:rsid w:val="00402C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earch-term-highlight1" w:customStyle="1">
    <w:name w:val="search-term-highlight1"/>
    <w:rsid w:val="00196F4C"/>
    <w:rPr>
      <w:b/>
      <w:bCs/>
      <w:color w:val="CC0000"/>
    </w:rPr>
  </w:style>
  <w:style w:type="character" w:styleId="HTML-tsitaat">
    <w:name w:val="HTML Cite"/>
    <w:rsid w:val="00C337D7"/>
    <w:rPr>
      <w:i/>
      <w:iCs/>
    </w:rPr>
  </w:style>
  <w:style w:type="character" w:styleId="cit-vol1" w:customStyle="1">
    <w:name w:val="cit-vol1"/>
    <w:rsid w:val="00C337D7"/>
    <w:rPr>
      <w:b w:val="0"/>
      <w:bCs w:val="0"/>
    </w:rPr>
  </w:style>
  <w:style w:type="character" w:styleId="cit-title1" w:customStyle="1">
    <w:name w:val="cit-title1"/>
    <w:basedOn w:val="Liguvaikefont"/>
    <w:rsid w:val="00C337D7"/>
  </w:style>
  <w:style w:type="character" w:styleId="cit-authcit-auth-type-author" w:customStyle="1">
    <w:name w:val="cit-auth cit-auth-type-author"/>
    <w:basedOn w:val="Liguvaikefont"/>
    <w:rsid w:val="00C337D7"/>
  </w:style>
  <w:style w:type="character" w:styleId="cit-sepcit-sep-separator" w:customStyle="1">
    <w:name w:val="cit-sep cit-sep-separator"/>
    <w:basedOn w:val="Liguvaikefont"/>
    <w:rsid w:val="00C337D7"/>
  </w:style>
  <w:style w:type="character" w:styleId="cit-print-date" w:customStyle="1">
    <w:name w:val="cit-print-date"/>
    <w:basedOn w:val="Liguvaikefont"/>
    <w:rsid w:val="00C337D7"/>
  </w:style>
  <w:style w:type="character" w:styleId="cit-sepcit-sep-after-article-print-date" w:customStyle="1">
    <w:name w:val="cit-sep cit-sep-after-article-print-date"/>
    <w:basedOn w:val="Liguvaikefont"/>
    <w:rsid w:val="00C337D7"/>
  </w:style>
  <w:style w:type="character" w:styleId="cit-sepcit-sep-after-article-vol" w:customStyle="1">
    <w:name w:val="cit-sep cit-sep-after-article-vol"/>
    <w:basedOn w:val="Liguvaikefont"/>
    <w:rsid w:val="00C337D7"/>
  </w:style>
  <w:style w:type="character" w:styleId="cit-first-page" w:customStyle="1">
    <w:name w:val="cit-first-page"/>
    <w:basedOn w:val="Liguvaikefont"/>
    <w:rsid w:val="00C337D7"/>
  </w:style>
  <w:style w:type="character" w:styleId="Hperlink">
    <w:name w:val="Hyperlink"/>
    <w:uiPriority w:val="99"/>
    <w:rsid w:val="00BC6052"/>
    <w:rPr>
      <w:color w:val="0000FF"/>
      <w:u w:val="single"/>
    </w:rPr>
  </w:style>
  <w:style w:type="character" w:styleId="Rhutus">
    <w:name w:val="Emphasis"/>
    <w:qFormat/>
    <w:rsid w:val="00BC6052"/>
    <w:rPr>
      <w:i/>
      <w:iCs/>
    </w:rPr>
  </w:style>
  <w:style w:type="paragraph" w:styleId="Loendilik">
    <w:name w:val="List Paragraph"/>
    <w:basedOn w:val="Normaallaad"/>
    <w:qFormat/>
    <w:rsid w:val="001D47FB"/>
    <w:pPr>
      <w:ind w:left="720"/>
      <w:contextualSpacing/>
    </w:pPr>
    <w:rPr>
      <w:lang w:val="en-GB"/>
    </w:rPr>
  </w:style>
  <w:style w:type="character" w:styleId="Pealkiri1Mrk" w:customStyle="1">
    <w:name w:val="Pealkiri 1 Märk"/>
    <w:link w:val="Pealkiri1"/>
    <w:uiPriority w:val="9"/>
    <w:rsid w:val="00815E0C"/>
    <w:rPr>
      <w:b/>
      <w:bCs/>
      <w:kern w:val="36"/>
      <w:sz w:val="36"/>
      <w:szCs w:val="36"/>
    </w:rPr>
  </w:style>
  <w:style w:type="character" w:styleId="Pealkiri3Mrk" w:customStyle="1">
    <w:name w:val="Pealkiri 3 Märk"/>
    <w:link w:val="Pealkiri3"/>
    <w:uiPriority w:val="9"/>
    <w:rsid w:val="00815E0C"/>
    <w:rPr>
      <w:b/>
      <w:bCs/>
      <w:sz w:val="34"/>
      <w:szCs w:val="34"/>
    </w:rPr>
  </w:style>
  <w:style w:type="character" w:styleId="Pealkiri4Mrk" w:customStyle="1">
    <w:name w:val="Pealkiri 4 Märk"/>
    <w:link w:val="Pealkiri4"/>
    <w:uiPriority w:val="9"/>
    <w:rsid w:val="00815E0C"/>
    <w:rPr>
      <w:b/>
      <w:bCs/>
      <w:sz w:val="29"/>
      <w:szCs w:val="29"/>
    </w:rPr>
  </w:style>
  <w:style w:type="paragraph" w:styleId="Normaallaadveeb">
    <w:name w:val="Normal (Web)"/>
    <w:basedOn w:val="Normaallaad"/>
    <w:uiPriority w:val="99"/>
    <w:unhideWhenUsed/>
    <w:rsid w:val="00815E0C"/>
    <w:pPr>
      <w:spacing w:before="100" w:beforeAutospacing="1" w:after="100" w:afterAutospacing="1"/>
    </w:pPr>
  </w:style>
  <w:style w:type="paragraph" w:styleId="Pis">
    <w:name w:val="header"/>
    <w:basedOn w:val="Normaallaad"/>
    <w:link w:val="PisMrk"/>
    <w:uiPriority w:val="99"/>
    <w:rsid w:val="00042FF2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042FF2"/>
    <w:rPr>
      <w:sz w:val="24"/>
      <w:szCs w:val="24"/>
    </w:rPr>
  </w:style>
  <w:style w:type="paragraph" w:styleId="Jalus">
    <w:name w:val="footer"/>
    <w:basedOn w:val="Normaallaad"/>
    <w:link w:val="JalusMrk"/>
    <w:rsid w:val="00042FF2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rsid w:val="00042FF2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042FF2"/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rsid w:val="0004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23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64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7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3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26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1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910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890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6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9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19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23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3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1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05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5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97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6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4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7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8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/word/footer.xml" Id="R0621d5635ffc486b" /><Relationship Type="http://schemas.openxmlformats.org/officeDocument/2006/relationships/footer" Target="/word/footer2.xml" Id="R7ec11b04b4d348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Non-pharmacological treatment</dc:title>
  <dc:subject/>
  <dc:creator>Kasutaja</dc:creator>
  <keywords/>
  <lastModifiedBy>siretoja1@gmail.com</lastModifiedBy>
  <revision>9</revision>
  <dcterms:created xsi:type="dcterms:W3CDTF">2016-02-04T15:50:00.0000000Z</dcterms:created>
  <dcterms:modified xsi:type="dcterms:W3CDTF">2016-11-21T19:12:01.0606585Z</dcterms:modified>
</coreProperties>
</file>