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  <w:bookmarkStart w:id="0" w:name="_GoBack"/>
      <w:bookmarkEnd w:id="0"/>
    </w:p>
    <w:p w:rsidR="004F6C78" w:rsidRPr="00A97024" w:rsidRDefault="0031077D" w:rsidP="004F6C78">
      <w:pPr>
        <w:rPr>
          <w:rFonts w:ascii="Verdana" w:hAnsi="Verdana"/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="008A4CA3">
        <w:rPr>
          <w:rFonts w:ascii="Verdana" w:hAnsi="Verdana"/>
          <w:b/>
          <w:color w:val="000080"/>
          <w:sz w:val="18"/>
          <w:szCs w:val="18"/>
        </w:rPr>
        <w:t>15</w:t>
      </w:r>
    </w:p>
    <w:p w:rsidR="00077A2A" w:rsidRPr="00CA62EC" w:rsidRDefault="00661B71">
      <w:pPr>
        <w:rPr>
          <w:rFonts w:ascii="Verdana" w:hAnsi="Verdana"/>
          <w:i/>
          <w:color w:val="000080"/>
          <w:sz w:val="18"/>
          <w:szCs w:val="18"/>
        </w:rPr>
      </w:pPr>
      <w:r w:rsidRPr="00CA62EC">
        <w:rPr>
          <w:rFonts w:ascii="Verdana" w:hAnsi="Verdana"/>
          <w:i/>
          <w:color w:val="000080"/>
          <w:sz w:val="18"/>
          <w:szCs w:val="18"/>
        </w:rPr>
        <w:t>Kas Alzheimeri tõvega patsientide ravis on kindlad kriteeriumid spetsiifilise farmakoloogilise ravi lõpetamiseks vs. mitte?</w:t>
      </w:r>
    </w:p>
    <w:p w:rsidR="008A4CA3" w:rsidRPr="008A4CA3" w:rsidRDefault="008A4CA3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2506"/>
        <w:gridCol w:w="2234"/>
      </w:tblGrid>
      <w:tr w:rsidR="00432CD4" w:rsidRPr="00A97024" w:rsidTr="00A97024">
        <w:tc>
          <w:tcPr>
            <w:tcW w:w="9288" w:type="dxa"/>
            <w:gridSpan w:val="4"/>
            <w:shd w:val="clear" w:color="auto" w:fill="auto"/>
          </w:tcPr>
          <w:p w:rsidR="00891C08" w:rsidRPr="00A97024" w:rsidRDefault="00891C0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="00A97024" w:rsidRPr="00A97024" w:rsidRDefault="004B4108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Töörühma soovitus:</w:t>
            </w:r>
            <w:r w:rsidRPr="004B4108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</w:p>
          <w:p w:rsidR="004F6C78" w:rsidRPr="00A97024" w:rsidRDefault="0031077D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i/>
                <w:color w:val="000080"/>
                <w:sz w:val="18"/>
                <w:szCs w:val="18"/>
              </w:rPr>
              <w:t>Soovituse tekst</w:t>
            </w:r>
          </w:p>
          <w:p w:rsidR="00891C08" w:rsidRDefault="004B4108" w:rsidP="004B41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4B4108">
              <w:rPr>
                <w:rFonts w:ascii="Verdana" w:hAnsi="Verdana"/>
                <w:color w:val="000080"/>
                <w:sz w:val="18"/>
                <w:szCs w:val="18"/>
              </w:rPr>
              <w:t>Alzheim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eri tõvega patsientide ravis kasutada </w:t>
            </w:r>
            <w:r w:rsidRPr="004B4108">
              <w:rPr>
                <w:rFonts w:ascii="Verdana" w:hAnsi="Verdana"/>
                <w:color w:val="000080"/>
                <w:sz w:val="18"/>
                <w:szCs w:val="18"/>
              </w:rPr>
              <w:t>kindlad kriteeriumid spetsiifilise farmakoloogilise ravi lõpetamiseks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.</w:t>
            </w:r>
          </w:p>
          <w:p w:rsidR="004B4108" w:rsidRPr="00A97024" w:rsidRDefault="004B4108" w:rsidP="004B41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A97024" w:rsidTr="00A97024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31077D" w:rsidRPr="00A97024" w:rsidRDefault="008A4CA3" w:rsidP="008A4CA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Dementsussündroomiga patsiendid</w:t>
            </w:r>
          </w:p>
        </w:tc>
      </w:tr>
      <w:tr w:rsidR="00432CD4" w:rsidRPr="00A97024" w:rsidTr="00A97024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661B71" w:rsidRDefault="00661B71" w:rsidP="00661B71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661B71">
              <w:rPr>
                <w:rFonts w:ascii="Verdana" w:hAnsi="Verdana"/>
                <w:color w:val="000080"/>
                <w:sz w:val="18"/>
                <w:szCs w:val="18"/>
              </w:rPr>
              <w:t xml:space="preserve">patsiendi toimetulek igapäevategevustega, </w:t>
            </w:r>
          </w:p>
          <w:p w:rsidR="00661B71" w:rsidRDefault="00661B71" w:rsidP="00661B71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661B71">
              <w:rPr>
                <w:rFonts w:ascii="Verdana" w:hAnsi="Verdana"/>
                <w:color w:val="000080"/>
                <w:sz w:val="18"/>
                <w:szCs w:val="18"/>
              </w:rPr>
              <w:t>patsiendi asutusho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olduse vajaduse edasilükkamine,</w:t>
            </w:r>
          </w:p>
          <w:p w:rsidR="00661B71" w:rsidRDefault="00661B71" w:rsidP="00661B71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661B71">
              <w:rPr>
                <w:rFonts w:ascii="Verdana" w:hAnsi="Verdana"/>
                <w:color w:val="000080"/>
                <w:sz w:val="18"/>
                <w:szCs w:val="18"/>
              </w:rPr>
              <w:t xml:space="preserve">patsiendi elukvaliteet, </w:t>
            </w:r>
          </w:p>
          <w:p w:rsidR="00661B71" w:rsidRDefault="00661B71" w:rsidP="00661B71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661B71">
              <w:rPr>
                <w:rFonts w:ascii="Verdana" w:hAnsi="Verdana"/>
                <w:color w:val="000080"/>
                <w:sz w:val="18"/>
                <w:szCs w:val="18"/>
              </w:rPr>
              <w:t>lähedase/omaste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>hooldaja/hooldaja elukvaliteet,</w:t>
            </w:r>
          </w:p>
          <w:p w:rsidR="0031077D" w:rsidRPr="00A97024" w:rsidRDefault="00661B71" w:rsidP="00661B71">
            <w:pPr>
              <w:numPr>
                <w:ilvl w:val="0"/>
                <w:numId w:val="4"/>
              </w:numPr>
              <w:rPr>
                <w:rFonts w:ascii="Verdana" w:hAnsi="Verdana"/>
                <w:color w:val="000080"/>
                <w:sz w:val="18"/>
                <w:szCs w:val="18"/>
              </w:rPr>
            </w:pPr>
            <w:r w:rsidRPr="00661B71">
              <w:rPr>
                <w:rFonts w:ascii="Verdana" w:hAnsi="Verdana"/>
                <w:color w:val="000080"/>
                <w:sz w:val="18"/>
                <w:szCs w:val="18"/>
              </w:rPr>
              <w:t>lähedase/omastehooldaja/hooldaja koormatus.</w:t>
            </w:r>
          </w:p>
        </w:tc>
      </w:tr>
      <w:tr w:rsidR="007D6E2D" w:rsidRPr="00A97024" w:rsidTr="00B54A1E">
        <w:tc>
          <w:tcPr>
            <w:tcW w:w="3468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="0002590A" w:rsidRPr="00A97024" w:rsidRDefault="0002590A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2506" w:type="dxa"/>
            <w:shd w:val="clear" w:color="auto" w:fill="auto"/>
          </w:tcPr>
          <w:p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2234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7D6E2D" w:rsidRPr="00A97024" w:rsidTr="00B54A1E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06" w:type="dxa"/>
            <w:shd w:val="clear" w:color="auto" w:fill="auto"/>
          </w:tcPr>
          <w:p w:rsidR="009F0116" w:rsidRDefault="009F0116" w:rsidP="009F011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Tõendusmaterjal on pigem keskmise kvaliteediga. Tugevaimad tõenduspõhi</w:t>
            </w:r>
            <w:r w:rsidRPr="009F0116">
              <w:rPr>
                <w:rFonts w:ascii="Verdana" w:hAnsi="Verdana"/>
                <w:color w:val="000080"/>
                <w:sz w:val="18"/>
                <w:szCs w:val="18"/>
              </w:rPr>
              <w:t>sed materjalid on Recommendations of the 4th Canadian Consensus Conference on the Diagnosis and Treatment of Dementia (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2012) ja </w:t>
            </w:r>
            <w:r w:rsidRPr="009F0116">
              <w:rPr>
                <w:rFonts w:ascii="Verdana" w:hAnsi="Verdana"/>
                <w:color w:val="000080"/>
                <w:sz w:val="18"/>
                <w:szCs w:val="18"/>
              </w:rPr>
              <w:t>Fourth Canadian Consensus Conference on the Diagnosis and Treatment of Dementia. Recommendations for family physicians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 (2014).</w:t>
            </w:r>
          </w:p>
          <w:p w:rsidR="00DA2401" w:rsidRDefault="00DA2401" w:rsidP="009F011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Ravi lõpetamise kriteeriumite kohta leiti 2 süstemaatilist ülevaadet. </w:t>
            </w:r>
          </w:p>
          <w:p w:rsidR="00B54A1E" w:rsidRPr="00A97024" w:rsidRDefault="00B54A1E" w:rsidP="009F011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</w:tcPr>
          <w:p w:rsidR="004F6C78" w:rsidRPr="00A97024" w:rsidRDefault="004F6C78" w:rsidP="00A97024">
            <w:pPr>
              <w:shd w:val="clear" w:color="auto" w:fill="FFFFFF"/>
              <w:spacing w:after="120"/>
              <w:ind w:left="36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</w:tr>
    </w:tbl>
    <w:p w:rsidR="00CE4799" w:rsidRPr="00A97024" w:rsidRDefault="00CE4799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2506"/>
        <w:gridCol w:w="2234"/>
      </w:tblGrid>
      <w:tr w:rsidR="007D6E2D" w:rsidRPr="00A97024" w:rsidTr="000767D3">
        <w:trPr>
          <w:trHeight w:val="3732"/>
        </w:trPr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06" w:type="dxa"/>
            <w:shd w:val="clear" w:color="auto" w:fill="auto"/>
          </w:tcPr>
          <w:p w:rsidR="000767D3" w:rsidRDefault="00DA240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Nii erinevates ravijuhendites kui ka süstemaatilistes ülevaadetes on välja toodud konkreetseid spetsiifilisi kriteeriume farmakoloogilise ravi lõpetamiseks. </w:t>
            </w:r>
          </w:p>
          <w:p w:rsidR="00CC15B1" w:rsidRPr="00A97024" w:rsidRDefault="00CC15B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Uuringutes on välja toodud ka tagajärjed, mis võivad tekkida ravi lõpetamisel.</w:t>
            </w:r>
          </w:p>
        </w:tc>
        <w:tc>
          <w:tcPr>
            <w:tcW w:w="2234" w:type="dxa"/>
            <w:shd w:val="clear" w:color="auto" w:fill="auto"/>
          </w:tcPr>
          <w:p w:rsidR="00CE4799" w:rsidRPr="00A97024" w:rsidRDefault="00CE479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02590A" w:rsidRPr="00A97024" w:rsidRDefault="0002590A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2506"/>
        <w:gridCol w:w="2234"/>
      </w:tblGrid>
      <w:tr w:rsidR="007D6E2D" w:rsidRPr="00A97024" w:rsidTr="005A7197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="00A97024"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06" w:type="dxa"/>
            <w:shd w:val="clear" w:color="auto" w:fill="auto"/>
          </w:tcPr>
          <w:p w:rsidR="00432CD4" w:rsidRPr="00A97024" w:rsidRDefault="00432CD4" w:rsidP="006D7602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2234" w:type="dxa"/>
            <w:shd w:val="clear" w:color="auto" w:fill="auto"/>
          </w:tcPr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F6C78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F6C78"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491832" w:rsidRPr="00A97024" w:rsidRDefault="00491832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7D6E2D" w:rsidRPr="00A97024" w:rsidTr="005A7197">
        <w:tc>
          <w:tcPr>
            <w:tcW w:w="3468" w:type="dxa"/>
            <w:shd w:val="clear" w:color="auto" w:fill="auto"/>
          </w:tcPr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A9702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506" w:type="dxa"/>
            <w:shd w:val="clear" w:color="auto" w:fill="auto"/>
          </w:tcPr>
          <w:p w:rsidR="00432CD4" w:rsidRPr="00BD162E" w:rsidRDefault="00CC15B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Majanduslikke analüüse ei otsitud.</w:t>
            </w:r>
          </w:p>
        </w:tc>
        <w:tc>
          <w:tcPr>
            <w:tcW w:w="2234" w:type="dxa"/>
            <w:shd w:val="clear" w:color="auto" w:fill="auto"/>
          </w:tcPr>
          <w:p w:rsidR="00432CD4" w:rsidRPr="00A97024" w:rsidRDefault="00432CD4" w:rsidP="00CE479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B22EE4" w:rsidRPr="00A97024" w:rsidTr="00A97024">
        <w:tc>
          <w:tcPr>
            <w:tcW w:w="3468" w:type="dxa"/>
            <w:shd w:val="clear" w:color="auto" w:fill="auto"/>
          </w:tcPr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="004F6C78"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4F6C78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1" w:name="OLE_LINK5"/>
            <w:bookmarkStart w:id="2" w:name="OLE_LINK6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more good than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there are important trade-offs between the benefits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and harms.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Uncertain 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it is not clear whether the intervention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 more good than harm.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not do more</w:t>
            </w:r>
          </w:p>
          <w:p w:rsidR="004F6C78" w:rsidRPr="00A97024" w:rsidRDefault="004F6C7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 than harm.</w:t>
            </w:r>
          </w:p>
          <w:bookmarkEnd w:id="1"/>
          <w:bookmarkEnd w:id="2"/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D25CBB" w:rsidRPr="00A97024" w:rsidRDefault="00D25CBB" w:rsidP="002A513E">
      <w:pPr>
        <w:rPr>
          <w:rFonts w:ascii="Verdana" w:hAnsi="Verdana"/>
          <w:sz w:val="18"/>
          <w:szCs w:val="18"/>
        </w:rPr>
      </w:pPr>
    </w:p>
    <w:sectPr w:rsidR="00D25CBB" w:rsidRPr="00A97024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D9C" w:rsidRDefault="00FB1D9C" w:rsidP="003D7DEF">
      <w:r>
        <w:separator/>
      </w:r>
    </w:p>
  </w:endnote>
  <w:endnote w:type="continuationSeparator" w:id="0">
    <w:p w:rsidR="00FB1D9C" w:rsidRDefault="00FB1D9C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99" w:rsidRPr="0002590A" w:rsidRDefault="00CE4799" w:rsidP="00891C08">
    <w:pPr>
      <w:pStyle w:val="Jalus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4B3ACE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4B3ACE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D9C" w:rsidRDefault="00FB1D9C" w:rsidP="003D7DEF">
      <w:r>
        <w:separator/>
      </w:r>
    </w:p>
  </w:footnote>
  <w:footnote w:type="continuationSeparator" w:id="0">
    <w:p w:rsidR="00FB1D9C" w:rsidRDefault="00FB1D9C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99" w:rsidRPr="0002590A" w:rsidRDefault="00CE4799" w:rsidP="00891C08">
    <w:pPr>
      <w:pStyle w:val="Pis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024" w:rsidRDefault="00A97024">
    <w:pPr>
      <w:pStyle w:val="Pis"/>
    </w:pPr>
    <w:r>
      <w:t>Soovituste koostamiseks kokkuvõte</w:t>
    </w:r>
    <w:r w:rsidR="00523AAB">
      <w:t xml:space="preserve"> - soKo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66AB"/>
    <w:multiLevelType w:val="hybridMultilevel"/>
    <w:tmpl w:val="1A1CFD0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7D3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3F98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0F9E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3D71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596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ACE"/>
    <w:rsid w:val="004B3B18"/>
    <w:rsid w:val="004B410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894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A7197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D05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1F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1B71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549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D7602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2F7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3E4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4CA3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1FB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0116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4A1E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62E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62EC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5B1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401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034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1D9C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2CB1A0-CD13-4DE8-BE00-BF3AB568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t-EE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table" w:styleId="Kontuurtabel">
    <w:name w:val="Table Grid"/>
    <w:basedOn w:val="Normaaltabe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semiHidden/>
    <w:rsid w:val="00491832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891C0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91C08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891C08"/>
  </w:style>
  <w:style w:type="character" w:customStyle="1" w:styleId="PisMrk">
    <w:name w:val="Päis Märk"/>
    <w:link w:val="Pis"/>
    <w:uiPriority w:val="99"/>
    <w:rsid w:val="00A97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subject/>
  <dc:creator>Kasutaja</dc:creator>
  <cp:keywords/>
  <cp:lastModifiedBy>Windowsi kasutaja</cp:lastModifiedBy>
  <cp:revision>2</cp:revision>
  <cp:lastPrinted>2011-04-03T13:46:00Z</cp:lastPrinted>
  <dcterms:created xsi:type="dcterms:W3CDTF">2016-11-16T14:09:00Z</dcterms:created>
  <dcterms:modified xsi:type="dcterms:W3CDTF">2016-11-16T14:09:00Z</dcterms:modified>
</cp:coreProperties>
</file>