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A97024" w:rsidR="0002590A" w:rsidP="004F6C78" w:rsidRDefault="0002590A" w14:paraId="3811FBC3" wp14:textId="77777777">
      <w:pPr>
        <w:rPr>
          <w:rFonts w:ascii="Verdana" w:hAnsi="Verdana"/>
          <w:b/>
          <w:color w:val="000080"/>
          <w:sz w:val="18"/>
          <w:szCs w:val="18"/>
        </w:rPr>
      </w:pPr>
    </w:p>
    <w:p xmlns:wp14="http://schemas.microsoft.com/office/word/2010/wordml" w:rsidRPr="00A97024" w:rsidR="004F6C78" w:rsidP="004F6C78" w:rsidRDefault="0031077D" w14:paraId="76C6BF4F" wp14:noSpellErr="1" wp14:textId="59283C99">
      <w:pPr>
        <w:rPr>
          <w:rFonts w:ascii="Verdana" w:hAnsi="Verdana"/>
          <w:b/>
          <w:color w:val="000080"/>
          <w:sz w:val="18"/>
          <w:szCs w:val="18"/>
        </w:rPr>
      </w:pPr>
      <w:r w:rsidRPr="0F4B67F7" w:rsidR="0F4B67F7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 xml:space="preserve">Kliiniline küsimus nr </w:t>
      </w:r>
      <w:r w:rsidRPr="0F4B67F7" w:rsidR="0F4B67F7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>12</w:t>
      </w:r>
    </w:p>
    <w:p w:rsidR="0F4B67F7" w:rsidRDefault="0F4B67F7" w14:paraId="2590BAE9" w14:textId="6DA60E62"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 xml:space="preserve">Kas </w:t>
      </w:r>
      <w:proofErr w:type="spellStart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Alzheimeri</w:t>
      </w:r>
      <w:proofErr w:type="spellEnd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 xml:space="preserve"> tõvega patsientidel, kellel esineb psüühika- ja käitumishäireid, kasutada sümptomite leevendamiseks mittefarmakoloogilisi sekkumisi vs. farmakoloogilist ravi (psühhotroopsed ravimid, </w:t>
      </w:r>
      <w:proofErr w:type="spellStart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neuroleptikumid</w:t>
      </w:r>
      <w:proofErr w:type="spellEnd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 xml:space="preserve">, </w:t>
      </w:r>
      <w:proofErr w:type="spellStart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antidepressandid</w:t>
      </w:r>
      <w:proofErr w:type="spellEnd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 xml:space="preserve"> uinutid, rahustid) vs. samaaegselt mittefarmakoloogilisi sekkumisi ja farmakoloogilist ravi?</w:t>
      </w:r>
      <w:r w:rsidRPr="0F4B67F7" w:rsidR="0F4B67F7">
        <w:rPr>
          <w:rFonts w:ascii="Verdana" w:hAnsi="Verdana" w:eastAsia="Verdana" w:cs="Verdana"/>
          <w:sz w:val="24"/>
          <w:szCs w:val="24"/>
        </w:rPr>
        <w:t xml:space="preserve"> </w:t>
      </w:r>
    </w:p>
    <w:p xmlns:wp14="http://schemas.microsoft.com/office/word/2010/wordml" w:rsidRPr="00A97024" w:rsidR="0002590A" w:rsidRDefault="007523E4" w14:paraId="22D3290D" wp14:noSpellErr="1" wp14:textId="409D55AC">
      <w:pPr>
        <w:rPr>
          <w:rFonts w:ascii="Verdana" w:hAnsi="Verdana"/>
          <w:i/>
          <w:sz w:val="18"/>
          <w:szCs w:val="18"/>
        </w:rPr>
      </w:pPr>
    </w:p>
    <w:p w:rsidR="0F4B67F7" w:rsidP="0F4B67F7" w:rsidRDefault="0F4B67F7" w14:paraId="2F3F081D" w14:textId="5641ED97">
      <w:pPr>
        <w:jc w:val="both"/>
      </w:pPr>
      <w:r w:rsidRPr="0F4B67F7" w:rsidR="0F4B67F7">
        <w:rPr>
          <w:rFonts w:ascii="Verdana" w:hAnsi="Verdana" w:eastAsia="Verdana" w:cs="Verdana"/>
          <w:sz w:val="20"/>
          <w:szCs w:val="20"/>
          <w:u w:val="single"/>
          <w:lang w:val="et-EE"/>
        </w:rPr>
        <w:t>Kriitilised tulemusnäitajad</w:t>
      </w:r>
      <w:r w:rsidRPr="0F4B67F7" w:rsidR="0F4B67F7">
        <w:rPr>
          <w:rFonts w:ascii="Verdana" w:hAnsi="Verdana" w:eastAsia="Verdana" w:cs="Verdana"/>
          <w:sz w:val="20"/>
          <w:szCs w:val="20"/>
          <w:u w:val="single"/>
          <w:lang w:val="et-EE"/>
        </w:rPr>
        <w:t>:</w:t>
      </w:r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 xml:space="preserve"> </w:t>
      </w:r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patsiendi käitumis- ja psüühikahäirete vähenemine, patsiendi ohutuse tagamine, patsiendi ohjamisvajaduse ennetus, patsiendi elukvaliteet, patsiendi asutushoolduse vajaduse edasilükkamine, lähedase/</w:t>
      </w:r>
      <w:proofErr w:type="spellStart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omastehooldaja</w:t>
      </w:r>
      <w:proofErr w:type="spellEnd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/hooldaja elukvaliteet, lähedase/</w:t>
      </w:r>
      <w:proofErr w:type="spellStart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omastehooldaja</w:t>
      </w:r>
      <w:proofErr w:type="spellEnd"/>
      <w:r w:rsidRPr="0F4B67F7" w:rsidR="0F4B67F7">
        <w:rPr>
          <w:rFonts w:ascii="Verdana" w:hAnsi="Verdana" w:eastAsia="Verdana" w:cs="Verdana"/>
          <w:sz w:val="20"/>
          <w:szCs w:val="20"/>
          <w:lang w:val="et-EE"/>
        </w:rPr>
        <w:t>/hooldaja koormatus.</w:t>
      </w:r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1560"/>
        <w:gridCol w:w="3180"/>
      </w:tblGrid>
      <w:tr xmlns:wp14="http://schemas.microsoft.com/office/word/2010/wordml" w:rsidRPr="00A97024" w:rsidR="00432CD4" w:rsidTr="0F4B67F7" w14:paraId="45AA6F9E" wp14:textId="77777777">
        <w:tc>
          <w:tcPr>
            <w:tcW w:w="9288" w:type="dxa"/>
            <w:gridSpan w:val="4"/>
            <w:shd w:val="clear" w:color="auto" w:fill="auto"/>
            <w:tcMar/>
          </w:tcPr>
          <w:p w:rsidRPr="00A97024" w:rsidR="00891C08" w:rsidRDefault="00891C08" w14:paraId="153B19EE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A97024" w:rsidR="004F6C78" w:rsidP="00891C08" w:rsidRDefault="0031077D" w14:paraId="016D1298" w14:noSpellErr="1" wp14:textId="75869539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Töörühma soovitus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ed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: </w:t>
            </w:r>
          </w:p>
          <w:p w:rsidR="0F4B67F7" w:rsidP="0F4B67F7" w:rsidRDefault="0F4B67F7" w14:paraId="457FFF74" w14:textId="3789651C">
            <w:pPr>
              <w:pStyle w:val="ListParagraph"/>
              <w:numPr>
                <w:ilvl w:val="0"/>
                <w:numId w:val="4"/>
              </w:numPr>
              <w:rPr>
                <w:rFonts w:ascii="Verdana" w:hAnsi="Verdana" w:eastAsia="Verdana" w:cs="Verdana"/>
                <w:color w:val="002060"/>
                <w:sz w:val="18"/>
                <w:szCs w:val="18"/>
              </w:rPr>
            </w:pP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Psüühika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-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ja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käitumishäirete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ilmnemisel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AT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haigel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tuleks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esmalt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välistada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somaatiline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põhjus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või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ravimi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kõrvaltoime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.</w:t>
            </w:r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</w:rPr>
              <w:t xml:space="preserve"> </w:t>
            </w:r>
          </w:p>
          <w:p w:rsidR="0F4B67F7" w:rsidP="0F4B67F7" w:rsidRDefault="0F4B67F7" w14:paraId="4DAEB48A" w14:textId="24B1FBBD">
            <w:pPr>
              <w:pStyle w:val="ListParagraph"/>
              <w:numPr>
                <w:ilvl w:val="0"/>
                <w:numId w:val="4"/>
              </w:numPr>
              <w:rPr>
                <w:rFonts w:ascii="Verdana" w:hAnsi="Verdana" w:eastAsia="Verdana" w:cs="Verdana"/>
                <w:color w:val="002060"/>
                <w:sz w:val="18"/>
                <w:szCs w:val="18"/>
              </w:rPr>
            </w:pP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Psüühika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-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ja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käitumishäirete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ravis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tuleks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AT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haigetel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esmalt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proovida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mittefarmakoloogilisi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rav</w:t>
            </w:r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imeetodeid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kuigi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nende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efekt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on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tagasihoidlik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ja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tõenduspõhisus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nõrk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.</w:t>
            </w:r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</w:rPr>
              <w:t xml:space="preserve"> </w:t>
            </w:r>
          </w:p>
          <w:p w:rsidR="0F4B67F7" w:rsidP="0F4B67F7" w:rsidRDefault="0F4B67F7" w14:paraId="60018807" w14:textId="2DF9A138">
            <w:pPr>
              <w:pStyle w:val="ListParagraph"/>
              <w:numPr>
                <w:ilvl w:val="0"/>
                <w:numId w:val="4"/>
              </w:numPr>
              <w:rPr>
                <w:rFonts w:ascii="Verdana" w:hAnsi="Verdana" w:eastAsia="Verdana" w:cs="Verdana"/>
                <w:color w:val="002060"/>
                <w:sz w:val="18"/>
                <w:szCs w:val="18"/>
              </w:rPr>
            </w:pP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Psüühika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-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ja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käitumishäirete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raviks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kasutavatest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mittefarmakoloogilistest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meetoditest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võib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kaaluda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multisensoorset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stimulatsiooni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muusikateraapiat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omastehooldajate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ja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personali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õpetamist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2060"/>
                <w:sz w:val="18"/>
                <w:szCs w:val="18"/>
                <w:lang w:val="en-GB"/>
              </w:rPr>
              <w:t>.</w:t>
            </w:r>
          </w:p>
          <w:p w:rsidRPr="00A97024" w:rsidR="00891C08" w:rsidP="00891C08" w:rsidRDefault="00891C08" w14:paraId="18877B6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0F4B67F7" w14:paraId="70C2726B" wp14:textId="77777777">
        <w:tc>
          <w:tcPr>
            <w:tcW w:w="3468" w:type="dxa"/>
            <w:shd w:val="clear" w:color="auto" w:fill="auto"/>
            <w:tcMar/>
          </w:tcPr>
          <w:p w:rsidRPr="00A97024" w:rsidR="00432CD4" w:rsidRDefault="0031077D" w14:paraId="498E8517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5820" w:type="dxa"/>
            <w:gridSpan w:val="3"/>
            <w:shd w:val="clear" w:color="auto" w:fill="auto"/>
            <w:tcMar/>
          </w:tcPr>
          <w:p w:rsidRPr="00A97024" w:rsidR="0002590A" w:rsidP="0031077D" w:rsidRDefault="007523E4" w14:paraId="6E9AEF3E" wp14:textId="4BD8B365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Alzheimeri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tõvega patsiendid, kellel esineb psüühika- ja käitumishäireid</w:t>
            </w:r>
          </w:p>
          <w:p w:rsidRPr="00A97024" w:rsidR="0031077D" w:rsidP="0031077D" w:rsidRDefault="0031077D" w14:paraId="371EAC6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0F4B67F7" w14:paraId="1F832A28" wp14:textId="77777777">
        <w:tc>
          <w:tcPr>
            <w:tcW w:w="3468" w:type="dxa"/>
            <w:shd w:val="clear" w:color="auto" w:fill="auto"/>
            <w:tcMar/>
          </w:tcPr>
          <w:p w:rsidRPr="00A97024" w:rsidR="00432CD4" w:rsidRDefault="0031077D" w14:paraId="701AA43F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5820" w:type="dxa"/>
            <w:gridSpan w:val="3"/>
            <w:shd w:val="clear" w:color="auto" w:fill="auto"/>
            <w:tcMar/>
          </w:tcPr>
          <w:p w:rsidRPr="00A97024" w:rsidR="0002590A" w:rsidP="0031077D" w:rsidRDefault="007523E4" w14:paraId="2FECFF21" w14:noSpellErr="1" wp14:textId="2329FEB6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Mittefarmakoloogilised ja farmakoloogilised sekkumised</w:t>
            </w:r>
          </w:p>
          <w:p w:rsidRPr="00A97024" w:rsidR="0031077D" w:rsidP="0031077D" w:rsidRDefault="0031077D" w14:paraId="167F7A3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F4B67F7" w14:paraId="121C40E9" wp14:textId="77777777">
        <w:tc>
          <w:tcPr>
            <w:tcW w:w="3468" w:type="dxa"/>
            <w:shd w:val="clear" w:color="auto" w:fill="auto"/>
            <w:tcMar/>
          </w:tcPr>
          <w:p w:rsidRPr="00A97024" w:rsidR="00432CD4" w:rsidRDefault="0031077D" w14:paraId="40CA9FF3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Pr="00A97024" w:rsidR="0002590A" w:rsidRDefault="0002590A" w14:paraId="5C5EA1A1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RDefault="0031077D" w14:paraId="7FD6B295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1560" w:type="dxa"/>
            <w:shd w:val="clear" w:color="auto" w:fill="auto"/>
            <w:tcMar/>
          </w:tcPr>
          <w:p w:rsidRPr="00A97024" w:rsidR="00432CD4" w:rsidRDefault="0031077D" w14:paraId="079D12A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32CD4" w:rsidRDefault="00432CD4" w14:paraId="55A74692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F4B67F7" w14:paraId="51A49BA3" wp14:textId="77777777">
        <w:tc>
          <w:tcPr>
            <w:tcW w:w="3468" w:type="dxa"/>
            <w:shd w:val="clear" w:color="auto" w:fill="auto"/>
            <w:tcMar/>
          </w:tcPr>
          <w:p w:rsidRPr="00A97024" w:rsidR="0031077D" w:rsidP="00A97024" w:rsidRDefault="0031077D" w14:paraId="182A11B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:rsidRPr="00A97024" w:rsidR="0031077D" w:rsidP="00A97024" w:rsidRDefault="0031077D" w14:paraId="09A2373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:rsidRPr="00A97024" w:rsidR="0031077D" w:rsidP="00A97024" w:rsidRDefault="0031077D" w14:paraId="57BD110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31077D" w:rsidP="00A97024" w:rsidRDefault="0031077D" w14:paraId="3081247A" wp14:textId="77777777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161200F5" wp14:textId="77777777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:rsidRPr="00A97024" w:rsidR="00432CD4" w:rsidP="00A97024" w:rsidRDefault="00432CD4" w14:paraId="14E768EC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RDefault="00432CD4" w14:paraId="5E9D7B5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432CD4" w14:paraId="0136A3C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432CD4" w14:paraId="3AF6D6D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RDefault="00432CD4" w14:paraId="58D513D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2C454EBD" w14:noSpellErr="1" wp14:textId="7847703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  <w:tcMar/>
          </w:tcPr>
          <w:p w:rsidRPr="00A97024" w:rsidR="00432CD4" w:rsidRDefault="007523E4" w14:paraId="5C0E255C" w14:noSpellErr="1" wp14:textId="247A9EDA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Mittefarmakoloogiliste ravimeetodite osas puudub hea tõendusmaterjal, kuna uuringugrupid on väiksed, uuritud on enamasti kerge-mõõduka dementsusega patsiente ja uuringuprotokollid on väga varieeruvad. Üldiselt on efekt vähene ja lühiaegne.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F6C78" w:rsidP="00A97024" w:rsidRDefault="004F6C78" w14:paraId="0431093F" wp14:textId="77777777">
            <w:pPr>
              <w:shd w:val="clear" w:color="auto" w:fill="FFFFFF"/>
              <w:spacing w:after="120"/>
              <w:ind w:left="360" w:right="240"/>
              <w:jc w:val="both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CE4799" w:rsidRDefault="00CE4799" w14:paraId="7B0ECB77" wp14:textId="77777777"/>
    <w:tbl>
      <w:tblPr>
        <w:tblW w:w="9288" w:type="dxa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  <w:tblCaption w:val=""/>
        <w:tblDescription w:val=""/>
      </w:tblPr>
      <w:tblGrid>
        <w:gridCol w:w="3468"/>
        <w:gridCol w:w="1080"/>
        <w:gridCol w:w="2625"/>
        <w:gridCol w:w="2115"/>
      </w:tblGrid>
      <w:tr xmlns:wp14="http://schemas.microsoft.com/office/word/2010/wordml" w:rsidRPr="00A97024" w:rsidR="007D6E2D" w:rsidTr="0F4B67F7" w14:paraId="72384AEA" wp14:textId="77777777">
        <w:tc>
          <w:tcPr>
            <w:tcW w:w="3468" w:type="dxa"/>
            <w:shd w:val="clear" w:color="auto" w:fill="auto"/>
            <w:tcMar/>
          </w:tcPr>
          <w:p w:rsidRPr="00A97024" w:rsidR="0031077D" w:rsidP="00A97024" w:rsidRDefault="0031077D" w14:paraId="56495DC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:rsidRPr="00A97024" w:rsidR="0031077D" w:rsidP="00A97024" w:rsidRDefault="0031077D" w14:paraId="2543BB3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:rsidRPr="00A97024" w:rsidR="0031077D" w:rsidP="00A97024" w:rsidRDefault="0031077D" w14:paraId="742022A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:rsidRPr="00A97024" w:rsidR="0031077D" w:rsidP="00A97024" w:rsidRDefault="0031077D" w14:paraId="63D1768E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198D718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:rsidRPr="00A97024" w:rsidR="0031077D" w:rsidP="00A97024" w:rsidRDefault="0031077D" w14:paraId="0CFCAA7E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:rsidRPr="00A97024" w:rsidR="0031077D" w:rsidP="00A97024" w:rsidRDefault="0031077D" w14:paraId="5BFD99BD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:rsidRPr="00A97024" w:rsidR="0031077D" w:rsidP="00A97024" w:rsidRDefault="0031077D" w14:paraId="0C1C9EC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:rsidRPr="00A97024" w:rsidR="0031077D" w:rsidP="00A97024" w:rsidRDefault="0031077D" w14:paraId="4DE51FF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:rsidRPr="00A97024" w:rsidR="0031077D" w:rsidP="00A97024" w:rsidRDefault="0031077D" w14:paraId="28A21BDC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:rsidRPr="00A97024" w:rsidR="0031077D" w:rsidP="00A97024" w:rsidRDefault="0031077D" w14:paraId="3CC5E59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:rsidRPr="00A97024" w:rsidR="00432CD4" w:rsidP="0031077D" w:rsidRDefault="0031077D" w14:paraId="33AC04B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P="00432CD4" w:rsidRDefault="00432CD4" w14:paraId="2CF0370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77475BC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1A681DAE" w14:noSpellErr="1" wp14:textId="44BEFFC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2647994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1B36166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625" w:type="dxa"/>
            <w:shd w:val="clear" w:color="auto" w:fill="auto"/>
            <w:tcMar/>
          </w:tcPr>
          <w:p w:rsidRPr="00A97024" w:rsidR="00432CD4" w:rsidRDefault="007523E4" w14:paraId="545AD247" wp14:textId="5BEB52EA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Mittefarmakoloogilisi ravimeetodeid peaks eelistama farmakoloogiliste ees, kuna on näidatud, et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antipsühhootikumis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halvendavad kognitiivsed funktsiooni, neil on kõrgem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tserebrovaskulaarsete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haiguste risk, nad tõstavad hospitaliseerimise aja keskust ja suremust. Mittefarmakoloogilistel ravimeetoditel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kõrvaltoimed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praktiliselt puuduvad. </w:t>
            </w:r>
          </w:p>
        </w:tc>
        <w:tc>
          <w:tcPr>
            <w:tcW w:w="2115" w:type="dxa"/>
            <w:shd w:val="clear" w:color="auto" w:fill="auto"/>
            <w:tcMar/>
          </w:tcPr>
          <w:p w:rsidRPr="00A97024" w:rsidR="00CE4799" w:rsidRDefault="00CE4799" w14:paraId="7405D3FA" wp14:textId="33410352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</w:tbl>
    <w:p xmlns:wp14="http://schemas.microsoft.com/office/word/2010/wordml" w:rsidRPr="00A97024" w:rsidR="0002590A" w:rsidRDefault="0002590A" w14:paraId="7D11082E" wp14:textId="77777777"/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1560"/>
        <w:gridCol w:w="3180"/>
      </w:tblGrid>
      <w:tr xmlns:wp14="http://schemas.microsoft.com/office/word/2010/wordml" w:rsidRPr="00A97024" w:rsidR="007D6E2D" w:rsidTr="0F4B67F7" w14:paraId="77CADB66" wp14:textId="77777777">
        <w:tc>
          <w:tcPr>
            <w:tcW w:w="3468" w:type="dxa"/>
            <w:shd w:val="clear" w:color="auto" w:fill="auto"/>
            <w:tcMar/>
          </w:tcPr>
          <w:p w:rsidRPr="00A97024" w:rsidR="0031077D" w:rsidP="00A97024" w:rsidRDefault="0031077D" w14:paraId="39DA49A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Pr="00A97024" w:rsidR="0031077D" w:rsidP="00A97024" w:rsidRDefault="0031077D" w14:paraId="101F18D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59C2CBF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Pr="00A97024" w:rsid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Pr="00A97024" w:rsidR="0031077D" w:rsidP="00A97024" w:rsidRDefault="0031077D" w14:paraId="03A0127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Pr="00A97024" w:rsidR="00432CD4" w:rsidP="0031077D" w:rsidRDefault="0031077D" w14:paraId="1224F71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P="00432CD4" w:rsidRDefault="00432CD4" w14:paraId="4857E14C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33A4186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5E499889" w14:noSpellErr="1" wp14:textId="0719C6DF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J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ah</w:t>
            </w:r>
          </w:p>
          <w:p w:rsidRPr="00A97024" w:rsidR="00432CD4" w:rsidP="00432CD4" w:rsidRDefault="00432CD4" w14:paraId="733DDB6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140C7EE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  <w:tcMar/>
          </w:tcPr>
          <w:p w:rsidRPr="00A97024" w:rsidR="00432CD4" w:rsidP="006D7602" w:rsidRDefault="007523E4" w14:paraId="2BBBF5E2" wp14:textId="1264C20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Mittefarmakoloogilised ravimeetodid h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õlmavad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suures osas kognitiivsele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stimulatsioonilesuunatud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meetodeid. Uuringutes on ära toodud, et patsiendid osalevad neis teraapiates hea meelega.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F6C78" w:rsidRDefault="004F6C78" w14:paraId="1B70AEC2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F6C78" w:rsidRDefault="0031077D" w14:paraId="1FE3F5F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Pr="00A97024" w:rsidR="00491832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4F6C78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Pr="00A97024" w:rsidR="00491832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:rsidRPr="00A97024" w:rsidR="004F6C78" w:rsidRDefault="004F6C78" w14:paraId="6A81422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31077D" w14:paraId="371AE66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Pr="00A97024" w:rsidR="004F6C78" w:rsidRDefault="004F6C78" w14:paraId="0BB68FE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Pr="00A97024" w:rsidR="00491832" w:rsidP="004F6C78" w:rsidRDefault="00491832" w14:paraId="23CB9C1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3C19D50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44A7F12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3C2C780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7D85986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09D7F10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F4B67F7" w14:paraId="07DF089E" wp14:textId="77777777">
        <w:tc>
          <w:tcPr>
            <w:tcW w:w="3468" w:type="dxa"/>
            <w:shd w:val="clear" w:color="auto" w:fill="auto"/>
            <w:tcMar/>
          </w:tcPr>
          <w:p w:rsidRPr="00A97024" w:rsidR="00A97024" w:rsidP="00A97024" w:rsidRDefault="00A97024" w14:paraId="594C1B5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Pr="00A97024" w:rsidR="00A97024" w:rsidP="00A97024" w:rsidRDefault="00A97024" w14:paraId="613B642E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Pr="00A97024" w:rsidR="00A97024" w:rsidP="00A97024" w:rsidRDefault="00A97024" w14:paraId="31AD444D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A97024" w:rsidP="00A97024" w:rsidRDefault="00A97024" w14:paraId="09EF47F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Pr="00A97024" w:rsidR="00A97024" w:rsidP="00A97024" w:rsidRDefault="00A97024" w14:paraId="208EB92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Pr="00A97024" w:rsidR="00A97024" w:rsidP="00A97024" w:rsidRDefault="00A97024" w14:paraId="328D7A9A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Pr="00A97024" w:rsidR="00A97024" w:rsidP="00A97024" w:rsidRDefault="00A97024" w14:paraId="110F385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Pr="00A97024" w:rsidR="00A97024" w:rsidP="00A97024" w:rsidRDefault="00A97024" w14:paraId="07B3531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Pr="00A97024" w:rsidR="00A97024" w:rsidP="00A97024" w:rsidRDefault="00A97024" w14:paraId="102B354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:rsidRPr="00A97024" w:rsidR="00A97024" w:rsidP="00A97024" w:rsidRDefault="00A97024" w14:paraId="7DFDC34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432CD4" w:rsidP="00A97024" w:rsidRDefault="00432CD4" w14:paraId="7A6D6F83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P="00432CD4" w:rsidRDefault="00432CD4" w14:paraId="1C6F142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1524A25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1A5D56B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6031641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A97024" w:rsidRDefault="00432CD4" w14:paraId="07687A73" w14:noSpellErr="1" wp14:textId="0F81FA5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□ 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Ei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?</w:t>
            </w:r>
          </w:p>
        </w:tc>
        <w:tc>
          <w:tcPr>
            <w:tcW w:w="1560" w:type="dxa"/>
            <w:shd w:val="clear" w:color="auto" w:fill="auto"/>
            <w:tcMar/>
          </w:tcPr>
          <w:p w:rsidRPr="007523E4" w:rsidR="00432CD4" w:rsidRDefault="006D7602" w14:paraId="44A4C931" wp14:textId="43B54609">
            <w:pPr>
              <w:rPr>
                <w:rFonts w:ascii="Verdana" w:hAnsi="Verdana"/>
                <w:color w:val="000080"/>
                <w:sz w:val="18"/>
                <w:szCs w:val="18"/>
                <w:highlight w:val="yellow"/>
              </w:rPr>
            </w:pP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Majanduslikku mõju mittefarmakoloogiliste meetodite osas on kirjeldatud ühes süstemaatilises ülevaates (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Bro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tady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et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al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.), kus öeldakse, et mittefarmakoloogilised meetodid on </w:t>
            </w:r>
            <w:proofErr w:type="spellStart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kuluefektiivsed,kuna</w:t>
            </w:r>
            <w:proofErr w:type="spellEnd"/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lükkavad edasi asutushooldusele suunamist.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0F4B67F7" w:rsidR="0F4B67F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Samas vajavad erinevad teraapiad spetsialistide olemasolu ja aega. Potentsiaalne kasu on väike ja lühiaegne. Siiski soovitatakse kõigis ravijuhendites alustada mittefarmakoloogiliste meetoditega.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32CD4" w:rsidP="00CE4799" w:rsidRDefault="00432CD4" w14:paraId="2859815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B22EE4" w:rsidTr="0F4B67F7" w14:paraId="2DD30637" wp14:textId="77777777">
        <w:tc>
          <w:tcPr>
            <w:tcW w:w="3468" w:type="dxa"/>
            <w:shd w:val="clear" w:color="auto" w:fill="auto"/>
            <w:tcMar/>
          </w:tcPr>
          <w:p w:rsidRPr="00A97024" w:rsidR="00A97024" w:rsidP="00A97024" w:rsidRDefault="00A97024" w14:paraId="5AA7449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Pr="00A97024" w:rsidR="004F6C78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A97024" w:rsidP="00A97024" w:rsidRDefault="00A97024" w14:paraId="14959CF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A97024" w:rsidP="00A97024" w:rsidRDefault="00A97024" w14:paraId="1109EFB3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Pr="00A97024" w:rsidR="00A97024" w:rsidP="00A97024" w:rsidRDefault="00A97024" w14:paraId="183B55F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Pr="00A97024" w:rsidR="00A97024" w:rsidP="00A97024" w:rsidRDefault="00A97024" w14:paraId="0D0C410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Pr="00A97024" w:rsidR="00A97024" w:rsidP="00A97024" w:rsidRDefault="00A97024" w14:paraId="0CC619A4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Pr="00A97024" w:rsidR="00A97024" w:rsidP="00A97024" w:rsidRDefault="00A97024" w14:paraId="634D374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Pr="00A97024" w:rsidR="004F6C78" w:rsidP="00A97024" w:rsidRDefault="00A97024" w14:paraId="1A91095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5820" w:type="dxa"/>
            <w:gridSpan w:val="3"/>
            <w:shd w:val="clear" w:color="auto" w:fill="auto"/>
            <w:tcMar/>
          </w:tcPr>
          <w:p w:rsidRPr="00A97024" w:rsidR="004F6C78" w:rsidRDefault="004F6C78" w14:paraId="776A7A4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F6C78" w:rsidP="00A97024" w:rsidRDefault="004F6C78" w14:paraId="1840FD39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bookmarkStart w:name="OLE_LINK5" w:id="0"/>
            <w:bookmarkStart w:name="OLE_LINK6" w:id="1"/>
            <w:r w:rsidRPr="0F4B67F7">
              <w:rPr>
                <w:rFonts w:ascii="Verdana,New-Baskerville-BoldA" w:hAnsi="Verdana,New-Baskerville-BoldA" w:eastAsia="Verdana,New-Baskerville-BoldA" w:cs="Verdana,New-Baskerville-BoldA"/>
                <w:b w:val="1"/>
                <w:bCs w:val="1"/>
                <w:color w:val="000080"/>
                <w:sz w:val="18"/>
                <w:szCs w:val="18"/>
                <w:u w:val="single"/>
              </w:rPr>
              <w:t xml:space="preserve">Net </w:t>
            </w:r>
            <w:proofErr w:type="spellStart"/>
            <w:r w:rsidRPr="0F4B67F7">
              <w:rPr>
                <w:rFonts w:ascii="Verdana,New-Baskerville-BoldA" w:hAnsi="Verdana,New-Baskerville-BoldA" w:eastAsia="Verdana,New-Baskerville-BoldA" w:cs="Verdana,New-Baskerville-BoldA"/>
                <w:b w:val="1"/>
                <w:bCs w:val="1"/>
                <w:color w:val="000080"/>
                <w:sz w:val="18"/>
                <w:szCs w:val="18"/>
                <w:u w:val="single"/>
              </w:rPr>
              <w:t>benefits</w:t>
            </w:r>
            <w:proofErr w:type="spellEnd"/>
            <w:r w:rsidRPr="0F4B67F7">
              <w:rPr>
                <w:rFonts w:ascii="Verdana,New-Baskerville-BoldA" w:hAnsi="Verdana,New-Baskerville-BoldA" w:eastAsia="Verdana,New-Baskerville-BoldA" w:cs="Verdana,New-Baskerville-BoldA"/>
                <w:b w:val="1"/>
                <w:bCs w:val="1"/>
                <w:color w:val="000080"/>
                <w:sz w:val="18"/>
                <w:szCs w:val="18"/>
                <w:u w:val="single"/>
              </w:rPr>
              <w:t xml:space="preserve"> </w:t>
            </w:r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=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the</w:t>
            </w:r>
            <w:proofErr w:type="spellEnd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intervention</w:t>
            </w:r>
            <w:proofErr w:type="spellEnd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clearly</w:t>
            </w:r>
            <w:proofErr w:type="spellEnd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does</w:t>
            </w:r>
            <w:proofErr w:type="spellEnd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more</w:t>
            </w:r>
            <w:proofErr w:type="spellEnd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good</w:t>
            </w:r>
            <w:proofErr w:type="spellEnd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than</w:t>
            </w:r>
            <w:proofErr w:type="spellEnd"/>
          </w:p>
          <w:p w:rsidRPr="00A97024" w:rsidR="004F6C78" w:rsidP="00A97024" w:rsidRDefault="004F6C78" w14:paraId="2F5DE2D5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0F4B67F7" w:rsid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harm</w:t>
            </w:r>
            <w:proofErr w:type="spellEnd"/>
            <w:r w:rsidRPr="0F4B67F7" w:rsidR="0F4B67F7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.</w:t>
            </w:r>
          </w:p>
          <w:p w:rsidRPr="00A97024" w:rsidR="004F6C78" w:rsidP="00A97024" w:rsidRDefault="004F6C78" w14:paraId="40E4902D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Pr="00A97024" w:rsidR="004F6C78" w:rsidP="00A97024" w:rsidRDefault="004F6C78" w14:paraId="7A4542F6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Trade-offs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there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are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important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trade-offs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between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benefits</w:t>
            </w:r>
            <w:proofErr w:type="spellEnd"/>
            <w:r w:rsidRPr="00A97024" w:rsidR="008B2141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and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p w:rsidRPr="00A97024" w:rsidR="004F6C78" w:rsidP="00A97024" w:rsidRDefault="004F6C78" w14:paraId="300258A3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Pr="00A97024" w:rsidR="004F6C78" w:rsidP="00A97024" w:rsidRDefault="004F6C78" w14:paraId="08401041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Uncertain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trade-offs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not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clear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whether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intervention</w:t>
            </w:r>
            <w:proofErr w:type="spellEnd"/>
            <w:r w:rsidRPr="00A97024" w:rsidR="008B2141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more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than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p w:rsidRPr="00A97024" w:rsidR="004F6C78" w:rsidP="00A97024" w:rsidRDefault="004F6C78" w14:paraId="0076B095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Pr="00A97024" w:rsidR="004F6C78" w:rsidP="00A97024" w:rsidRDefault="004F6C78" w14:paraId="2264AE48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No net </w:t>
            </w: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benefits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intervention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clearly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not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more</w:t>
            </w:r>
            <w:proofErr w:type="spellEnd"/>
          </w:p>
          <w:p w:rsidRPr="00A97024" w:rsidR="004F6C78" w:rsidP="004F6C78" w:rsidRDefault="004F6C78" w14:paraId="6077B2C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than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bookmarkEnd w:id="0"/>
          <w:bookmarkEnd w:id="1"/>
          <w:p w:rsidRPr="00A97024" w:rsidR="004F6C78" w:rsidRDefault="004F6C78" w14:paraId="3E68995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D25CBB" w:rsidP="002A513E" w:rsidRDefault="00D25CBB" w14:paraId="13155F3A" wp14:textId="77777777">
      <w:pPr>
        <w:rPr>
          <w:rFonts w:ascii="Verdana" w:hAnsi="Verdana"/>
          <w:sz w:val="18"/>
          <w:szCs w:val="18"/>
        </w:rPr>
      </w:pPr>
    </w:p>
    <w:sectPr w:rsidRPr="00A97024" w:rsidR="00D25CBB" w:rsidSect="00A97024">
      <w:headerReference w:type="default" r:id="rId7"/>
      <w:footerReference w:type="default" r:id="rId8"/>
      <w:headerReference w:type="first" r:id="rId9"/>
      <w:pgSz w:w="11906" w:h="16838" w:orient="portrait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5F2D05" w:rsidP="003D7DEF" w:rsidRDefault="005F2D05" w14:paraId="0C592BCE" wp14:textId="77777777">
      <w:r>
        <w:separator/>
      </w:r>
    </w:p>
  </w:endnote>
  <w:endnote w:type="continuationSeparator" w:id="0">
    <w:p xmlns:wp14="http://schemas.microsoft.com/office/word/2010/wordml" w:rsidR="005F2D05" w:rsidP="003D7DEF" w:rsidRDefault="005F2D05" w14:paraId="1B90C09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2BBC1DEF" wp14:textId="77777777">
    <w:pPr>
      <w:pStyle w:val="Jalus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separate"/>
    </w:r>
    <w:r w:rsidR="006D7602">
      <w:rPr>
        <w:rStyle w:val="Leheklj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separate"/>
    </w:r>
    <w:r w:rsidR="006D7602">
      <w:rPr>
        <w:rStyle w:val="Leheklj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5F2D05" w:rsidP="003D7DEF" w:rsidRDefault="005F2D05" w14:paraId="1D72EB79" wp14:textId="77777777">
      <w:r>
        <w:separator/>
      </w:r>
    </w:p>
  </w:footnote>
  <w:footnote w:type="continuationSeparator" w:id="0">
    <w:p xmlns:wp14="http://schemas.microsoft.com/office/word/2010/wordml" w:rsidR="005F2D05" w:rsidP="003D7DEF" w:rsidRDefault="005F2D05" w14:paraId="2576867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622EA312" wp14:textId="77777777">
    <w:pPr>
      <w:pStyle w:val="Pis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97024" w:rsidRDefault="00A97024" w14:paraId="4E122E0A" wp14:textId="77777777">
    <w:pPr>
      <w:pStyle w:val="Pis"/>
    </w:pPr>
    <w:r>
      <w:t>Soovituste koostamiseks kokkuvõte</w:t>
    </w:r>
    <w:r w:rsidR="00523AAB">
      <w:t xml:space="preserve"> - </w:t>
    </w:r>
    <w:proofErr w:type="spellStart"/>
    <w:r w:rsidR="00523AAB">
      <w:t>soKo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New-Baskerville-BoldA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0F4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57B775-A0B7-472B-8315-3CFAD7D9F070}"/>
  <w14:docId w14:val="510DCC0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allaad" w:default="1">
    <w:name w:val="Normal"/>
    <w:qFormat/>
    <w:rPr>
      <w:sz w:val="24"/>
      <w:szCs w:val="24"/>
      <w:lang w:eastAsia="et-EE"/>
    </w:rPr>
  </w:style>
  <w:style w:type="character" w:styleId="Liguvaikefont" w:default="1">
    <w:name w:val="Default Paragraph Font"/>
    <w:semiHidden/>
  </w:style>
  <w:style w:type="table" w:styleId="Normaal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semiHidden/>
  </w:style>
  <w:style w:type="table" w:styleId="Kontuurtabel">
    <w:name w:val="Table Grid"/>
    <w:basedOn w:val="Normaaltabel"/>
    <w:rsid w:val="00432C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Jutumullitekst">
    <w:name w:val="Balloon Text"/>
    <w:basedOn w:val="Normaallaad"/>
    <w:semiHidden/>
    <w:rsid w:val="00491832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rsid w:val="00891C0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891C08"/>
    <w:pPr>
      <w:tabs>
        <w:tab w:val="center" w:pos="4536"/>
        <w:tab w:val="right" w:pos="9072"/>
      </w:tabs>
    </w:pPr>
  </w:style>
  <w:style w:type="character" w:styleId="Lehekljenumber">
    <w:name w:val="page number"/>
    <w:basedOn w:val="Liguvaikefont"/>
    <w:rsid w:val="00891C08"/>
  </w:style>
  <w:style w:type="character" w:styleId="PisMrk" w:customStyle="1">
    <w:name w:val="Päis Märk"/>
    <w:link w:val="Pis"/>
    <w:uiPriority w:val="99"/>
    <w:rsid w:val="00A97024"/>
    <w:rPr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allaad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 patients with confirmed hypertension should / should not be offered dietary advice concerning salt restriction</dc:title>
  <dc:subject/>
  <dc:creator>Kasutaja</dc:creator>
  <keywords/>
  <lastModifiedBy>Külaline</lastModifiedBy>
  <revision>6</revision>
  <lastPrinted>2011-04-03T13:46:00.0000000Z</lastPrinted>
  <dcterms:created xsi:type="dcterms:W3CDTF">2016-08-22T10:24:00.0000000Z</dcterms:created>
  <dcterms:modified xsi:type="dcterms:W3CDTF">2016-08-22T11:51:12.6768814Z</dcterms:modified>
</coreProperties>
</file>