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A97024" w:rsidR="0002590A" w:rsidP="004F6C78" w:rsidRDefault="0002590A" w14:paraId="3811FBC3" wp14:textId="77777777">
      <w:pPr>
        <w:rPr>
          <w:rFonts w:ascii="Verdana" w:hAnsi="Verdana"/>
          <w:b/>
          <w:color w:val="000080"/>
          <w:sz w:val="18"/>
          <w:szCs w:val="18"/>
        </w:rPr>
      </w:pPr>
    </w:p>
    <w:p xmlns:wp14="http://schemas.microsoft.com/office/word/2010/wordml" w:rsidRPr="00A97024" w:rsidR="004F6C78" w:rsidP="004F6C78" w:rsidRDefault="0031077D" w14:paraId="76C6BF4F" wp14:noSpellErr="1" wp14:textId="59283C99">
      <w:pPr>
        <w:rPr>
          <w:rFonts w:ascii="Verdana" w:hAnsi="Verdana"/>
          <w:b/>
          <w:color w:val="000080"/>
          <w:sz w:val="18"/>
          <w:szCs w:val="18"/>
        </w:rPr>
      </w:pPr>
      <w:r w:rsidRPr="0F4B67F7" w:rsidR="0F4B67F7">
        <w:rPr>
          <w:rFonts w:ascii="Verdana" w:hAnsi="Verdana" w:eastAsia="Verdana" w:cs="Verdana"/>
          <w:b w:val="1"/>
          <w:bCs w:val="1"/>
          <w:color w:val="000080"/>
          <w:sz w:val="18"/>
          <w:szCs w:val="18"/>
        </w:rPr>
        <w:t xml:space="preserve">Kliiniline küsimus nr </w:t>
      </w:r>
      <w:r w:rsidRPr="0F4B67F7" w:rsidR="0F4B67F7">
        <w:rPr>
          <w:rFonts w:ascii="Verdana" w:hAnsi="Verdana" w:eastAsia="Verdana" w:cs="Verdana"/>
          <w:b w:val="1"/>
          <w:bCs w:val="1"/>
          <w:color w:val="000080"/>
          <w:sz w:val="18"/>
          <w:szCs w:val="18"/>
        </w:rPr>
        <w:t>12</w:t>
      </w:r>
    </w:p>
    <w:p w:rsidR="0F4B67F7" w:rsidRDefault="0F4B67F7" w14:paraId="2590BAE9" w14:textId="6DA60E62">
      <w:r w:rsidRPr="0F4B67F7" w:rsidR="0F4B67F7">
        <w:rPr>
          <w:rFonts w:ascii="Verdana" w:hAnsi="Verdana" w:eastAsia="Verdana" w:cs="Verdana"/>
          <w:sz w:val="20"/>
          <w:szCs w:val="20"/>
          <w:lang w:val="et-EE"/>
        </w:rPr>
        <w:t xml:space="preserve">Kas </w:t>
      </w:r>
      <w:proofErr w:type="spellStart"/>
      <w:r w:rsidRPr="0F4B67F7" w:rsidR="0F4B67F7">
        <w:rPr>
          <w:rFonts w:ascii="Verdana" w:hAnsi="Verdana" w:eastAsia="Verdana" w:cs="Verdana"/>
          <w:sz w:val="20"/>
          <w:szCs w:val="20"/>
          <w:lang w:val="et-EE"/>
        </w:rPr>
        <w:t>Alzheimeri</w:t>
      </w:r>
      <w:proofErr w:type="spellEnd"/>
      <w:r w:rsidRPr="0F4B67F7" w:rsidR="0F4B67F7">
        <w:rPr>
          <w:rFonts w:ascii="Verdana" w:hAnsi="Verdana" w:eastAsia="Verdana" w:cs="Verdana"/>
          <w:sz w:val="20"/>
          <w:szCs w:val="20"/>
          <w:lang w:val="et-EE"/>
        </w:rPr>
        <w:t xml:space="preserve"> tõvega patsientidel, kellel esineb psüühika- ja käitumishäireid, kasutada sümptomite leevendamiseks mittefarmakoloogilisi sekkumisi vs. farmakoloogilist ravi (psühhotroopsed ravimid, </w:t>
      </w:r>
      <w:proofErr w:type="spellStart"/>
      <w:r w:rsidRPr="0F4B67F7" w:rsidR="0F4B67F7">
        <w:rPr>
          <w:rFonts w:ascii="Verdana" w:hAnsi="Verdana" w:eastAsia="Verdana" w:cs="Verdana"/>
          <w:sz w:val="20"/>
          <w:szCs w:val="20"/>
          <w:lang w:val="et-EE"/>
        </w:rPr>
        <w:t>neuroleptikumid</w:t>
      </w:r>
      <w:proofErr w:type="spellEnd"/>
      <w:r w:rsidRPr="0F4B67F7" w:rsidR="0F4B67F7">
        <w:rPr>
          <w:rFonts w:ascii="Verdana" w:hAnsi="Verdana" w:eastAsia="Verdana" w:cs="Verdana"/>
          <w:sz w:val="20"/>
          <w:szCs w:val="20"/>
          <w:lang w:val="et-EE"/>
        </w:rPr>
        <w:t xml:space="preserve">, </w:t>
      </w:r>
      <w:proofErr w:type="spellStart"/>
      <w:r w:rsidRPr="0F4B67F7" w:rsidR="0F4B67F7">
        <w:rPr>
          <w:rFonts w:ascii="Verdana" w:hAnsi="Verdana" w:eastAsia="Verdana" w:cs="Verdana"/>
          <w:sz w:val="20"/>
          <w:szCs w:val="20"/>
          <w:lang w:val="et-EE"/>
        </w:rPr>
        <w:t>antidepressandid</w:t>
      </w:r>
      <w:proofErr w:type="spellEnd"/>
      <w:r w:rsidRPr="0F4B67F7" w:rsidR="0F4B67F7">
        <w:rPr>
          <w:rFonts w:ascii="Verdana" w:hAnsi="Verdana" w:eastAsia="Verdana" w:cs="Verdana"/>
          <w:sz w:val="20"/>
          <w:szCs w:val="20"/>
          <w:lang w:val="et-EE"/>
        </w:rPr>
        <w:t xml:space="preserve"> uinutid, rahustid) vs. samaaegselt mittefarmakoloogilisi sekkumisi ja farmakoloogilist ravi?</w:t>
      </w:r>
      <w:r w:rsidRPr="0F4B67F7" w:rsidR="0F4B67F7">
        <w:rPr>
          <w:rFonts w:ascii="Verdana" w:hAnsi="Verdana" w:eastAsia="Verdana" w:cs="Verdana"/>
          <w:sz w:val="24"/>
          <w:szCs w:val="24"/>
        </w:rPr>
        <w:t xml:space="preserve"> </w:t>
      </w:r>
    </w:p>
    <w:p xmlns:wp14="http://schemas.microsoft.com/office/word/2010/wordml" w:rsidRPr="00A97024" w:rsidR="0002590A" w:rsidRDefault="007523E4" w14:paraId="22D3290D" wp14:noSpellErr="1" wp14:textId="409D55AC">
      <w:pPr>
        <w:rPr>
          <w:rFonts w:ascii="Verdana" w:hAnsi="Verdana"/>
          <w:i/>
          <w:sz w:val="18"/>
          <w:szCs w:val="18"/>
        </w:rPr>
      </w:pPr>
    </w:p>
    <w:p w:rsidR="0F4B67F7" w:rsidP="0F4B67F7" w:rsidRDefault="0F4B67F7" w14:paraId="2F3F081D" w14:textId="5641ED97">
      <w:pPr>
        <w:jc w:val="both"/>
      </w:pPr>
      <w:r w:rsidRPr="0F4B67F7" w:rsidR="0F4B67F7">
        <w:rPr>
          <w:rFonts w:ascii="Verdana" w:hAnsi="Verdana" w:eastAsia="Verdana" w:cs="Verdana"/>
          <w:sz w:val="20"/>
          <w:szCs w:val="20"/>
          <w:u w:val="single"/>
          <w:lang w:val="et-EE"/>
        </w:rPr>
        <w:t>Kriitilised tulemusnäitajad</w:t>
      </w:r>
      <w:r w:rsidRPr="0F4B67F7" w:rsidR="0F4B67F7">
        <w:rPr>
          <w:rFonts w:ascii="Verdana" w:hAnsi="Verdana" w:eastAsia="Verdana" w:cs="Verdana"/>
          <w:sz w:val="20"/>
          <w:szCs w:val="20"/>
          <w:u w:val="single"/>
          <w:lang w:val="et-EE"/>
        </w:rPr>
        <w:t>:</w:t>
      </w:r>
      <w:r w:rsidRPr="0F4B67F7" w:rsidR="0F4B67F7">
        <w:rPr>
          <w:rFonts w:ascii="Verdana" w:hAnsi="Verdana" w:eastAsia="Verdana" w:cs="Verdana"/>
          <w:sz w:val="20"/>
          <w:szCs w:val="20"/>
          <w:lang w:val="et-EE"/>
        </w:rPr>
        <w:t xml:space="preserve"> </w:t>
      </w:r>
      <w:r w:rsidRPr="0F4B67F7" w:rsidR="0F4B67F7">
        <w:rPr>
          <w:rFonts w:ascii="Verdana" w:hAnsi="Verdana" w:eastAsia="Verdana" w:cs="Verdana"/>
          <w:sz w:val="20"/>
          <w:szCs w:val="20"/>
          <w:lang w:val="et-EE"/>
        </w:rPr>
        <w:t>patsiendi käitumis- ja psüühikahäirete vähenemine, patsiendi ohutuse tagamine, patsiendi ohjamisvajaduse ennetus, patsiendi elukvaliteet, patsiendi asutushoolduse vajaduse edasilükkamine, lähedase/</w:t>
      </w:r>
      <w:proofErr w:type="spellStart"/>
      <w:r w:rsidRPr="0F4B67F7" w:rsidR="0F4B67F7">
        <w:rPr>
          <w:rFonts w:ascii="Verdana" w:hAnsi="Verdana" w:eastAsia="Verdana" w:cs="Verdana"/>
          <w:sz w:val="20"/>
          <w:szCs w:val="20"/>
          <w:lang w:val="et-EE"/>
        </w:rPr>
        <w:t>omastehooldaja</w:t>
      </w:r>
      <w:proofErr w:type="spellEnd"/>
      <w:r w:rsidRPr="0F4B67F7" w:rsidR="0F4B67F7">
        <w:rPr>
          <w:rFonts w:ascii="Verdana" w:hAnsi="Verdana" w:eastAsia="Verdana" w:cs="Verdana"/>
          <w:sz w:val="20"/>
          <w:szCs w:val="20"/>
          <w:lang w:val="et-EE"/>
        </w:rPr>
        <w:t>/hooldaja elukvaliteet, lähedase/</w:t>
      </w:r>
      <w:proofErr w:type="spellStart"/>
      <w:r w:rsidRPr="0F4B67F7" w:rsidR="0F4B67F7">
        <w:rPr>
          <w:rFonts w:ascii="Verdana" w:hAnsi="Verdana" w:eastAsia="Verdana" w:cs="Verdana"/>
          <w:sz w:val="20"/>
          <w:szCs w:val="20"/>
          <w:lang w:val="et-EE"/>
        </w:rPr>
        <w:t>omastehooldaja</w:t>
      </w:r>
      <w:proofErr w:type="spellEnd"/>
      <w:r w:rsidRPr="0F4B67F7" w:rsidR="0F4B67F7">
        <w:rPr>
          <w:rFonts w:ascii="Verdana" w:hAnsi="Verdana" w:eastAsia="Verdana" w:cs="Verdana"/>
          <w:sz w:val="20"/>
          <w:szCs w:val="20"/>
          <w:lang w:val="et-EE"/>
        </w:rPr>
        <w:t>/hooldaja koormatus.</w:t>
      </w:r>
    </w:p>
    <w:tbl>
      <w:tblPr>
        <w:tblW w:w="0" w:type="auto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1560"/>
        <w:gridCol w:w="3180"/>
      </w:tblGrid>
      <w:tr xmlns:wp14="http://schemas.microsoft.com/office/word/2010/wordml" w:rsidRPr="00A97024" w:rsidR="00432CD4" w:rsidTr="0F4B67F7" w14:paraId="45AA6F9E" wp14:textId="77777777">
        <w:tc>
          <w:tcPr>
            <w:tcW w:w="9288" w:type="dxa"/>
            <w:gridSpan w:val="4"/>
            <w:shd w:val="clear" w:color="auto" w:fill="auto"/>
            <w:tcMar/>
          </w:tcPr>
          <w:p w:rsidRPr="00A97024" w:rsidR="00891C08" w:rsidRDefault="00891C08" w14:paraId="153B19EE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  <w:p w:rsidRPr="00A97024" w:rsidR="004F6C78" w:rsidP="00891C08" w:rsidRDefault="0031077D" w14:paraId="016D1298" w14:noSpellErr="1" wp14:textId="75869539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Töörühma soovitus</w:t>
            </w: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ed</w:t>
            </w: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: </w:t>
            </w:r>
          </w:p>
          <w:p w:rsidR="0F4B67F7" w:rsidP="0F4B67F7" w:rsidRDefault="0F4B67F7" w14:paraId="457FFF74" w14:textId="3789651C">
            <w:pPr>
              <w:pStyle w:val="ListParagraph"/>
              <w:numPr>
                <w:ilvl w:val="0"/>
                <w:numId w:val="4"/>
              </w:numPr>
              <w:rPr>
                <w:rFonts w:ascii="Verdana" w:hAnsi="Verdana" w:eastAsia="Verdana" w:cs="Verdana"/>
                <w:color w:val="002060"/>
                <w:sz w:val="18"/>
                <w:szCs w:val="18"/>
              </w:rPr>
            </w:pP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Psüühika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-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ja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käitumishäirete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ilmnemisel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AT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haigel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tuleks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esmalt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välistada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somaatiline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põhjus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või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ravimi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kõrvaltoime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.</w:t>
            </w:r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</w:rPr>
              <w:t xml:space="preserve"> </w:t>
            </w:r>
          </w:p>
          <w:p w:rsidR="0F4B67F7" w:rsidP="0F4B67F7" w:rsidRDefault="0F4B67F7" w14:paraId="4DAEB48A" w14:textId="24B1FBBD">
            <w:pPr>
              <w:pStyle w:val="ListParagraph"/>
              <w:numPr>
                <w:ilvl w:val="0"/>
                <w:numId w:val="4"/>
              </w:numPr>
              <w:rPr>
                <w:rFonts w:ascii="Verdana" w:hAnsi="Verdana" w:eastAsia="Verdana" w:cs="Verdana"/>
                <w:color w:val="002060"/>
                <w:sz w:val="18"/>
                <w:szCs w:val="18"/>
              </w:rPr>
            </w:pP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Psüühika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-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ja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käitumishäirete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ravis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tuleks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AT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haigetel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esmalt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proovida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mittefarmakoloogilisi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rav</w:t>
            </w:r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imeetodeid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kuigi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nende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efekt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on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tagasihoidlik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ja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tõenduspõhisus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nõrk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.</w:t>
            </w:r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</w:rPr>
              <w:t xml:space="preserve"> </w:t>
            </w:r>
          </w:p>
          <w:p w:rsidR="0F4B67F7" w:rsidP="0F4B67F7" w:rsidRDefault="0F4B67F7" w14:paraId="60018807" w14:textId="2DF9A138">
            <w:pPr>
              <w:pStyle w:val="ListParagraph"/>
              <w:numPr>
                <w:ilvl w:val="0"/>
                <w:numId w:val="4"/>
              </w:numPr>
              <w:rPr>
                <w:rFonts w:ascii="Verdana" w:hAnsi="Verdana" w:eastAsia="Verdana" w:cs="Verdana"/>
                <w:color w:val="002060"/>
                <w:sz w:val="18"/>
                <w:szCs w:val="18"/>
              </w:rPr>
            </w:pP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Psüühika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-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ja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käitumishäirete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raviks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kasutavatest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mittefarmakoloogilistest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meetoditest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võib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kaaluda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multisensoorset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stimulatsiooni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muusikateraapiat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omastehooldajate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ja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personali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õpetamist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2060"/>
                <w:sz w:val="18"/>
                <w:szCs w:val="18"/>
                <w:lang w:val="en-GB"/>
              </w:rPr>
              <w:t>.</w:t>
            </w:r>
          </w:p>
          <w:p w:rsidRPr="00A97024" w:rsidR="00891C08" w:rsidP="00891C08" w:rsidRDefault="00891C08" w14:paraId="18877B63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xmlns:wp14="http://schemas.microsoft.com/office/word/2010/wordml" w:rsidRPr="00A97024" w:rsidR="00432CD4" w:rsidTr="0F4B67F7" w14:paraId="70C2726B" wp14:textId="77777777">
        <w:tc>
          <w:tcPr>
            <w:tcW w:w="3468" w:type="dxa"/>
            <w:shd w:val="clear" w:color="auto" w:fill="auto"/>
            <w:tcMar/>
          </w:tcPr>
          <w:p w:rsidRPr="00A97024" w:rsidR="00432CD4" w:rsidRDefault="0031077D" w14:paraId="498E8517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Patsient/sihtrühm</w:t>
            </w:r>
          </w:p>
        </w:tc>
        <w:tc>
          <w:tcPr>
            <w:tcW w:w="5820" w:type="dxa"/>
            <w:gridSpan w:val="3"/>
            <w:shd w:val="clear" w:color="auto" w:fill="auto"/>
            <w:tcMar/>
          </w:tcPr>
          <w:p w:rsidRPr="00A97024" w:rsidR="0002590A" w:rsidP="0031077D" w:rsidRDefault="007523E4" w14:paraId="6E9AEF3E" wp14:textId="4BD8B365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proofErr w:type="spellStart"/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Alzheimeri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 tõvega patsiendid, kellel esineb psüühika- ja käitumishäireid</w:t>
            </w:r>
          </w:p>
          <w:p w:rsidRPr="00A97024" w:rsidR="0031077D" w:rsidP="0031077D" w:rsidRDefault="0031077D" w14:paraId="371EAC67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xmlns:wp14="http://schemas.microsoft.com/office/word/2010/wordml" w:rsidRPr="00A97024" w:rsidR="00432CD4" w:rsidTr="0F4B67F7" w14:paraId="1F832A28" wp14:textId="77777777">
        <w:tc>
          <w:tcPr>
            <w:tcW w:w="3468" w:type="dxa"/>
            <w:shd w:val="clear" w:color="auto" w:fill="auto"/>
            <w:tcMar/>
          </w:tcPr>
          <w:p w:rsidRPr="00A97024" w:rsidR="00432CD4" w:rsidRDefault="0031077D" w14:paraId="701AA43F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Sekkumine</w:t>
            </w:r>
          </w:p>
        </w:tc>
        <w:tc>
          <w:tcPr>
            <w:tcW w:w="5820" w:type="dxa"/>
            <w:gridSpan w:val="3"/>
            <w:shd w:val="clear" w:color="auto" w:fill="auto"/>
            <w:tcMar/>
          </w:tcPr>
          <w:p w:rsidRPr="00A97024" w:rsidR="0002590A" w:rsidP="0031077D" w:rsidRDefault="007523E4" w14:paraId="2FECFF21" w14:noSpellErr="1" wp14:textId="2329FEB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Mittefarmakoloogilised ja farmakoloogilised sekkumised</w:t>
            </w:r>
          </w:p>
          <w:p w:rsidRPr="00A97024" w:rsidR="0031077D" w:rsidP="0031077D" w:rsidRDefault="0031077D" w14:paraId="167F7A3A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xmlns:wp14="http://schemas.microsoft.com/office/word/2010/wordml" w:rsidRPr="00A97024" w:rsidR="007D6E2D" w:rsidTr="0F4B67F7" w14:paraId="121C40E9" wp14:textId="77777777">
        <w:tc>
          <w:tcPr>
            <w:tcW w:w="3468" w:type="dxa"/>
            <w:shd w:val="clear" w:color="auto" w:fill="auto"/>
            <w:tcMar/>
          </w:tcPr>
          <w:p w:rsidRPr="00A97024" w:rsidR="00432CD4" w:rsidRDefault="0031077D" w14:paraId="40CA9FF3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Tegur</w:t>
            </w:r>
          </w:p>
          <w:p w:rsidRPr="00A97024" w:rsidR="0002590A" w:rsidRDefault="0002590A" w14:paraId="5C5EA1A1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/>
          </w:tcPr>
          <w:p w:rsidRPr="00A97024" w:rsidR="00432CD4" w:rsidRDefault="0031077D" w14:paraId="7FD6B295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Otsus</w:t>
            </w:r>
          </w:p>
        </w:tc>
        <w:tc>
          <w:tcPr>
            <w:tcW w:w="1560" w:type="dxa"/>
            <w:shd w:val="clear" w:color="auto" w:fill="auto"/>
            <w:tcMar/>
          </w:tcPr>
          <w:p w:rsidRPr="00A97024" w:rsidR="00432CD4" w:rsidRDefault="0031077D" w14:paraId="079D12A8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Selgitus</w:t>
            </w:r>
          </w:p>
        </w:tc>
        <w:tc>
          <w:tcPr>
            <w:tcW w:w="3180" w:type="dxa"/>
            <w:shd w:val="clear" w:color="auto" w:fill="auto"/>
            <w:tcMar/>
          </w:tcPr>
          <w:p w:rsidRPr="00A97024" w:rsidR="00432CD4" w:rsidRDefault="00432CD4" w14:paraId="55A74692" wp14:textId="7777777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</w:tr>
      <w:tr xmlns:wp14="http://schemas.microsoft.com/office/word/2010/wordml" w:rsidRPr="00A97024" w:rsidR="007D6E2D" w:rsidTr="0F4B67F7" w14:paraId="51A49BA3" wp14:textId="77777777">
        <w:tc>
          <w:tcPr>
            <w:tcW w:w="3468" w:type="dxa"/>
            <w:shd w:val="clear" w:color="auto" w:fill="auto"/>
            <w:tcMar/>
          </w:tcPr>
          <w:p w:rsidRPr="00A97024" w:rsidR="0031077D" w:rsidP="00A97024" w:rsidRDefault="0031077D" w14:paraId="182A11BF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Väga hea või keskmise kvaliteediga tõendusmaterjal</w:t>
            </w:r>
          </w:p>
          <w:p w:rsidRPr="00A97024" w:rsidR="0031077D" w:rsidP="00A97024" w:rsidRDefault="0031077D" w14:paraId="09A23731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 xml:space="preserve">(kas tõendusmaterjal on väga </w:t>
            </w:r>
          </w:p>
          <w:p w:rsidRPr="00A97024" w:rsidR="0031077D" w:rsidP="00A97024" w:rsidRDefault="0031077D" w14:paraId="57BD1102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>kvaliteetne?)</w:t>
            </w:r>
            <w:r w:rsidRPr="00A97024"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:rsidRPr="00A97024" w:rsidR="0031077D" w:rsidP="00A97024" w:rsidRDefault="0031077D" w14:paraId="3081247A" wp14:textId="77777777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</w:p>
          <w:p w:rsidRPr="00A97024" w:rsidR="0031077D" w:rsidP="00A97024" w:rsidRDefault="0031077D" w14:paraId="161200F5" wp14:textId="77777777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  <w:t xml:space="preserve">(Mida kõrgem on tõendusmaterjali kvaliteet, seda tugevam on soovitus) </w:t>
            </w:r>
          </w:p>
          <w:p w:rsidRPr="00A97024" w:rsidR="00432CD4" w:rsidP="00A97024" w:rsidRDefault="00432CD4" w14:paraId="14E768EC" wp14:textId="77777777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/>
          </w:tcPr>
          <w:p w:rsidRPr="00A97024" w:rsidR="00432CD4" w:rsidRDefault="00432CD4" w14:paraId="5E9D7B5A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RDefault="00432CD4" w14:paraId="0136A3CB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RDefault="00432CD4" w14:paraId="3AF6D6D9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31077D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Pr="00A97024" w:rsidR="00432CD4" w:rsidRDefault="00432CD4" w14:paraId="58D513DD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31077D" w:rsidRDefault="00432CD4" w14:paraId="2C454EBD" w14:noSpellErr="1" wp14:textId="7847703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X</w:t>
            </w: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 </w:t>
            </w: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  <w:tcMar/>
          </w:tcPr>
          <w:p w:rsidRPr="00A97024" w:rsidR="00432CD4" w:rsidRDefault="007523E4" w14:paraId="5C0E255C" w14:noSpellErr="1" wp14:textId="247A9EDA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Mittefarmakoloogiliste ravimeetodite osas puudub hea tõendusmaterjal, kuna uuringugrupid on väiksed, uuritud on enamasti kerge-mõõduka dementsusega patsiente ja uuringuprotokollid on väga varieeruvad. Üldiselt on efekt vähene ja lühiaegne.</w:t>
            </w: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3180" w:type="dxa"/>
            <w:shd w:val="clear" w:color="auto" w:fill="auto"/>
            <w:tcMar/>
          </w:tcPr>
          <w:p w:rsidRPr="00A97024" w:rsidR="004F6C78" w:rsidP="00A97024" w:rsidRDefault="004F6C78" w14:paraId="0431093F" wp14:textId="77777777">
            <w:pPr>
              <w:shd w:val="clear" w:color="auto" w:fill="FFFFFF"/>
              <w:spacing w:after="120"/>
              <w:ind w:left="360" w:right="240"/>
              <w:jc w:val="both"/>
              <w:rPr>
                <w:rFonts w:ascii="Verdana" w:hAnsi="Verdana" w:cs="Arial"/>
                <w:color w:val="000080"/>
                <w:sz w:val="18"/>
                <w:szCs w:val="18"/>
              </w:rPr>
            </w:pPr>
          </w:p>
        </w:tc>
      </w:tr>
    </w:tbl>
    <w:p xmlns:wp14="http://schemas.microsoft.com/office/word/2010/wordml" w:rsidRPr="00A97024" w:rsidR="00CE4799" w:rsidRDefault="00CE4799" w14:paraId="7B0ECB77" wp14:textId="77777777"/>
    <w:tbl>
      <w:tblPr>
        <w:tblW w:w="9288" w:type="dxa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ayout w:type="fixed"/>
        <w:tblLook w:val="01E0" w:firstRow="1" w:lastRow="1" w:firstColumn="1" w:lastColumn="1" w:noHBand="0" w:noVBand="0"/>
        <w:tblCaption w:val=""/>
        <w:tblDescription w:val=""/>
      </w:tblPr>
      <w:tblGrid>
        <w:gridCol w:w="3468"/>
        <w:gridCol w:w="1080"/>
        <w:gridCol w:w="2625"/>
        <w:gridCol w:w="2115"/>
      </w:tblGrid>
      <w:tr xmlns:wp14="http://schemas.microsoft.com/office/word/2010/wordml" w:rsidRPr="00A97024" w:rsidR="007D6E2D" w:rsidTr="0F4B67F7" w14:paraId="72384AEA" wp14:textId="77777777">
        <w:tc>
          <w:tcPr>
            <w:tcW w:w="3468" w:type="dxa"/>
            <w:shd w:val="clear" w:color="auto" w:fill="auto"/>
            <w:tcMar/>
          </w:tcPr>
          <w:p w:rsidRPr="00A97024" w:rsidR="0031077D" w:rsidP="00A97024" w:rsidRDefault="0031077D" w14:paraId="56495DC7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Kindlustunne kasude ning </w:t>
            </w:r>
          </w:p>
          <w:p w:rsidRPr="00A97024" w:rsidR="0031077D" w:rsidP="00A97024" w:rsidRDefault="0031077D" w14:paraId="2543BB36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kahjude ja koormuse tasakaalu suhtes</w:t>
            </w:r>
          </w:p>
          <w:p w:rsidRPr="00A97024" w:rsidR="0031077D" w:rsidP="00A97024" w:rsidRDefault="0031077D" w14:paraId="742022A8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(kas on kindlustunne?)</w:t>
            </w:r>
          </w:p>
          <w:p w:rsidRPr="00A97024" w:rsidR="0031077D" w:rsidP="00A97024" w:rsidRDefault="0031077D" w14:paraId="63D1768E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31077D" w:rsidP="00A97024" w:rsidRDefault="0031077D" w14:paraId="198D7184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erinevus </w:t>
            </w:r>
          </w:p>
          <w:p w:rsidRPr="00A97024" w:rsidR="0031077D" w:rsidP="00A97024" w:rsidRDefault="0031077D" w14:paraId="0CFCAA7E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soovitavate ja soovimatute </w:t>
            </w:r>
          </w:p>
          <w:p w:rsidRPr="00A97024" w:rsidR="0031077D" w:rsidP="00A97024" w:rsidRDefault="0031077D" w14:paraId="5BFD99BD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tagajärgede vahel ning kindlustunne selle erinevuse suhtes, seda tõenäolisem on tugev </w:t>
            </w:r>
          </w:p>
          <w:p w:rsidRPr="00A97024" w:rsidR="0031077D" w:rsidP="00A97024" w:rsidRDefault="0031077D" w14:paraId="0C1C9EC1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soovitus. Mida väiksem on </w:t>
            </w:r>
          </w:p>
          <w:p w:rsidRPr="00A97024" w:rsidR="0031077D" w:rsidP="00A97024" w:rsidRDefault="0031077D" w14:paraId="4DE51FFF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tegelik kasu ja mida väiksem </w:t>
            </w:r>
          </w:p>
          <w:p w:rsidRPr="00A97024" w:rsidR="0031077D" w:rsidP="00A97024" w:rsidRDefault="0031077D" w14:paraId="28A21BDC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on kindlustunne selle kasu </w:t>
            </w:r>
          </w:p>
          <w:p w:rsidRPr="00A97024" w:rsidR="0031077D" w:rsidP="00A97024" w:rsidRDefault="0031077D" w14:paraId="3CC5E595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suhtes, seda tõenäolisem on </w:t>
            </w:r>
          </w:p>
          <w:p w:rsidRPr="00A97024" w:rsidR="00432CD4" w:rsidP="0031077D" w:rsidRDefault="0031077D" w14:paraId="33AC04BD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  <w:tcMar/>
          </w:tcPr>
          <w:p w:rsidRPr="00A97024" w:rsidR="00432CD4" w:rsidP="00432CD4" w:rsidRDefault="00432CD4" w14:paraId="2CF0370D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77475BCF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1A681DAE" w14:noSpellErr="1" wp14:textId="44BEFFC3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X</w:t>
            </w: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 </w:t>
            </w: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Jah</w:t>
            </w:r>
          </w:p>
          <w:p w:rsidRPr="00A97024" w:rsidR="00432CD4" w:rsidP="00432CD4" w:rsidRDefault="00432CD4" w14:paraId="26479943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31077D" w:rsidRDefault="00432CD4" w14:paraId="1B361665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31077D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2625" w:type="dxa"/>
            <w:shd w:val="clear" w:color="auto" w:fill="auto"/>
            <w:tcMar/>
          </w:tcPr>
          <w:p w:rsidRPr="00A97024" w:rsidR="00432CD4" w:rsidRDefault="007523E4" w14:paraId="545AD247" wp14:textId="5BEB52EA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Mittefarmakoloogilisi ravimeetodeid peaks eelistama farmakoloogiliste ees, kuna on näidatud, et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antipsühhootikumis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 halvendavad kognitiivsed funktsiooni, neil on kõrgem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tserebrovaskulaarsete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 haiguste risk, nad tõstavad hospitaliseerimise aja keskust ja suremust. Mittefarmakoloogilistel ravimeetoditel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kõrvaltoimed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 praktiliselt puuduvad. </w:t>
            </w:r>
          </w:p>
        </w:tc>
        <w:tc>
          <w:tcPr>
            <w:tcW w:w="2115" w:type="dxa"/>
            <w:shd w:val="clear" w:color="auto" w:fill="auto"/>
            <w:tcMar/>
          </w:tcPr>
          <w:p w:rsidRPr="00A97024" w:rsidR="00CE4799" w:rsidRDefault="00CE4799" w14:paraId="7405D3FA" wp14:textId="33410352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F4B67F7" w:rsidR="0F4B67F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RPr="00A97024" w:rsidR="0002590A" w:rsidRDefault="0002590A" w14:paraId="7D11082E" wp14:textId="77777777"/>
    <w:tbl>
      <w:tblPr>
        <w:tblW w:w="0" w:type="auto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1560"/>
        <w:gridCol w:w="3180"/>
      </w:tblGrid>
      <w:tr xmlns:wp14="http://schemas.microsoft.com/office/word/2010/wordml" w:rsidRPr="00A97024" w:rsidR="007D6E2D" w:rsidTr="0F4B67F7" w14:paraId="77CADB66" wp14:textId="77777777">
        <w:tc>
          <w:tcPr>
            <w:tcW w:w="3468" w:type="dxa"/>
            <w:shd w:val="clear" w:color="auto" w:fill="auto"/>
            <w:tcMar/>
          </w:tcPr>
          <w:p w:rsidRPr="00A97024" w:rsidR="0031077D" w:rsidP="00A97024" w:rsidRDefault="0031077D" w14:paraId="39DA49A6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Kindlus või sarnasus väärtustes (kas on kindlustunne?)</w:t>
            </w:r>
          </w:p>
          <w:p w:rsidRPr="00A97024" w:rsidR="0031077D" w:rsidP="00A97024" w:rsidRDefault="0031077D" w14:paraId="101F18DF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31077D" w:rsidP="00A97024" w:rsidRDefault="0031077D" w14:paraId="59C2CBF4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</w:t>
            </w:r>
            <w:r w:rsidRPr="00A97024" w:rsid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suurem</w:t>
            </w: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 on varieeruvus </w:t>
            </w:r>
          </w:p>
          <w:p w:rsidRPr="00A97024" w:rsidR="0031077D" w:rsidP="00A97024" w:rsidRDefault="0031077D" w14:paraId="03A01277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Pr="00A97024" w:rsidR="00432CD4" w:rsidP="0031077D" w:rsidRDefault="0031077D" w14:paraId="1224F711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  <w:tcMar/>
          </w:tcPr>
          <w:p w:rsidRPr="00A97024" w:rsidR="00432CD4" w:rsidP="00432CD4" w:rsidRDefault="00432CD4" w14:paraId="4857E14C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33A41865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5E499889" w14:noSpellErr="1" wp14:textId="0719C6DF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X</w:t>
            </w: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 </w:t>
            </w: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J</w:t>
            </w: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ah</w:t>
            </w:r>
          </w:p>
          <w:p w:rsidRPr="00A97024" w:rsidR="00432CD4" w:rsidP="00432CD4" w:rsidRDefault="00432CD4" w14:paraId="733DDB6A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31077D" w:rsidRDefault="00432CD4" w14:paraId="140C7EE3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31077D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  <w:tcMar/>
          </w:tcPr>
          <w:p w:rsidRPr="00A97024" w:rsidR="00432CD4" w:rsidP="006D7602" w:rsidRDefault="007523E4" w14:paraId="2BBBF5E2" wp14:textId="1264C203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Mittefarmakoloogilised ravimeetodid h</w:t>
            </w: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õlmavad</w:t>
            </w: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 suures osas kognitiivsele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stimulatsioonilesuunatud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 meetodeid. Uuringutes on ära toodud, et patsiendid osalevad neis teraapiates hea meelega.</w:t>
            </w: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3180" w:type="dxa"/>
            <w:shd w:val="clear" w:color="auto" w:fill="auto"/>
            <w:tcMar/>
          </w:tcPr>
          <w:p w:rsidRPr="00A97024" w:rsidR="004F6C78" w:rsidRDefault="004F6C78" w14:paraId="1B70AEC2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F6C78" w:rsidRDefault="0031077D" w14:paraId="1FE3F5FE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Töörühm  otsustas, et patsiendile pakub rohkem väärtust </w:t>
            </w:r>
            <w:r w:rsidRPr="00A97024" w:rsidR="00491832">
              <w:rPr>
                <w:rFonts w:ascii="Verdana" w:hAnsi="Verdana"/>
                <w:color w:val="000080"/>
                <w:sz w:val="18"/>
                <w:szCs w:val="18"/>
              </w:rPr>
              <w:t xml:space="preserve"> </w:t>
            </w:r>
            <w:r w:rsidRPr="00A97024" w:rsidR="004F6C78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 w:rsidRPr="00A97024" w:rsidR="00491832">
              <w:rPr>
                <w:rFonts w:ascii="Verdana" w:hAnsi="Verdana"/>
                <w:color w:val="000080"/>
                <w:sz w:val="18"/>
                <w:szCs w:val="18"/>
              </w:rPr>
              <w:t xml:space="preserve">... </w:t>
            </w:r>
          </w:p>
          <w:p w:rsidRPr="00A97024" w:rsidR="004F6C78" w:rsidRDefault="004F6C78" w14:paraId="6A81422B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RDefault="0031077D" w14:paraId="371AE66B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Ja vähem väärtust</w:t>
            </w:r>
          </w:p>
          <w:p w:rsidRPr="00A97024" w:rsidR="004F6C78" w:rsidRDefault="004F6C78" w14:paraId="0BB68FED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Pr="00A97024" w:rsidR="00491832" w:rsidP="004F6C78" w:rsidRDefault="00491832" w14:paraId="23CB9C19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3C19D50E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44A7F125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3C2C7801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7D85986F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09D7F103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xmlns:wp14="http://schemas.microsoft.com/office/word/2010/wordml" w:rsidRPr="00A97024" w:rsidR="007D6E2D" w:rsidTr="0F4B67F7" w14:paraId="07DF089E" wp14:textId="77777777">
        <w:tc>
          <w:tcPr>
            <w:tcW w:w="3468" w:type="dxa"/>
            <w:shd w:val="clear" w:color="auto" w:fill="auto"/>
            <w:tcMar/>
          </w:tcPr>
          <w:p w:rsidRPr="00A97024" w:rsidR="00A97024" w:rsidP="00A97024" w:rsidRDefault="00A97024" w14:paraId="594C1B5F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Ressursi tähendus (kas tarbitud ressursid olid väärt </w:t>
            </w:r>
          </w:p>
          <w:p w:rsidRPr="00A97024" w:rsidR="00A97024" w:rsidP="00A97024" w:rsidRDefault="00A97024" w14:paraId="613B642E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oodatavat kasu)</w:t>
            </w:r>
          </w:p>
          <w:p w:rsidRPr="00A97024" w:rsidR="00A97024" w:rsidP="00A97024" w:rsidRDefault="00A97024" w14:paraId="31AD444D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A97024" w:rsidP="00A97024" w:rsidRDefault="00A97024" w14:paraId="09EF47FB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:rsidRPr="00A97024" w:rsidR="00A97024" w:rsidP="00A97024" w:rsidRDefault="00A97024" w14:paraId="208EB92B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:rsidRPr="00A97024" w:rsidR="00A97024" w:rsidP="00A97024" w:rsidRDefault="00A97024" w14:paraId="328D7A9A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:rsidRPr="00A97024" w:rsidR="00A97024" w:rsidP="00A97024" w:rsidRDefault="00A97024" w14:paraId="110F3858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:rsidRPr="00A97024" w:rsidR="00A97024" w:rsidP="00A97024" w:rsidRDefault="00A97024" w14:paraId="07B35315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:rsidRPr="00A97024" w:rsidR="00A97024" w:rsidP="00A97024" w:rsidRDefault="00A97024" w14:paraId="102B3544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  <w:p w:rsidRPr="00A97024" w:rsidR="00A97024" w:rsidP="00A97024" w:rsidRDefault="00A97024" w14:paraId="7DFDC348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432CD4" w:rsidP="00A97024" w:rsidRDefault="00432CD4" w14:paraId="7A6D6F83" wp14:textId="77777777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/>
          </w:tcPr>
          <w:p w:rsidRPr="00A97024" w:rsidR="00432CD4" w:rsidP="00432CD4" w:rsidRDefault="00432CD4" w14:paraId="1C6F1421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1524A257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1A5D56B4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A97024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Pr="00A97024" w:rsidR="00432CD4" w:rsidP="00432CD4" w:rsidRDefault="00432CD4" w14:paraId="60316417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A97024" w:rsidRDefault="00432CD4" w14:paraId="07687A73" w14:noSpellErr="1" wp14:textId="0F81FA53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□ </w:t>
            </w: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Ei</w:t>
            </w: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 ?</w:t>
            </w:r>
          </w:p>
        </w:tc>
        <w:tc>
          <w:tcPr>
            <w:tcW w:w="1560" w:type="dxa"/>
            <w:shd w:val="clear" w:color="auto" w:fill="auto"/>
            <w:tcMar/>
          </w:tcPr>
          <w:p w:rsidRPr="007523E4" w:rsidR="00432CD4" w:rsidRDefault="006D7602" w14:paraId="44A4C931" wp14:textId="43B54609">
            <w:pPr>
              <w:rPr>
                <w:rFonts w:ascii="Verdana" w:hAnsi="Verdana"/>
                <w:color w:val="000080"/>
                <w:sz w:val="18"/>
                <w:szCs w:val="18"/>
                <w:highlight w:val="yellow"/>
              </w:rPr>
            </w:pP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Majanduslikku mõju mittefarmakoloogiliste meetodite osas on kirjeldatud ühes süstemaatilises ülevaates (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Bro</w:t>
            </w: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tady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 et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al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.), kus öeldakse, et mittefarmakoloogilised meetodid on </w:t>
            </w:r>
            <w:proofErr w:type="spellStart"/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kuluefektiivsed,kuna</w:t>
            </w:r>
            <w:proofErr w:type="spellEnd"/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 lükkavad edasi asutushooldusele suunamist.</w:t>
            </w: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 xml:space="preserve"> </w:t>
            </w:r>
            <w:r w:rsidRPr="0F4B67F7" w:rsidR="0F4B67F7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Samas vajavad erinevad teraapiad spetsialistide olemasolu ja aega. Potentsiaalne kasu on väike ja lühiaegne. Siiski soovitatakse kõigis ravijuhendites alustada mittefarmakoloogiliste meetoditega.</w:t>
            </w:r>
          </w:p>
        </w:tc>
        <w:tc>
          <w:tcPr>
            <w:tcW w:w="3180" w:type="dxa"/>
            <w:shd w:val="clear" w:color="auto" w:fill="auto"/>
            <w:tcMar/>
          </w:tcPr>
          <w:p w:rsidRPr="00A97024" w:rsidR="00432CD4" w:rsidP="00CE4799" w:rsidRDefault="00432CD4" w14:paraId="28598158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xmlns:wp14="http://schemas.microsoft.com/office/word/2010/wordml" w:rsidRPr="00A97024" w:rsidR="00B22EE4" w:rsidTr="0F4B67F7" w14:paraId="2DD30637" wp14:textId="77777777">
        <w:tc>
          <w:tcPr>
            <w:tcW w:w="3468" w:type="dxa"/>
            <w:shd w:val="clear" w:color="auto" w:fill="auto"/>
            <w:tcMar/>
          </w:tcPr>
          <w:p w:rsidRPr="00A97024" w:rsidR="00A97024" w:rsidP="00A97024" w:rsidRDefault="00A97024" w14:paraId="5AA74494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Soovituse üldine tugevus</w:t>
            </w:r>
            <w:r w:rsidRPr="00A97024" w:rsidR="004F6C78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:rsidRPr="00A97024" w:rsidR="00A97024" w:rsidP="00A97024" w:rsidRDefault="00A97024" w14:paraId="14959CF9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A97024" w:rsidP="00A97024" w:rsidRDefault="00A97024" w14:paraId="1109EFB3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:rsidRPr="00A97024" w:rsidR="00A97024" w:rsidP="00A97024" w:rsidRDefault="00A97024" w14:paraId="183B55FB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:rsidRPr="00A97024" w:rsidR="00A97024" w:rsidP="00A97024" w:rsidRDefault="00A97024" w14:paraId="0D0C410F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:rsidRPr="00A97024" w:rsidR="00A97024" w:rsidP="00A97024" w:rsidRDefault="00A97024" w14:paraId="0CC619A4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:rsidRPr="00A97024" w:rsidR="00A97024" w:rsidP="00A97024" w:rsidRDefault="00A97024" w14:paraId="634D3742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:rsidRPr="00A97024" w:rsidR="004F6C78" w:rsidP="00A97024" w:rsidRDefault="00A97024" w14:paraId="1A910956" wp14:textId="77777777">
            <w:pPr>
              <w:autoSpaceDE w:val="0"/>
              <w:autoSpaceDN w:val="0"/>
              <w:adjustRightInd w:val="0"/>
              <w:rPr>
                <w:rFonts w:ascii="Verdana" w:hAnsi="Verdana" w:cs="Calibri-Bold"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</w:tc>
        <w:tc>
          <w:tcPr>
            <w:tcW w:w="5820" w:type="dxa"/>
            <w:gridSpan w:val="3"/>
            <w:shd w:val="clear" w:color="auto" w:fill="auto"/>
            <w:tcMar/>
          </w:tcPr>
          <w:p w:rsidRPr="00A97024" w:rsidR="004F6C78" w:rsidRDefault="004F6C78" w14:paraId="776A7A4B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F6C78" w:rsidP="00A97024" w:rsidRDefault="004F6C78" w14:paraId="1840FD39" wp14:textId="77777777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bookmarkStart w:name="OLE_LINK5" w:id="0"/>
            <w:bookmarkStart w:name="OLE_LINK6" w:id="1"/>
            <w:r w:rsidRPr="0F4B67F7">
              <w:rPr>
                <w:rFonts w:ascii="Verdana,New-Baskerville-BoldA" w:hAnsi="Verdana,New-Baskerville-BoldA" w:eastAsia="Verdana,New-Baskerville-BoldA" w:cs="Verdana,New-Baskerville-BoldA"/>
                <w:b w:val="1"/>
                <w:bCs w:val="1"/>
                <w:color w:val="000080"/>
                <w:sz w:val="18"/>
                <w:szCs w:val="18"/>
                <w:u w:val="single"/>
              </w:rPr>
              <w:t xml:space="preserve">Net </w:t>
            </w:r>
            <w:proofErr w:type="spellStart"/>
            <w:r w:rsidRPr="0F4B67F7">
              <w:rPr>
                <w:rFonts w:ascii="Verdana,New-Baskerville-BoldA" w:hAnsi="Verdana,New-Baskerville-BoldA" w:eastAsia="Verdana,New-Baskerville-BoldA" w:cs="Verdana,New-Baskerville-BoldA"/>
                <w:b w:val="1"/>
                <w:bCs w:val="1"/>
                <w:color w:val="000080"/>
                <w:sz w:val="18"/>
                <w:szCs w:val="18"/>
                <w:u w:val="single"/>
              </w:rPr>
              <w:t>benefits</w:t>
            </w:r>
            <w:proofErr w:type="spellEnd"/>
            <w:r w:rsidRPr="0F4B67F7">
              <w:rPr>
                <w:rFonts w:ascii="Verdana,New-Baskerville-BoldA" w:hAnsi="Verdana,New-Baskerville-BoldA" w:eastAsia="Verdana,New-Baskerville-BoldA" w:cs="Verdana,New-Baskerville-BoldA"/>
                <w:b w:val="1"/>
                <w:bCs w:val="1"/>
                <w:color w:val="000080"/>
                <w:sz w:val="18"/>
                <w:szCs w:val="18"/>
                <w:u w:val="single"/>
              </w:rPr>
              <w:t xml:space="preserve"> </w:t>
            </w:r>
            <w:r w:rsidRPr="0F4B67F7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 xml:space="preserve">= </w:t>
            </w:r>
            <w:proofErr w:type="spellStart"/>
            <w:r w:rsidRPr="0F4B67F7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>the</w:t>
            </w:r>
            <w:proofErr w:type="spellEnd"/>
            <w:r w:rsidRPr="0F4B67F7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F4B67F7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>intervention</w:t>
            </w:r>
            <w:proofErr w:type="spellEnd"/>
            <w:r w:rsidRPr="0F4B67F7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F4B67F7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>clearly</w:t>
            </w:r>
            <w:proofErr w:type="spellEnd"/>
            <w:r w:rsidRPr="0F4B67F7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F4B67F7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>does</w:t>
            </w:r>
            <w:proofErr w:type="spellEnd"/>
            <w:r w:rsidRPr="0F4B67F7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F4B67F7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>more</w:t>
            </w:r>
            <w:proofErr w:type="spellEnd"/>
            <w:r w:rsidRPr="0F4B67F7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F4B67F7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>good</w:t>
            </w:r>
            <w:proofErr w:type="spellEnd"/>
            <w:r w:rsidRPr="0F4B67F7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F4B67F7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>than</w:t>
            </w:r>
            <w:proofErr w:type="spellEnd"/>
          </w:p>
          <w:p w:rsidRPr="00A97024" w:rsidR="004F6C78" w:rsidP="00A97024" w:rsidRDefault="004F6C78" w14:paraId="2F5DE2D5" wp14:textId="77777777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proofErr w:type="spellStart"/>
            <w:r w:rsidRPr="0F4B67F7" w:rsidR="0F4B67F7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>harm</w:t>
            </w:r>
            <w:proofErr w:type="spellEnd"/>
            <w:r w:rsidRPr="0F4B67F7" w:rsidR="0F4B67F7">
              <w:rPr>
                <w:rFonts w:ascii="Verdana,New-Baskerville-RomanA" w:hAnsi="Verdana,New-Baskerville-RomanA" w:eastAsia="Verdana,New-Baskerville-RomanA" w:cs="Verdana,New-Baskerville-RomanA"/>
                <w:color w:val="000080"/>
                <w:sz w:val="18"/>
                <w:szCs w:val="18"/>
                <w:u w:val="single"/>
              </w:rPr>
              <w:t>.</w:t>
            </w:r>
          </w:p>
          <w:p w:rsidRPr="00A97024" w:rsidR="004F6C78" w:rsidP="00A97024" w:rsidRDefault="004F6C78" w14:paraId="40E4902D" wp14:textId="77777777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Pr="00A97024" w:rsidR="004F6C78" w:rsidP="00A97024" w:rsidRDefault="004F6C78" w14:paraId="7A4542F6" wp14:textId="77777777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Trade-offs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=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there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are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important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trade-offs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between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benefits</w:t>
            </w:r>
            <w:proofErr w:type="spellEnd"/>
            <w:r w:rsidRPr="00A97024" w:rsidR="008B2141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and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.</w:t>
            </w:r>
          </w:p>
          <w:p w:rsidRPr="00A97024" w:rsidR="004F6C78" w:rsidP="00A97024" w:rsidRDefault="004F6C78" w14:paraId="300258A3" wp14:textId="77777777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Pr="00A97024" w:rsidR="004F6C78" w:rsidP="00A97024" w:rsidRDefault="004F6C78" w14:paraId="08401041" wp14:textId="77777777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Uncertain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trade-offs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=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it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not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clear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whether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intervention</w:t>
            </w:r>
            <w:proofErr w:type="spellEnd"/>
            <w:r w:rsidRPr="00A97024" w:rsidR="008B2141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does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more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good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than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.</w:t>
            </w:r>
          </w:p>
          <w:p w:rsidRPr="00A97024" w:rsidR="004F6C78" w:rsidP="00A97024" w:rsidRDefault="004F6C78" w14:paraId="0076B095" wp14:textId="77777777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Pr="00A97024" w:rsidR="004F6C78" w:rsidP="00A97024" w:rsidRDefault="004F6C78" w14:paraId="2264AE48" wp14:textId="77777777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No net </w:t>
            </w: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benefits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=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intervention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clearly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does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not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more</w:t>
            </w:r>
            <w:proofErr w:type="spellEnd"/>
          </w:p>
          <w:p w:rsidRPr="00A97024" w:rsidR="004F6C78" w:rsidP="004F6C78" w:rsidRDefault="004F6C78" w14:paraId="6077B2C3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good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than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.</w:t>
            </w:r>
          </w:p>
          <w:bookmarkEnd w:id="0"/>
          <w:bookmarkEnd w:id="1"/>
          <w:p w:rsidRPr="00A97024" w:rsidR="004F6C78" w:rsidRDefault="004F6C78" w14:paraId="3E689951" wp14:textId="7777777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</w:tbl>
    <w:p xmlns:wp14="http://schemas.microsoft.com/office/word/2010/wordml" w:rsidRPr="00A97024" w:rsidR="00D25CBB" w:rsidP="002A513E" w:rsidRDefault="00D25CBB" w14:paraId="13155F3A" wp14:textId="77777777">
      <w:pPr>
        <w:rPr>
          <w:rFonts w:ascii="Verdana" w:hAnsi="Verdana"/>
          <w:sz w:val="18"/>
          <w:szCs w:val="18"/>
        </w:rPr>
      </w:pPr>
    </w:p>
    <w:sectPr w:rsidRPr="00A97024" w:rsidR="00D25CBB" w:rsidSect="00A97024">
      <w:headerReference w:type="default" r:id="rId7"/>
      <w:footerReference w:type="default" r:id="rId8"/>
      <w:headerReference w:type="first" r:id="rId9"/>
      <w:pgSz w:w="11906" w:h="16838" w:orient="portrait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5F2D05" w:rsidP="003D7DEF" w:rsidRDefault="005F2D05" w14:paraId="0C592BCE" wp14:textId="77777777">
      <w:r>
        <w:separator/>
      </w:r>
    </w:p>
  </w:endnote>
  <w:endnote w:type="continuationSeparator" w:id="0">
    <w:p xmlns:wp14="http://schemas.microsoft.com/office/word/2010/wordml" w:rsidR="005F2D05" w:rsidP="003D7DEF" w:rsidRDefault="005F2D05" w14:paraId="1B90C09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New-Baskerville-Roman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02590A" w:rsidR="00CE4799" w:rsidP="00891C08" w:rsidRDefault="00CE4799" w14:paraId="2BBC1DEF" wp14:textId="77777777">
    <w:pPr>
      <w:pStyle w:val="Jalus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separate"/>
    </w:r>
    <w:r w:rsidR="006D7602">
      <w:rPr>
        <w:rStyle w:val="Leheklj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end"/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separate"/>
    </w:r>
    <w:r w:rsidR="006D7602">
      <w:rPr>
        <w:rStyle w:val="Leheklj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5F2D05" w:rsidP="003D7DEF" w:rsidRDefault="005F2D05" w14:paraId="1D72EB79" wp14:textId="77777777">
      <w:r>
        <w:separator/>
      </w:r>
    </w:p>
  </w:footnote>
  <w:footnote w:type="continuationSeparator" w:id="0">
    <w:p xmlns:wp14="http://schemas.microsoft.com/office/word/2010/wordml" w:rsidR="005F2D05" w:rsidP="003D7DEF" w:rsidRDefault="005F2D05" w14:paraId="2576867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02590A" w:rsidR="00CE4799" w:rsidP="00891C08" w:rsidRDefault="00CE4799" w14:paraId="622EA312" wp14:textId="77777777">
    <w:pPr>
      <w:pStyle w:val="Pis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97024" w:rsidRDefault="00A97024" w14:paraId="4E122E0A" wp14:textId="77777777">
    <w:pPr>
      <w:pStyle w:val="Pis"/>
    </w:pPr>
    <w:r>
      <w:t>Soovituste koostamiseks kokkuvõte</w:t>
    </w:r>
    <w:r w:rsidR="00523AAB">
      <w:t xml:space="preserve"> - </w:t>
    </w:r>
    <w:proofErr w:type="spellStart"/>
    <w:r w:rsidR="00523AAB">
      <w:t>soKo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Verdana" w:hAnsi="Verdana" w:eastAsia="New-Baskerville-BoldA" w:cs="AdvPSSAB-R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3F98"/>
    <w:rsid w:val="000B457C"/>
    <w:rsid w:val="000B4C92"/>
    <w:rsid w:val="000B5228"/>
    <w:rsid w:val="000B576F"/>
    <w:rsid w:val="000B6E56"/>
    <w:rsid w:val="000B74F4"/>
    <w:rsid w:val="000C04E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0F9E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2AA"/>
    <w:rsid w:val="003D5425"/>
    <w:rsid w:val="003D56FF"/>
    <w:rsid w:val="003D6B3C"/>
    <w:rsid w:val="003D70F8"/>
    <w:rsid w:val="003D7704"/>
    <w:rsid w:val="003D7DEF"/>
    <w:rsid w:val="003D7F53"/>
    <w:rsid w:val="003E0296"/>
    <w:rsid w:val="003E0698"/>
    <w:rsid w:val="003E0FEA"/>
    <w:rsid w:val="003E1940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580"/>
    <w:rsid w:val="00465FE8"/>
    <w:rsid w:val="0046628F"/>
    <w:rsid w:val="004669FF"/>
    <w:rsid w:val="00466CAB"/>
    <w:rsid w:val="00466FF9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AAB"/>
    <w:rsid w:val="00523BAC"/>
    <w:rsid w:val="00524FED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219"/>
    <w:rsid w:val="005F2474"/>
    <w:rsid w:val="005F2CA0"/>
    <w:rsid w:val="005F2D05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D7602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23E4"/>
    <w:rsid w:val="00753511"/>
    <w:rsid w:val="00753B37"/>
    <w:rsid w:val="00753BE7"/>
    <w:rsid w:val="00754AEB"/>
    <w:rsid w:val="007550B0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648E"/>
    <w:rsid w:val="00CB6A5B"/>
    <w:rsid w:val="00CB6B45"/>
    <w:rsid w:val="00CB6EB5"/>
    <w:rsid w:val="00CB725E"/>
    <w:rsid w:val="00CB7601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AC7"/>
    <w:rsid w:val="00D4338F"/>
    <w:rsid w:val="00D434D5"/>
    <w:rsid w:val="00D43941"/>
    <w:rsid w:val="00D4469C"/>
    <w:rsid w:val="00D44DB8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034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  <w:rsid w:val="0F4B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C57B775-A0B7-472B-8315-3CFAD7D9F070}"/>
  <w14:docId w14:val="510DCC08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t-EE" w:eastAsia="ja-JP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</w:latentStyles>
  <w:style w:type="paragraph" w:styleId="Normaallaad" w:default="1">
    <w:name w:val="Normal"/>
    <w:qFormat/>
    <w:rPr>
      <w:sz w:val="24"/>
      <w:szCs w:val="24"/>
      <w:lang w:eastAsia="et-EE"/>
    </w:rPr>
  </w:style>
  <w:style w:type="character" w:styleId="Liguvaikefont" w:default="1">
    <w:name w:val="Default Paragraph Font"/>
    <w:semiHidden/>
  </w:style>
  <w:style w:type="table" w:styleId="Normaaltabe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semiHidden/>
  </w:style>
  <w:style w:type="table" w:styleId="Kontuurtabel">
    <w:name w:val="Table Grid"/>
    <w:basedOn w:val="Normaaltabel"/>
    <w:rsid w:val="00432C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Jutumullitekst">
    <w:name w:val="Balloon Text"/>
    <w:basedOn w:val="Normaallaad"/>
    <w:semiHidden/>
    <w:rsid w:val="00491832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rsid w:val="00891C08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891C08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891C08"/>
  </w:style>
  <w:style w:type="character" w:styleId="PisMrk" w:customStyle="1">
    <w:name w:val="Päis Märk"/>
    <w:link w:val="Pis"/>
    <w:uiPriority w:val="99"/>
    <w:rsid w:val="00A97024"/>
    <w:rPr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allaad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Ravimiamet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patients with confirmed hypertension should / should not be offered dietary advice concerning salt restriction</dc:title>
  <dc:subject/>
  <dc:creator>Kasutaja</dc:creator>
  <keywords/>
  <lastModifiedBy>Külaline</lastModifiedBy>
  <revision>6</revision>
  <lastPrinted>2011-04-03T13:46:00.0000000Z</lastPrinted>
  <dcterms:created xsi:type="dcterms:W3CDTF">2016-08-22T10:24:00.0000000Z</dcterms:created>
  <dcterms:modified xsi:type="dcterms:W3CDTF">2016-08-22T11:51:12.6768814Z</dcterms:modified>
</coreProperties>
</file>