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0A" w:rsidRPr="00A97024" w:rsidRDefault="0002590A" w:rsidP="004F6C78">
      <w:pPr>
        <w:rPr>
          <w:rFonts w:ascii="Verdana" w:hAnsi="Verdana"/>
          <w:b/>
          <w:color w:val="000080"/>
          <w:sz w:val="18"/>
          <w:szCs w:val="18"/>
        </w:rPr>
      </w:pPr>
    </w:p>
    <w:p w:rsidR="004F6C78" w:rsidRPr="00A97024" w:rsidRDefault="0031077D" w:rsidP="004F6C78">
      <w:pPr>
        <w:rPr>
          <w:rFonts w:ascii="Verdana" w:hAnsi="Verdana"/>
          <w:b/>
          <w:color w:val="000080"/>
          <w:sz w:val="18"/>
          <w:szCs w:val="18"/>
        </w:rPr>
      </w:pPr>
      <w:r w:rsidRPr="00A97024">
        <w:rPr>
          <w:rFonts w:ascii="Verdana" w:hAnsi="Verdana"/>
          <w:b/>
          <w:color w:val="000080"/>
          <w:sz w:val="18"/>
          <w:szCs w:val="18"/>
        </w:rPr>
        <w:t xml:space="preserve">Kliiniline küsimus nr </w:t>
      </w:r>
      <w:r w:rsidR="00577F95">
        <w:rPr>
          <w:rFonts w:ascii="Verdana" w:hAnsi="Verdana"/>
          <w:b/>
          <w:color w:val="000080"/>
          <w:sz w:val="18"/>
          <w:szCs w:val="18"/>
        </w:rPr>
        <w:t>16</w:t>
      </w:r>
    </w:p>
    <w:p w:rsidR="004F6C78" w:rsidRPr="00024109" w:rsidRDefault="004F6C78" w:rsidP="0018274A">
      <w:pPr>
        <w:jc w:val="both"/>
        <w:rPr>
          <w:b/>
          <w:color w:val="2E74B5"/>
          <w:sz w:val="18"/>
          <w:szCs w:val="18"/>
        </w:rPr>
      </w:pPr>
    </w:p>
    <w:p w:rsidR="0018274A" w:rsidRPr="00024109" w:rsidRDefault="00577F95" w:rsidP="0018274A">
      <w:pPr>
        <w:jc w:val="both"/>
        <w:rPr>
          <w:rFonts w:ascii="Palatino Linotype" w:hAnsi="Palatino Linotype"/>
          <w:color w:val="2E74B5"/>
        </w:rPr>
      </w:pPr>
      <w:r w:rsidRPr="00024109">
        <w:rPr>
          <w:color w:val="2E74B5"/>
        </w:rPr>
        <w:t>Kas kõikidel Alzheimeri tõvega (AT) patsientidel piirata relva kasutusloa pikendamist, mootorsõiduki juhtimisõigust ohutuse tagamiseks vs. Mitte?</w:t>
      </w:r>
    </w:p>
    <w:p w:rsidR="0018274A" w:rsidRDefault="0018274A" w:rsidP="0018274A">
      <w:pPr>
        <w:rPr>
          <w:b/>
          <w:bCs/>
        </w:rPr>
      </w:pPr>
    </w:p>
    <w:p w:rsidR="009D06C6" w:rsidRDefault="00577F95" w:rsidP="009D06C6">
      <w:pPr>
        <w:jc w:val="both"/>
      </w:pPr>
      <w:r w:rsidRPr="7E59A50E">
        <w:rPr>
          <w:rFonts w:eastAsia="Palatino Linotype" w:cs="Palatino Linotype"/>
          <w:b/>
          <w:bCs/>
        </w:rPr>
        <w:t xml:space="preserve">Peamised tulemusnäitajad: </w:t>
      </w:r>
      <w:r w:rsidRPr="005D3528">
        <w:t>traumade (ja sellega seonduva) vähenemine, patsiendi ohutuse tagamine.</w:t>
      </w:r>
    </w:p>
    <w:p w:rsidR="00701EDE" w:rsidRDefault="00701EDE" w:rsidP="00701EDE">
      <w:pPr>
        <w:rPr>
          <w:rFonts w:eastAsia="Palatino Linotype" w:cs="Palatino Linotype"/>
          <w:color w:val="000000"/>
          <w:szCs w:val="22"/>
        </w:rPr>
      </w:pPr>
    </w:p>
    <w:p w:rsidR="00701EDE" w:rsidRDefault="00701EDE" w:rsidP="00701EDE">
      <w:pPr>
        <w:pBdr>
          <w:top w:val="single" w:sz="4" w:space="1" w:color="auto"/>
          <w:left w:val="single" w:sz="4" w:space="4" w:color="auto"/>
          <w:bottom w:val="single" w:sz="4" w:space="1" w:color="auto"/>
          <w:right w:val="single" w:sz="4" w:space="4" w:color="auto"/>
        </w:pBdr>
        <w:jc w:val="both"/>
        <w:rPr>
          <w:sz w:val="22"/>
        </w:rPr>
      </w:pPr>
      <w:r>
        <w:rPr>
          <w:b/>
          <w:bCs/>
        </w:rPr>
        <w:t>Huvide konflikt:</w:t>
      </w:r>
      <w:r>
        <w:t xml:space="preserve"> töörühm on kinnitanud, et töörühmaliikmed on deklareerinud peamised huvid või huvide puudumise antud küsimuses</w:t>
      </w:r>
    </w:p>
    <w:p w:rsidR="00701EDE" w:rsidRPr="00A97024" w:rsidRDefault="00701EDE" w:rsidP="00701EDE">
      <w:pPr>
        <w:rPr>
          <w:rFonts w:ascii="Verdana" w:hAnsi="Verdana"/>
          <w:b/>
          <w:sz w:val="18"/>
          <w:szCs w:val="18"/>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376"/>
        <w:gridCol w:w="993"/>
        <w:gridCol w:w="4819"/>
        <w:gridCol w:w="1100"/>
      </w:tblGrid>
      <w:tr w:rsidR="00432CD4" w:rsidRPr="00A97024" w:rsidTr="00A97024">
        <w:tc>
          <w:tcPr>
            <w:tcW w:w="9288" w:type="dxa"/>
            <w:gridSpan w:val="4"/>
            <w:shd w:val="clear" w:color="auto" w:fill="auto"/>
          </w:tcPr>
          <w:p w:rsidR="00891C08" w:rsidRPr="00A97024" w:rsidRDefault="00891C08">
            <w:pPr>
              <w:rPr>
                <w:rFonts w:ascii="Verdana" w:hAnsi="Verdana"/>
                <w:b/>
                <w:color w:val="000080"/>
                <w:sz w:val="18"/>
                <w:szCs w:val="18"/>
              </w:rPr>
            </w:pPr>
          </w:p>
          <w:p w:rsidR="004F6C78" w:rsidRPr="00A97024" w:rsidRDefault="0031077D" w:rsidP="00891C08">
            <w:pPr>
              <w:rPr>
                <w:rFonts w:ascii="Verdana" w:hAnsi="Verdana"/>
                <w:color w:val="000080"/>
                <w:sz w:val="18"/>
                <w:szCs w:val="18"/>
              </w:rPr>
            </w:pPr>
            <w:r w:rsidRPr="00A97024">
              <w:rPr>
                <w:rFonts w:ascii="Verdana" w:hAnsi="Verdana"/>
                <w:color w:val="000080"/>
                <w:sz w:val="18"/>
                <w:szCs w:val="18"/>
              </w:rPr>
              <w:t xml:space="preserve">Töörühma soovitus: </w:t>
            </w:r>
          </w:p>
          <w:p w:rsidR="00577F95" w:rsidRDefault="00577F95" w:rsidP="00577F95">
            <w:pPr>
              <w:pStyle w:val="Loendilik"/>
              <w:numPr>
                <w:ilvl w:val="0"/>
                <w:numId w:val="6"/>
              </w:numPr>
              <w:rPr>
                <w:rFonts w:ascii="Arial Narrow" w:hAnsi="Arial Narrow"/>
                <w:color w:val="0070C0"/>
              </w:rPr>
            </w:pPr>
            <w:r w:rsidRPr="009B166C">
              <w:rPr>
                <w:rFonts w:ascii="Arial Narrow" w:hAnsi="Arial Narrow"/>
                <w:color w:val="0070C0"/>
              </w:rPr>
              <w:t xml:space="preserve">Kerge </w:t>
            </w:r>
            <w:r>
              <w:rPr>
                <w:rFonts w:ascii="Arial Narrow" w:hAnsi="Arial Narrow"/>
                <w:color w:val="0070C0"/>
              </w:rPr>
              <w:t>kognitiivse defitsiidi</w:t>
            </w:r>
            <w:r w:rsidRPr="009B166C">
              <w:rPr>
                <w:rFonts w:ascii="Arial Narrow" w:hAnsi="Arial Narrow"/>
                <w:color w:val="0070C0"/>
              </w:rPr>
              <w:t xml:space="preserve"> korral</w:t>
            </w:r>
            <w:r>
              <w:rPr>
                <w:rFonts w:ascii="Arial Narrow" w:hAnsi="Arial Narrow"/>
                <w:color w:val="0070C0"/>
              </w:rPr>
              <w:t>,</w:t>
            </w:r>
            <w:r w:rsidRPr="009B166C">
              <w:rPr>
                <w:rFonts w:ascii="Arial Narrow" w:hAnsi="Arial Narrow"/>
                <w:color w:val="0070C0"/>
              </w:rPr>
              <w:t xml:space="preserve"> et hinnata potentsiaalset patsiendi ohutust liikluses ning ohutut relva käsitlemist</w:t>
            </w:r>
            <w:r>
              <w:rPr>
                <w:rFonts w:ascii="Arial Narrow" w:hAnsi="Arial Narrow"/>
                <w:color w:val="0070C0"/>
              </w:rPr>
              <w:t>,</w:t>
            </w:r>
            <w:r w:rsidRPr="009B166C">
              <w:rPr>
                <w:rFonts w:ascii="Arial Narrow" w:hAnsi="Arial Narrow"/>
                <w:color w:val="0070C0"/>
              </w:rPr>
              <w:t xml:space="preserve"> </w:t>
            </w:r>
            <w:r>
              <w:rPr>
                <w:rFonts w:ascii="Arial Narrow" w:hAnsi="Arial Narrow"/>
                <w:color w:val="0070C0"/>
              </w:rPr>
              <w:t>tuleb</w:t>
            </w:r>
            <w:r w:rsidRPr="009B166C">
              <w:rPr>
                <w:rFonts w:ascii="Arial Narrow" w:hAnsi="Arial Narrow"/>
                <w:color w:val="0070C0"/>
              </w:rPr>
              <w:t xml:space="preserve"> rakenda</w:t>
            </w:r>
            <w:r>
              <w:rPr>
                <w:rFonts w:ascii="Arial Narrow" w:hAnsi="Arial Narrow"/>
                <w:color w:val="0070C0"/>
              </w:rPr>
              <w:t>d</w:t>
            </w:r>
            <w:r w:rsidRPr="009B166C">
              <w:rPr>
                <w:rFonts w:ascii="Arial Narrow" w:hAnsi="Arial Narrow"/>
                <w:color w:val="0070C0"/>
              </w:rPr>
              <w:t>a neuropsühholoogilisi teste 6-12 kuu intervalliga</w:t>
            </w:r>
            <w:r>
              <w:rPr>
                <w:rFonts w:ascii="Arial Narrow" w:hAnsi="Arial Narrow"/>
                <w:color w:val="0070C0"/>
              </w:rPr>
              <w:t xml:space="preserve"> vastava klinitsisti (geriaater, neuroloog, psühhiaater jne) poolt;</w:t>
            </w:r>
            <w:r w:rsidRPr="009B166C">
              <w:rPr>
                <w:rFonts w:ascii="Arial Narrow" w:hAnsi="Arial Narrow"/>
                <w:color w:val="0070C0"/>
              </w:rPr>
              <w:t xml:space="preserve"> </w:t>
            </w:r>
          </w:p>
          <w:p w:rsidR="00577F95" w:rsidRPr="00FA4AA9" w:rsidRDefault="00577F95" w:rsidP="00577F95">
            <w:pPr>
              <w:pStyle w:val="Loendilik"/>
              <w:numPr>
                <w:ilvl w:val="0"/>
                <w:numId w:val="6"/>
              </w:numPr>
              <w:rPr>
                <w:rFonts w:ascii="Arial Narrow" w:hAnsi="Arial Narrow"/>
                <w:color w:val="0070C0"/>
              </w:rPr>
            </w:pPr>
            <w:r w:rsidRPr="009B166C">
              <w:rPr>
                <w:rFonts w:ascii="Arial Narrow" w:hAnsi="Arial Narrow"/>
                <w:color w:val="0070C0"/>
              </w:rPr>
              <w:t xml:space="preserve">Alzheimeri tõvega patsiendi puhul </w:t>
            </w:r>
            <w:r>
              <w:rPr>
                <w:rFonts w:ascii="Arial Narrow" w:hAnsi="Arial Narrow"/>
                <w:color w:val="0070C0"/>
              </w:rPr>
              <w:t xml:space="preserve">auto </w:t>
            </w:r>
            <w:r w:rsidRPr="009B166C">
              <w:rPr>
                <w:rFonts w:ascii="Arial Narrow" w:hAnsi="Arial Narrow"/>
                <w:color w:val="0070C0"/>
              </w:rPr>
              <w:t>juhtimis</w:t>
            </w:r>
            <w:r>
              <w:rPr>
                <w:rFonts w:ascii="Arial Narrow" w:hAnsi="Arial Narrow"/>
                <w:color w:val="0070C0"/>
              </w:rPr>
              <w:t>õiguse</w:t>
            </w:r>
            <w:r w:rsidRPr="009B166C">
              <w:rPr>
                <w:rFonts w:ascii="Arial Narrow" w:hAnsi="Arial Narrow"/>
                <w:color w:val="0070C0"/>
              </w:rPr>
              <w:t xml:space="preserve"> ja relva kasutamisõigust piirava </w:t>
            </w:r>
            <w:r w:rsidRPr="00FA4AA9">
              <w:rPr>
                <w:rFonts w:ascii="Arial Narrow" w:hAnsi="Arial Narrow"/>
                <w:color w:val="0070C0"/>
              </w:rPr>
              <w:t>otsuse tegemise kaalumisel raviarsti poolt tuleb informeerida patsienti ja tema lähedasi</w:t>
            </w:r>
            <w:r>
              <w:rPr>
                <w:rFonts w:ascii="Arial Narrow" w:hAnsi="Arial Narrow"/>
                <w:color w:val="0070C0"/>
              </w:rPr>
              <w:t>, (kes kinnitavad kirjalikult, et vastav informeerimine on toimunud).</w:t>
            </w:r>
            <w:r w:rsidRPr="00FA4AA9">
              <w:rPr>
                <w:rFonts w:ascii="Arial Narrow" w:hAnsi="Arial Narrow"/>
                <w:color w:val="0070C0"/>
              </w:rPr>
              <w:t xml:space="preserve"> Diagnoosi pannud raviarst </w:t>
            </w:r>
            <w:r>
              <w:rPr>
                <w:rFonts w:ascii="Arial Narrow" w:hAnsi="Arial Narrow"/>
                <w:color w:val="0070C0"/>
              </w:rPr>
              <w:t>informeerib</w:t>
            </w:r>
            <w:r w:rsidRPr="00FA4AA9">
              <w:rPr>
                <w:rFonts w:ascii="Arial Narrow" w:hAnsi="Arial Narrow"/>
                <w:color w:val="0070C0"/>
              </w:rPr>
              <w:t xml:space="preserve"> </w:t>
            </w:r>
            <w:r>
              <w:rPr>
                <w:rFonts w:ascii="Arial Narrow" w:hAnsi="Arial Narrow"/>
                <w:color w:val="0070C0"/>
              </w:rPr>
              <w:t xml:space="preserve">patsienti ja tema lähedasi kavatsusest algatada </w:t>
            </w:r>
            <w:r w:rsidRPr="00FA4AA9">
              <w:rPr>
                <w:rFonts w:ascii="Arial Narrow" w:hAnsi="Arial Narrow"/>
                <w:color w:val="0070C0"/>
              </w:rPr>
              <w:t>auto juhtimisõiguse</w:t>
            </w:r>
            <w:r>
              <w:rPr>
                <w:rFonts w:ascii="Arial Narrow" w:hAnsi="Arial Narrow"/>
                <w:color w:val="0070C0"/>
              </w:rPr>
              <w:t xml:space="preserve"> ning relvaloa</w:t>
            </w:r>
            <w:r w:rsidRPr="00FA4AA9">
              <w:rPr>
                <w:rFonts w:ascii="Arial Narrow" w:hAnsi="Arial Narrow"/>
                <w:color w:val="0070C0"/>
              </w:rPr>
              <w:t xml:space="preserve"> peatami</w:t>
            </w:r>
            <w:r>
              <w:rPr>
                <w:rFonts w:ascii="Arial Narrow" w:hAnsi="Arial Narrow"/>
                <w:color w:val="0070C0"/>
              </w:rPr>
              <w:t>n</w:t>
            </w:r>
            <w:r w:rsidRPr="00FA4AA9">
              <w:rPr>
                <w:rFonts w:ascii="Arial Narrow" w:hAnsi="Arial Narrow"/>
                <w:color w:val="0070C0"/>
              </w:rPr>
              <w:t>e</w:t>
            </w:r>
          </w:p>
          <w:p w:rsidR="009C3A27" w:rsidRPr="009D06C6" w:rsidRDefault="009C3A27" w:rsidP="009C3A27">
            <w:pPr>
              <w:pStyle w:val="paragraph"/>
              <w:textAlignment w:val="baseline"/>
              <w:rPr>
                <w:rFonts w:ascii="Arial Narrow" w:hAnsi="Arial Narrow" w:cs="Segoe UI"/>
                <w:color w:val="0070C0"/>
                <w:sz w:val="12"/>
                <w:szCs w:val="12"/>
              </w:rPr>
            </w:pPr>
          </w:p>
          <w:p w:rsidR="0018274A" w:rsidRPr="00A97024" w:rsidRDefault="0018274A" w:rsidP="00891C08">
            <w:pPr>
              <w:rPr>
                <w:rFonts w:ascii="Verdana" w:hAnsi="Verdana"/>
                <w:color w:val="000080"/>
                <w:sz w:val="18"/>
                <w:szCs w:val="18"/>
              </w:rPr>
            </w:pPr>
          </w:p>
        </w:tc>
      </w:tr>
      <w:tr w:rsidR="00432CD4" w:rsidRPr="00A97024" w:rsidTr="00701EDE">
        <w:tc>
          <w:tcPr>
            <w:tcW w:w="2376"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Patsient/sihtrühm</w:t>
            </w:r>
          </w:p>
        </w:tc>
        <w:tc>
          <w:tcPr>
            <w:tcW w:w="6912" w:type="dxa"/>
            <w:gridSpan w:val="3"/>
            <w:shd w:val="clear" w:color="auto" w:fill="auto"/>
          </w:tcPr>
          <w:p w:rsidR="0002590A" w:rsidRPr="00A97024" w:rsidRDefault="00701EDE" w:rsidP="0031077D">
            <w:pPr>
              <w:rPr>
                <w:rFonts w:ascii="Verdana" w:hAnsi="Verdana"/>
                <w:color w:val="000080"/>
                <w:sz w:val="18"/>
                <w:szCs w:val="18"/>
              </w:rPr>
            </w:pPr>
            <w:r>
              <w:rPr>
                <w:rFonts w:eastAsia="Palatino Linotype" w:cs="Palatino Linotype"/>
              </w:rPr>
              <w:t>Alzheimeri tõve diagnoosiga patsiendid</w:t>
            </w:r>
          </w:p>
          <w:p w:rsidR="0031077D" w:rsidRPr="00A97024" w:rsidRDefault="0031077D" w:rsidP="0031077D">
            <w:pPr>
              <w:rPr>
                <w:rFonts w:ascii="Verdana" w:hAnsi="Verdana"/>
                <w:color w:val="000080"/>
                <w:sz w:val="18"/>
                <w:szCs w:val="18"/>
              </w:rPr>
            </w:pPr>
          </w:p>
        </w:tc>
      </w:tr>
      <w:tr w:rsidR="00432CD4" w:rsidRPr="00A97024" w:rsidTr="00701EDE">
        <w:tc>
          <w:tcPr>
            <w:tcW w:w="2376"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Sekkumine</w:t>
            </w:r>
          </w:p>
        </w:tc>
        <w:tc>
          <w:tcPr>
            <w:tcW w:w="6912" w:type="dxa"/>
            <w:gridSpan w:val="3"/>
            <w:shd w:val="clear" w:color="auto" w:fill="auto"/>
          </w:tcPr>
          <w:p w:rsidR="0031077D" w:rsidRPr="00A97024" w:rsidRDefault="00577F95" w:rsidP="0018274A">
            <w:pPr>
              <w:rPr>
                <w:rFonts w:ascii="Verdana" w:hAnsi="Verdana"/>
                <w:color w:val="000080"/>
                <w:sz w:val="18"/>
                <w:szCs w:val="18"/>
              </w:rPr>
            </w:pPr>
            <w:r w:rsidRPr="005D3528">
              <w:t>piirata relva kasutusloa pikendamist, mootorsõiduki juhtimisõigust ohutuse tagamiseks</w:t>
            </w:r>
          </w:p>
        </w:tc>
      </w:tr>
      <w:tr w:rsidR="007D6E2D" w:rsidRPr="00A97024" w:rsidTr="00701EDE">
        <w:tc>
          <w:tcPr>
            <w:tcW w:w="2376"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Tegur</w:t>
            </w:r>
          </w:p>
          <w:p w:rsidR="0002590A" w:rsidRPr="00A97024" w:rsidRDefault="0002590A">
            <w:pPr>
              <w:rPr>
                <w:rFonts w:ascii="Verdana" w:hAnsi="Verdana"/>
                <w:b/>
                <w:color w:val="000080"/>
                <w:sz w:val="18"/>
                <w:szCs w:val="18"/>
              </w:rPr>
            </w:pPr>
          </w:p>
        </w:tc>
        <w:tc>
          <w:tcPr>
            <w:tcW w:w="993"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Otsus</w:t>
            </w:r>
          </w:p>
        </w:tc>
        <w:tc>
          <w:tcPr>
            <w:tcW w:w="4819" w:type="dxa"/>
            <w:shd w:val="clear" w:color="auto" w:fill="auto"/>
          </w:tcPr>
          <w:p w:rsidR="00432CD4" w:rsidRPr="00A97024" w:rsidRDefault="0031077D">
            <w:pPr>
              <w:rPr>
                <w:rFonts w:ascii="Verdana" w:hAnsi="Verdana"/>
                <w:b/>
                <w:color w:val="000080"/>
                <w:sz w:val="18"/>
                <w:szCs w:val="18"/>
              </w:rPr>
            </w:pPr>
            <w:r w:rsidRPr="00A97024">
              <w:rPr>
                <w:rFonts w:ascii="Verdana" w:hAnsi="Verdana"/>
                <w:b/>
                <w:color w:val="000080"/>
                <w:sz w:val="18"/>
                <w:szCs w:val="18"/>
              </w:rPr>
              <w:t>Selgitus</w:t>
            </w:r>
          </w:p>
        </w:tc>
        <w:tc>
          <w:tcPr>
            <w:tcW w:w="1100" w:type="dxa"/>
            <w:shd w:val="clear" w:color="auto" w:fill="auto"/>
          </w:tcPr>
          <w:p w:rsidR="00432CD4" w:rsidRPr="00A97024" w:rsidRDefault="00432CD4">
            <w:pPr>
              <w:rPr>
                <w:rFonts w:ascii="Verdana" w:hAnsi="Verdana"/>
                <w:b/>
                <w:color w:val="000080"/>
                <w:sz w:val="18"/>
                <w:szCs w:val="18"/>
              </w:rPr>
            </w:pPr>
          </w:p>
        </w:tc>
      </w:tr>
      <w:tr w:rsidR="00D77AC8" w:rsidRPr="00A97024" w:rsidTr="00701EDE">
        <w:tc>
          <w:tcPr>
            <w:tcW w:w="2376" w:type="dxa"/>
            <w:shd w:val="clear" w:color="auto" w:fill="auto"/>
          </w:tcPr>
          <w:p w:rsidR="00D77AC8" w:rsidRDefault="00D77AC8" w:rsidP="00D77AC8">
            <w:pPr>
              <w:pStyle w:val="Normaallaadveeb"/>
            </w:pPr>
            <w:r>
              <w:t>Väga hea või keskmise kvaliteediga tõendusmaterjal (</w:t>
            </w:r>
            <w:r w:rsidRPr="00D77AC8">
              <w:rPr>
                <w:i/>
              </w:rPr>
              <w:t>kas tõendusmaterjal on väga  kvaliteetne?)</w:t>
            </w:r>
            <w:r>
              <w:t>  (</w:t>
            </w:r>
            <w:r w:rsidRPr="00D77AC8">
              <w:rPr>
                <w:i/>
              </w:rPr>
              <w:t>Mida kõrgem on tõendusmaterjali kvaliteet, seda tugevam on soovitus</w:t>
            </w:r>
            <w:r>
              <w:t xml:space="preserve">)  </w:t>
            </w:r>
          </w:p>
          <w:p w:rsidR="00D77AC8" w:rsidRPr="00A97024" w:rsidRDefault="00D77AC8">
            <w:pPr>
              <w:rPr>
                <w:rFonts w:ascii="Verdana" w:hAnsi="Verdana"/>
                <w:b/>
                <w:color w:val="000080"/>
                <w:sz w:val="18"/>
                <w:szCs w:val="18"/>
              </w:rPr>
            </w:pPr>
          </w:p>
        </w:tc>
        <w:tc>
          <w:tcPr>
            <w:tcW w:w="993" w:type="dxa"/>
            <w:shd w:val="clear" w:color="auto" w:fill="auto"/>
          </w:tcPr>
          <w:p w:rsidR="00D77AC8" w:rsidRDefault="00D77AC8">
            <w:pPr>
              <w:rPr>
                <w:rFonts w:ascii="Verdana" w:hAnsi="Verdana"/>
                <w:b/>
                <w:color w:val="000080"/>
                <w:sz w:val="18"/>
                <w:szCs w:val="18"/>
              </w:rPr>
            </w:pPr>
          </w:p>
          <w:p w:rsidR="00D77AC8" w:rsidRDefault="00D77AC8">
            <w:pPr>
              <w:rPr>
                <w:rFonts w:ascii="Verdana" w:hAnsi="Verdana"/>
                <w:b/>
                <w:color w:val="000080"/>
                <w:sz w:val="18"/>
                <w:szCs w:val="18"/>
              </w:rPr>
            </w:pPr>
          </w:p>
          <w:p w:rsidR="00D77AC8" w:rsidRDefault="00D77AC8">
            <w:pPr>
              <w:rPr>
                <w:rFonts w:ascii="Verdana" w:hAnsi="Verdana"/>
                <w:b/>
                <w:color w:val="000080"/>
                <w:sz w:val="18"/>
                <w:szCs w:val="18"/>
              </w:rPr>
            </w:pPr>
          </w:p>
          <w:p w:rsidR="00D77AC8" w:rsidRDefault="00D77AC8">
            <w:pPr>
              <w:rPr>
                <w:rFonts w:ascii="Verdana" w:hAnsi="Verdana"/>
                <w:color w:val="000080"/>
                <w:sz w:val="18"/>
                <w:szCs w:val="18"/>
              </w:rPr>
            </w:pPr>
            <w:r>
              <w:rPr>
                <w:rFonts w:ascii="Verdana" w:hAnsi="Verdana"/>
                <w:color w:val="000080"/>
                <w:sz w:val="18"/>
                <w:szCs w:val="18"/>
              </w:rPr>
              <w:t>X Jah</w:t>
            </w:r>
          </w:p>
          <w:p w:rsidR="00D77AC8" w:rsidRDefault="00D77AC8">
            <w:pPr>
              <w:rPr>
                <w:rFonts w:ascii="Verdana" w:hAnsi="Verdana"/>
                <w:color w:val="000080"/>
                <w:sz w:val="18"/>
                <w:szCs w:val="18"/>
              </w:rPr>
            </w:pPr>
          </w:p>
          <w:p w:rsidR="00D77AC8" w:rsidRPr="00D77AC8" w:rsidRDefault="00D77AC8">
            <w:pPr>
              <w:rPr>
                <w:rFonts w:ascii="Verdana" w:hAnsi="Verdana"/>
                <w:color w:val="000080"/>
                <w:sz w:val="18"/>
                <w:szCs w:val="18"/>
              </w:rPr>
            </w:pPr>
            <w:r>
              <w:rPr>
                <w:rFonts w:ascii="Verdana" w:hAnsi="Verdana"/>
                <w:color w:val="000080"/>
                <w:sz w:val="18"/>
                <w:szCs w:val="18"/>
              </w:rPr>
              <w:t>Ei</w:t>
            </w:r>
          </w:p>
        </w:tc>
        <w:tc>
          <w:tcPr>
            <w:tcW w:w="4819" w:type="dxa"/>
            <w:shd w:val="clear" w:color="auto" w:fill="auto"/>
          </w:tcPr>
          <w:p w:rsidR="00D77AC8" w:rsidRDefault="00FE24DD">
            <w:pPr>
              <w:rPr>
                <w:rFonts w:ascii="Verdana" w:hAnsi="Verdana"/>
                <w:color w:val="000080"/>
                <w:sz w:val="18"/>
                <w:szCs w:val="18"/>
              </w:rPr>
            </w:pPr>
            <w:r>
              <w:rPr>
                <w:rFonts w:ascii="Verdana" w:hAnsi="Verdana"/>
                <w:color w:val="000080"/>
                <w:sz w:val="18"/>
                <w:szCs w:val="18"/>
              </w:rPr>
              <w:t xml:space="preserve">Tõendusmaterjal on keskmise kvaliteediga. Uuringuid on tehtud erineva suurusega uuringurühmades. Tugevaim tõenduspõhine materjal </w:t>
            </w:r>
            <w:r w:rsidRPr="00FE24DD">
              <w:rPr>
                <w:rFonts w:ascii="Verdana" w:hAnsi="Verdana"/>
                <w:b/>
                <w:color w:val="000080"/>
                <w:sz w:val="18"/>
                <w:szCs w:val="18"/>
              </w:rPr>
              <w:t>on EFNS guidlines for the</w:t>
            </w:r>
            <w:r>
              <w:rPr>
                <w:rFonts w:ascii="Verdana" w:hAnsi="Verdana"/>
                <w:color w:val="000080"/>
                <w:sz w:val="18"/>
                <w:szCs w:val="18"/>
              </w:rPr>
              <w:t xml:space="preserve">.... (2010), </w:t>
            </w:r>
            <w:r w:rsidR="00D15A19">
              <w:rPr>
                <w:rFonts w:ascii="Verdana" w:hAnsi="Verdana"/>
                <w:color w:val="000080"/>
                <w:sz w:val="18"/>
                <w:szCs w:val="18"/>
              </w:rPr>
              <w:t>mille soovitusi on hinnatud GRADE meetodiga.</w:t>
            </w:r>
          </w:p>
          <w:p w:rsidR="00D15A19" w:rsidRPr="00A421BE" w:rsidRDefault="00D15A19">
            <w:pPr>
              <w:rPr>
                <w:rFonts w:ascii="Verdana" w:hAnsi="Verdana"/>
                <w:color w:val="000080"/>
                <w:sz w:val="18"/>
                <w:szCs w:val="18"/>
              </w:rPr>
            </w:pPr>
            <w:bookmarkStart w:id="0" w:name="_GoBack"/>
            <w:bookmarkEnd w:id="0"/>
          </w:p>
        </w:tc>
        <w:tc>
          <w:tcPr>
            <w:tcW w:w="1100" w:type="dxa"/>
            <w:shd w:val="clear" w:color="auto" w:fill="auto"/>
          </w:tcPr>
          <w:p w:rsidR="00D77AC8" w:rsidRPr="00A97024" w:rsidRDefault="00D77AC8">
            <w:pPr>
              <w:rPr>
                <w:rFonts w:ascii="Verdana" w:hAnsi="Verdana"/>
                <w:b/>
                <w:color w:val="000080"/>
                <w:sz w:val="18"/>
                <w:szCs w:val="18"/>
              </w:rPr>
            </w:pPr>
          </w:p>
        </w:tc>
      </w:tr>
      <w:tr w:rsidR="00785FA2" w:rsidRPr="00A97024" w:rsidTr="00701EDE">
        <w:tc>
          <w:tcPr>
            <w:tcW w:w="2376" w:type="dxa"/>
            <w:shd w:val="clear" w:color="auto" w:fill="auto"/>
          </w:tcPr>
          <w:p w:rsidR="00785FA2" w:rsidRDefault="00785FA2" w:rsidP="00D77AC8">
            <w:pPr>
              <w:pStyle w:val="Normaallaadveeb"/>
            </w:pPr>
            <w:r w:rsidRPr="00785FA2">
              <w:t xml:space="preserve">Kindlustunne kasude ning  kahjude ja koormuse tasakaalu suhtes (kas on kindlustunne?) </w:t>
            </w:r>
            <w:r w:rsidRPr="00785FA2">
              <w:rPr>
                <w:i/>
              </w:rPr>
              <w:t>Mida suurem on erinevus  soovitavate ja soovimatute  tagajärgede vahel ning kindlustunne selle erinevuse suhtes, seda tõenäolisem on tugev  soovitus. Mida väiksem on  tegelik kasu ja mida väiksem  on kindlustunne selle kasu  suhtes, seda tõenäolisem on  tingimuslik/nõrk soovitus</w:t>
            </w:r>
          </w:p>
        </w:tc>
        <w:tc>
          <w:tcPr>
            <w:tcW w:w="993" w:type="dxa"/>
            <w:shd w:val="clear" w:color="auto" w:fill="auto"/>
          </w:tcPr>
          <w:p w:rsidR="00785FA2" w:rsidRDefault="00785FA2">
            <w:pPr>
              <w:rPr>
                <w:rFonts w:ascii="Verdana" w:hAnsi="Verdana"/>
                <w:b/>
                <w:color w:val="000080"/>
                <w:sz w:val="18"/>
                <w:szCs w:val="18"/>
              </w:rPr>
            </w:pPr>
          </w:p>
          <w:p w:rsidR="00785FA2" w:rsidRDefault="00785FA2">
            <w:pPr>
              <w:rPr>
                <w:rFonts w:ascii="Verdana" w:hAnsi="Verdana"/>
                <w:b/>
                <w:color w:val="000080"/>
                <w:sz w:val="18"/>
                <w:szCs w:val="18"/>
              </w:rPr>
            </w:pPr>
          </w:p>
          <w:p w:rsidR="00785FA2" w:rsidRDefault="00785FA2">
            <w:pPr>
              <w:rPr>
                <w:rFonts w:ascii="Verdana" w:hAnsi="Verdana"/>
                <w:b/>
                <w:color w:val="000080"/>
                <w:sz w:val="18"/>
                <w:szCs w:val="18"/>
              </w:rPr>
            </w:pPr>
          </w:p>
          <w:p w:rsidR="00785FA2" w:rsidRDefault="00785FA2">
            <w:pPr>
              <w:rPr>
                <w:rFonts w:ascii="Verdana" w:hAnsi="Verdana"/>
                <w:b/>
                <w:color w:val="000080"/>
                <w:sz w:val="18"/>
                <w:szCs w:val="18"/>
              </w:rPr>
            </w:pPr>
          </w:p>
          <w:p w:rsidR="00785FA2" w:rsidRDefault="00785FA2">
            <w:pPr>
              <w:rPr>
                <w:rFonts w:ascii="Verdana" w:hAnsi="Verdana"/>
                <w:b/>
                <w:color w:val="000080"/>
                <w:sz w:val="18"/>
                <w:szCs w:val="18"/>
              </w:rPr>
            </w:pPr>
          </w:p>
          <w:p w:rsidR="00785FA2" w:rsidRPr="00785FA2" w:rsidRDefault="00785FA2">
            <w:pPr>
              <w:rPr>
                <w:rFonts w:ascii="Verdana" w:hAnsi="Verdana"/>
                <w:color w:val="000080"/>
                <w:sz w:val="18"/>
                <w:szCs w:val="18"/>
              </w:rPr>
            </w:pPr>
            <w:r>
              <w:rPr>
                <w:rFonts w:ascii="Verdana" w:hAnsi="Verdana"/>
                <w:color w:val="000080"/>
                <w:sz w:val="18"/>
                <w:szCs w:val="18"/>
              </w:rPr>
              <w:t xml:space="preserve">X </w:t>
            </w:r>
            <w:r w:rsidRPr="00785FA2">
              <w:rPr>
                <w:rFonts w:ascii="Verdana" w:hAnsi="Verdana"/>
                <w:color w:val="000080"/>
                <w:sz w:val="18"/>
                <w:szCs w:val="18"/>
              </w:rPr>
              <w:t>Jah</w:t>
            </w:r>
          </w:p>
          <w:p w:rsidR="00785FA2" w:rsidRPr="00785FA2" w:rsidRDefault="00785FA2">
            <w:pPr>
              <w:rPr>
                <w:rFonts w:ascii="Verdana" w:hAnsi="Verdana"/>
                <w:color w:val="000080"/>
                <w:sz w:val="18"/>
                <w:szCs w:val="18"/>
              </w:rPr>
            </w:pPr>
          </w:p>
          <w:p w:rsidR="00785FA2" w:rsidRDefault="00785FA2">
            <w:pPr>
              <w:rPr>
                <w:rFonts w:ascii="Verdana" w:hAnsi="Verdana"/>
                <w:b/>
                <w:color w:val="000080"/>
                <w:sz w:val="18"/>
                <w:szCs w:val="18"/>
              </w:rPr>
            </w:pPr>
            <w:r w:rsidRPr="00785FA2">
              <w:rPr>
                <w:rFonts w:ascii="Verdana" w:hAnsi="Verdana"/>
                <w:color w:val="000080"/>
                <w:sz w:val="18"/>
                <w:szCs w:val="18"/>
              </w:rPr>
              <w:t>Ei</w:t>
            </w:r>
          </w:p>
        </w:tc>
        <w:tc>
          <w:tcPr>
            <w:tcW w:w="4819" w:type="dxa"/>
            <w:shd w:val="clear" w:color="auto" w:fill="auto"/>
          </w:tcPr>
          <w:p w:rsidR="00785FA2" w:rsidRDefault="00785FA2">
            <w:pPr>
              <w:rPr>
                <w:rFonts w:ascii="Verdana" w:hAnsi="Verdana"/>
                <w:color w:val="000080"/>
                <w:sz w:val="18"/>
                <w:szCs w:val="18"/>
              </w:rPr>
            </w:pPr>
            <w:r>
              <w:rPr>
                <w:rFonts w:ascii="Verdana" w:hAnsi="Verdana"/>
                <w:color w:val="000080"/>
                <w:sz w:val="18"/>
                <w:szCs w:val="18"/>
              </w:rPr>
              <w:t>Selgelt tuuakse välja on olemas tõenduspõhine materjal ning kliiniline üksmeel, et mõõduka dementsuse puhul on suur risk autojuhtimisele ning patsientidel ei tohiks olla juhtimisõigust.</w:t>
            </w:r>
          </w:p>
          <w:p w:rsidR="00B76C84" w:rsidRDefault="00B76C84">
            <w:pPr>
              <w:rPr>
                <w:rFonts w:ascii="Verdana" w:hAnsi="Verdana"/>
                <w:color w:val="000080"/>
                <w:sz w:val="18"/>
                <w:szCs w:val="18"/>
              </w:rPr>
            </w:pPr>
            <w:r>
              <w:rPr>
                <w:rFonts w:ascii="Verdana" w:hAnsi="Verdana"/>
                <w:color w:val="000080"/>
                <w:sz w:val="18"/>
                <w:szCs w:val="18"/>
              </w:rPr>
              <w:t>Sarnased nõuded kehtivad ka tulirelvade kasutamise kohta.</w:t>
            </w:r>
          </w:p>
        </w:tc>
        <w:tc>
          <w:tcPr>
            <w:tcW w:w="1100" w:type="dxa"/>
            <w:shd w:val="clear" w:color="auto" w:fill="auto"/>
          </w:tcPr>
          <w:p w:rsidR="00785FA2" w:rsidRPr="00A97024" w:rsidRDefault="00785FA2">
            <w:pPr>
              <w:rPr>
                <w:rFonts w:ascii="Verdana" w:hAnsi="Verdana"/>
                <w:b/>
                <w:color w:val="000080"/>
                <w:sz w:val="18"/>
                <w:szCs w:val="18"/>
              </w:rPr>
            </w:pPr>
          </w:p>
        </w:tc>
      </w:tr>
    </w:tbl>
    <w:p w:rsidR="0002590A" w:rsidRPr="00A97024" w:rsidRDefault="0002590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376"/>
        <w:gridCol w:w="993"/>
        <w:gridCol w:w="3260"/>
        <w:gridCol w:w="2659"/>
      </w:tblGrid>
      <w:tr w:rsidR="007D6E2D" w:rsidRPr="00A97024" w:rsidTr="006A689F">
        <w:tc>
          <w:tcPr>
            <w:tcW w:w="2376" w:type="dxa"/>
            <w:shd w:val="clear" w:color="auto" w:fill="auto"/>
          </w:tcPr>
          <w:p w:rsidR="0031077D" w:rsidRPr="00A97024" w:rsidRDefault="0031077D"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Kindlus või sarnasus väärtustes (kas on kindlustunne?)</w:t>
            </w:r>
          </w:p>
          <w:p w:rsidR="0031077D" w:rsidRPr="00A97024" w:rsidRDefault="0031077D" w:rsidP="00A97024">
            <w:pPr>
              <w:autoSpaceDE w:val="0"/>
              <w:autoSpaceDN w:val="0"/>
              <w:adjustRightInd w:val="0"/>
              <w:rPr>
                <w:rFonts w:ascii="Verdana" w:hAnsi="Verdana" w:cs="Calibri-Bold"/>
                <w:b/>
                <w:bCs/>
                <w:color w:val="000080"/>
                <w:sz w:val="18"/>
                <w:szCs w:val="18"/>
                <w:lang w:eastAsia="en-US"/>
              </w:rPr>
            </w:pP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w:t>
            </w:r>
            <w:r w:rsidR="00A97024" w:rsidRPr="00A97024">
              <w:rPr>
                <w:rFonts w:ascii="Verdana" w:hAnsi="Verdana" w:cs="Calibri-Bold"/>
                <w:bCs/>
                <w:i/>
                <w:color w:val="000080"/>
                <w:sz w:val="18"/>
                <w:szCs w:val="18"/>
                <w:lang w:eastAsia="en-US"/>
              </w:rPr>
              <w:t>suurem</w:t>
            </w:r>
            <w:r w:rsidRPr="00A97024">
              <w:rPr>
                <w:rFonts w:ascii="Verdana" w:hAnsi="Verdana" w:cs="Calibri-Bold"/>
                <w:bCs/>
                <w:i/>
                <w:color w:val="000080"/>
                <w:sz w:val="18"/>
                <w:szCs w:val="18"/>
                <w:lang w:eastAsia="en-US"/>
              </w:rPr>
              <w:t xml:space="preserve"> on varieeruvus </w:t>
            </w:r>
          </w:p>
          <w:p w:rsidR="0031077D" w:rsidRPr="00A97024" w:rsidRDefault="0031077D"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või ebakindlus patsiendi väärtuste ja eelistuste suhtes, seda tõenäolisem on tingimuslik või nõrk </w:t>
            </w:r>
          </w:p>
          <w:p w:rsidR="00432CD4" w:rsidRPr="00A97024" w:rsidRDefault="0031077D" w:rsidP="0031077D">
            <w:pPr>
              <w:rPr>
                <w:rFonts w:ascii="Verdana" w:hAnsi="Verdana"/>
                <w:color w:val="000080"/>
                <w:sz w:val="18"/>
                <w:szCs w:val="18"/>
              </w:rPr>
            </w:pPr>
            <w:r w:rsidRPr="00A97024">
              <w:rPr>
                <w:rFonts w:ascii="Verdana" w:hAnsi="Verdana" w:cs="Calibri-Bold"/>
                <w:bCs/>
                <w:i/>
                <w:color w:val="000080"/>
                <w:sz w:val="18"/>
                <w:szCs w:val="18"/>
                <w:lang w:eastAsia="en-US"/>
              </w:rPr>
              <w:t>soovitus.</w:t>
            </w:r>
          </w:p>
        </w:tc>
        <w:tc>
          <w:tcPr>
            <w:tcW w:w="993" w:type="dxa"/>
            <w:shd w:val="clear" w:color="auto" w:fill="auto"/>
          </w:tcPr>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r w:rsidRPr="00A97024">
              <w:rPr>
                <w:rFonts w:ascii="Verdana" w:hAnsi="Verdana"/>
                <w:color w:val="000080"/>
                <w:sz w:val="18"/>
                <w:szCs w:val="18"/>
              </w:rPr>
              <w:t xml:space="preserve">□ </w:t>
            </w:r>
            <w:r w:rsidR="0031077D" w:rsidRPr="00A97024">
              <w:rPr>
                <w:rFonts w:ascii="Verdana" w:hAnsi="Verdana"/>
                <w:color w:val="000080"/>
                <w:sz w:val="18"/>
                <w:szCs w:val="18"/>
              </w:rPr>
              <w:t>Jah</w:t>
            </w:r>
          </w:p>
          <w:p w:rsidR="00432CD4" w:rsidRPr="00A97024" w:rsidRDefault="00432CD4" w:rsidP="00432CD4">
            <w:pPr>
              <w:rPr>
                <w:rFonts w:ascii="Verdana" w:hAnsi="Verdana"/>
                <w:color w:val="000080"/>
                <w:sz w:val="18"/>
                <w:szCs w:val="18"/>
              </w:rPr>
            </w:pPr>
          </w:p>
          <w:p w:rsidR="00432CD4" w:rsidRPr="00A97024" w:rsidRDefault="00A1756E" w:rsidP="0031077D">
            <w:pPr>
              <w:rPr>
                <w:rFonts w:ascii="Verdana" w:hAnsi="Verdana"/>
                <w:color w:val="000080"/>
                <w:sz w:val="18"/>
                <w:szCs w:val="18"/>
              </w:rPr>
            </w:pPr>
            <w:r>
              <w:rPr>
                <w:rFonts w:ascii="Verdana" w:hAnsi="Verdana"/>
                <w:color w:val="000080"/>
                <w:sz w:val="18"/>
                <w:szCs w:val="18"/>
              </w:rPr>
              <w:t>X</w:t>
            </w:r>
            <w:r w:rsidR="00432CD4" w:rsidRPr="00A97024">
              <w:rPr>
                <w:rFonts w:ascii="Verdana" w:hAnsi="Verdana"/>
                <w:color w:val="000080"/>
                <w:sz w:val="18"/>
                <w:szCs w:val="18"/>
              </w:rPr>
              <w:t xml:space="preserve"> </w:t>
            </w:r>
            <w:r w:rsidR="0031077D" w:rsidRPr="00A97024">
              <w:rPr>
                <w:rFonts w:ascii="Verdana" w:hAnsi="Verdana"/>
                <w:color w:val="000080"/>
                <w:sz w:val="18"/>
                <w:szCs w:val="18"/>
              </w:rPr>
              <w:t>Ei</w:t>
            </w:r>
          </w:p>
        </w:tc>
        <w:tc>
          <w:tcPr>
            <w:tcW w:w="3260" w:type="dxa"/>
            <w:shd w:val="clear" w:color="auto" w:fill="auto"/>
          </w:tcPr>
          <w:p w:rsidR="00432CD4" w:rsidRPr="00A97024" w:rsidRDefault="00A1756E" w:rsidP="006D7602">
            <w:pPr>
              <w:rPr>
                <w:rFonts w:ascii="Verdana" w:hAnsi="Verdana"/>
                <w:color w:val="000080"/>
                <w:sz w:val="18"/>
                <w:szCs w:val="18"/>
              </w:rPr>
            </w:pPr>
            <w:r>
              <w:rPr>
                <w:rFonts w:ascii="Verdana" w:hAnsi="Verdana"/>
                <w:color w:val="000080"/>
                <w:sz w:val="18"/>
                <w:szCs w:val="18"/>
              </w:rPr>
              <w:t>Välja ei ole toodud patsientide eelistusi.</w:t>
            </w:r>
          </w:p>
        </w:tc>
        <w:tc>
          <w:tcPr>
            <w:tcW w:w="2659" w:type="dxa"/>
            <w:shd w:val="clear" w:color="auto" w:fill="auto"/>
          </w:tcPr>
          <w:p w:rsidR="004F6C78" w:rsidRPr="00A97024" w:rsidRDefault="004F6C78">
            <w:pPr>
              <w:rPr>
                <w:rFonts w:ascii="Verdana" w:hAnsi="Verdana"/>
                <w:color w:val="000080"/>
                <w:sz w:val="18"/>
                <w:szCs w:val="18"/>
              </w:rPr>
            </w:pPr>
          </w:p>
          <w:p w:rsidR="004F6C78" w:rsidRPr="00A97024" w:rsidRDefault="0031077D">
            <w:pPr>
              <w:rPr>
                <w:rFonts w:ascii="Verdana" w:hAnsi="Verdana"/>
                <w:color w:val="000080"/>
                <w:sz w:val="18"/>
                <w:szCs w:val="18"/>
              </w:rPr>
            </w:pPr>
            <w:r w:rsidRPr="00A97024">
              <w:rPr>
                <w:rFonts w:ascii="Verdana" w:hAnsi="Verdana"/>
                <w:color w:val="000080"/>
                <w:sz w:val="18"/>
                <w:szCs w:val="18"/>
              </w:rPr>
              <w:t xml:space="preserve">Töörühm  otsustas, et patsiendile pakub rohkem väärtust </w:t>
            </w:r>
            <w:r w:rsidR="00491832" w:rsidRPr="00A97024">
              <w:rPr>
                <w:rFonts w:ascii="Verdana" w:hAnsi="Verdana"/>
                <w:color w:val="000080"/>
                <w:sz w:val="18"/>
                <w:szCs w:val="18"/>
              </w:rPr>
              <w:t xml:space="preserve"> </w:t>
            </w:r>
            <w:r w:rsidR="004F6C78" w:rsidRPr="00A97024">
              <w:rPr>
                <w:rFonts w:ascii="Verdana" w:hAnsi="Verdana"/>
                <w:color w:val="000080"/>
                <w:sz w:val="18"/>
                <w:szCs w:val="18"/>
              </w:rPr>
              <w:t>....................................................................................................................................</w:t>
            </w:r>
            <w:r w:rsidR="00491832" w:rsidRPr="00A97024">
              <w:rPr>
                <w:rFonts w:ascii="Verdana" w:hAnsi="Verdana"/>
                <w:color w:val="000080"/>
                <w:sz w:val="18"/>
                <w:szCs w:val="18"/>
              </w:rPr>
              <w:t xml:space="preserve">... </w:t>
            </w:r>
          </w:p>
          <w:p w:rsidR="004F6C78" w:rsidRPr="00A97024" w:rsidRDefault="004F6C78">
            <w:pPr>
              <w:rPr>
                <w:rFonts w:ascii="Verdana" w:hAnsi="Verdana"/>
                <w:color w:val="000080"/>
                <w:sz w:val="18"/>
                <w:szCs w:val="18"/>
              </w:rPr>
            </w:pPr>
          </w:p>
          <w:p w:rsidR="00432CD4" w:rsidRPr="00A97024" w:rsidRDefault="0031077D">
            <w:pPr>
              <w:rPr>
                <w:rFonts w:ascii="Verdana" w:hAnsi="Verdana"/>
                <w:color w:val="000080"/>
                <w:sz w:val="18"/>
                <w:szCs w:val="18"/>
              </w:rPr>
            </w:pPr>
            <w:r w:rsidRPr="00A97024">
              <w:rPr>
                <w:rFonts w:ascii="Verdana" w:hAnsi="Verdana"/>
                <w:color w:val="000080"/>
                <w:sz w:val="18"/>
                <w:szCs w:val="18"/>
              </w:rPr>
              <w:t>Ja vähem väärtust</w:t>
            </w:r>
          </w:p>
          <w:p w:rsidR="004F6C78" w:rsidRPr="00A97024" w:rsidRDefault="004F6C78">
            <w:pPr>
              <w:rPr>
                <w:rFonts w:ascii="Verdana" w:hAnsi="Verdana"/>
                <w:color w:val="000080"/>
                <w:sz w:val="18"/>
                <w:szCs w:val="18"/>
              </w:rPr>
            </w:pPr>
            <w:r w:rsidRPr="00A97024">
              <w:rPr>
                <w:rFonts w:ascii="Verdana" w:hAnsi="Verdana"/>
                <w:color w:val="000080"/>
                <w:sz w:val="18"/>
                <w:szCs w:val="18"/>
              </w:rPr>
              <w:t>....................................................................................................................................................................................</w:t>
            </w:r>
          </w:p>
          <w:p w:rsidR="00491832" w:rsidRPr="00A97024" w:rsidRDefault="00491832"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p w:rsidR="00A97024" w:rsidRPr="00A97024" w:rsidRDefault="00A97024" w:rsidP="004F6C78">
            <w:pPr>
              <w:rPr>
                <w:rFonts w:ascii="Verdana" w:hAnsi="Verdana"/>
                <w:color w:val="000080"/>
                <w:sz w:val="18"/>
                <w:szCs w:val="18"/>
              </w:rPr>
            </w:pPr>
          </w:p>
        </w:tc>
      </w:tr>
      <w:tr w:rsidR="007D6E2D" w:rsidRPr="00A97024" w:rsidTr="006A689F">
        <w:tc>
          <w:tcPr>
            <w:tcW w:w="2376" w:type="dxa"/>
            <w:shd w:val="clear" w:color="auto" w:fill="auto"/>
          </w:tcPr>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 xml:space="preserve">Ressursi tähendus (kas tarbitud ressursid olid väärt </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oodatavat kasu)</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nõrk soovitus.</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432CD4" w:rsidRPr="00A97024" w:rsidRDefault="00432CD4" w:rsidP="00A97024">
            <w:pPr>
              <w:autoSpaceDE w:val="0"/>
              <w:autoSpaceDN w:val="0"/>
              <w:adjustRightInd w:val="0"/>
              <w:rPr>
                <w:rFonts w:ascii="Verdana" w:hAnsi="Verdana"/>
                <w:color w:val="000080"/>
                <w:sz w:val="18"/>
                <w:szCs w:val="18"/>
              </w:rPr>
            </w:pPr>
          </w:p>
        </w:tc>
        <w:tc>
          <w:tcPr>
            <w:tcW w:w="993" w:type="dxa"/>
            <w:shd w:val="clear" w:color="auto" w:fill="auto"/>
          </w:tcPr>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p>
          <w:p w:rsidR="00432CD4" w:rsidRPr="00A97024" w:rsidRDefault="00432CD4" w:rsidP="00432CD4">
            <w:pPr>
              <w:rPr>
                <w:rFonts w:ascii="Verdana" w:hAnsi="Verdana"/>
                <w:color w:val="000080"/>
                <w:sz w:val="18"/>
                <w:szCs w:val="18"/>
              </w:rPr>
            </w:pPr>
            <w:r w:rsidRPr="00A97024">
              <w:rPr>
                <w:rFonts w:ascii="Verdana" w:hAnsi="Verdana"/>
                <w:color w:val="000080"/>
                <w:sz w:val="18"/>
                <w:szCs w:val="18"/>
              </w:rPr>
              <w:t xml:space="preserve">□ </w:t>
            </w:r>
            <w:r w:rsidR="00A97024" w:rsidRPr="00A97024">
              <w:rPr>
                <w:rFonts w:ascii="Verdana" w:hAnsi="Verdana"/>
                <w:color w:val="000080"/>
                <w:sz w:val="18"/>
                <w:szCs w:val="18"/>
              </w:rPr>
              <w:t>Jah</w:t>
            </w:r>
          </w:p>
          <w:p w:rsidR="00432CD4" w:rsidRPr="00A97024" w:rsidRDefault="00432CD4" w:rsidP="00432CD4">
            <w:pPr>
              <w:rPr>
                <w:rFonts w:ascii="Verdana" w:hAnsi="Verdana"/>
                <w:color w:val="000080"/>
                <w:sz w:val="18"/>
                <w:szCs w:val="18"/>
              </w:rPr>
            </w:pPr>
          </w:p>
          <w:p w:rsidR="00432CD4" w:rsidRPr="00A97024" w:rsidRDefault="008D5C69" w:rsidP="00A97024">
            <w:pPr>
              <w:rPr>
                <w:rFonts w:ascii="Verdana" w:hAnsi="Verdana"/>
                <w:color w:val="000080"/>
                <w:sz w:val="18"/>
                <w:szCs w:val="18"/>
              </w:rPr>
            </w:pPr>
            <w:r>
              <w:rPr>
                <w:rFonts w:ascii="Verdana" w:hAnsi="Verdana"/>
                <w:color w:val="000080"/>
                <w:sz w:val="18"/>
                <w:szCs w:val="18"/>
              </w:rPr>
              <w:t>X</w:t>
            </w:r>
            <w:r w:rsidR="00432CD4" w:rsidRPr="00A97024">
              <w:rPr>
                <w:rFonts w:ascii="Verdana" w:hAnsi="Verdana"/>
                <w:color w:val="000080"/>
                <w:sz w:val="18"/>
                <w:szCs w:val="18"/>
              </w:rPr>
              <w:t xml:space="preserve"> </w:t>
            </w:r>
            <w:r w:rsidR="00A97024" w:rsidRPr="00A97024">
              <w:rPr>
                <w:rFonts w:ascii="Verdana" w:hAnsi="Verdana"/>
                <w:color w:val="000080"/>
                <w:sz w:val="18"/>
                <w:szCs w:val="18"/>
              </w:rPr>
              <w:t>Ei</w:t>
            </w:r>
          </w:p>
        </w:tc>
        <w:tc>
          <w:tcPr>
            <w:tcW w:w="3260" w:type="dxa"/>
            <w:shd w:val="clear" w:color="auto" w:fill="auto"/>
          </w:tcPr>
          <w:p w:rsidR="00432CD4" w:rsidRPr="007523E4" w:rsidRDefault="008D5C69">
            <w:pPr>
              <w:rPr>
                <w:rFonts w:ascii="Verdana" w:hAnsi="Verdana"/>
                <w:color w:val="000080"/>
                <w:sz w:val="18"/>
                <w:szCs w:val="18"/>
                <w:highlight w:val="yellow"/>
              </w:rPr>
            </w:pPr>
            <w:r w:rsidRPr="008D5C69">
              <w:rPr>
                <w:rFonts w:ascii="Verdana" w:hAnsi="Verdana"/>
                <w:color w:val="000080"/>
                <w:sz w:val="18"/>
                <w:szCs w:val="18"/>
              </w:rPr>
              <w:t>Majanduslikke analüüse ei leitud</w:t>
            </w:r>
            <w:r>
              <w:rPr>
                <w:rFonts w:ascii="Verdana" w:hAnsi="Verdana"/>
                <w:color w:val="000080"/>
                <w:sz w:val="18"/>
                <w:szCs w:val="18"/>
              </w:rPr>
              <w:t>. Peamiselt on välja toodud liiklusohutuse risk ning risk turvalisusele.</w:t>
            </w:r>
          </w:p>
        </w:tc>
        <w:tc>
          <w:tcPr>
            <w:tcW w:w="2659" w:type="dxa"/>
            <w:shd w:val="clear" w:color="auto" w:fill="auto"/>
          </w:tcPr>
          <w:p w:rsidR="00432CD4" w:rsidRPr="00A97024" w:rsidRDefault="00432CD4" w:rsidP="00CE4799">
            <w:pPr>
              <w:rPr>
                <w:rFonts w:ascii="Verdana" w:hAnsi="Verdana"/>
                <w:color w:val="000080"/>
                <w:sz w:val="18"/>
                <w:szCs w:val="18"/>
              </w:rPr>
            </w:pPr>
          </w:p>
        </w:tc>
      </w:tr>
      <w:tr w:rsidR="00B22EE4" w:rsidRPr="00A97024" w:rsidTr="00701EDE">
        <w:tc>
          <w:tcPr>
            <w:tcW w:w="2376" w:type="dxa"/>
            <w:shd w:val="clear" w:color="auto" w:fill="auto"/>
          </w:tcPr>
          <w:p w:rsidR="00A97024" w:rsidRPr="00A97024" w:rsidRDefault="00A97024" w:rsidP="00A97024">
            <w:pPr>
              <w:autoSpaceDE w:val="0"/>
              <w:autoSpaceDN w:val="0"/>
              <w:adjustRightInd w:val="0"/>
              <w:rPr>
                <w:rFonts w:ascii="Verdana" w:hAnsi="Verdana" w:cs="Calibri-Bold"/>
                <w:b/>
                <w:bCs/>
                <w:color w:val="000080"/>
                <w:sz w:val="18"/>
                <w:szCs w:val="18"/>
                <w:lang w:eastAsia="en-US"/>
              </w:rPr>
            </w:pPr>
            <w:r w:rsidRPr="00A97024">
              <w:rPr>
                <w:rFonts w:ascii="Verdana" w:hAnsi="Verdana" w:cs="Calibri-Bold"/>
                <w:b/>
                <w:bCs/>
                <w:color w:val="000080"/>
                <w:sz w:val="18"/>
                <w:szCs w:val="18"/>
                <w:lang w:eastAsia="en-US"/>
              </w:rPr>
              <w:t>Soovituse üldine tugevus</w:t>
            </w:r>
            <w:r w:rsidR="004F6C78" w:rsidRPr="00A97024">
              <w:rPr>
                <w:rFonts w:ascii="Verdana" w:hAnsi="Verdana" w:cs="Calibri-Bold"/>
                <w:b/>
                <w:bCs/>
                <w:color w:val="000080"/>
                <w:sz w:val="18"/>
                <w:szCs w:val="18"/>
                <w:lang w:eastAsia="en-US"/>
              </w:rPr>
              <w:t xml:space="preserve"> </w:t>
            </w:r>
          </w:p>
          <w:p w:rsidR="00A97024" w:rsidRPr="00A97024" w:rsidRDefault="00A97024" w:rsidP="00A97024">
            <w:pPr>
              <w:autoSpaceDE w:val="0"/>
              <w:autoSpaceDN w:val="0"/>
              <w:adjustRightInd w:val="0"/>
              <w:rPr>
                <w:rFonts w:ascii="Verdana" w:hAnsi="Verdana" w:cs="Calibri-Bold"/>
                <w:b/>
                <w:bCs/>
                <w:color w:val="000080"/>
                <w:sz w:val="18"/>
                <w:szCs w:val="18"/>
                <w:lang w:eastAsia="en-US"/>
              </w:rPr>
            </w:pP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Mida suurem on sekkumise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kulu võrreldes kaalutava alternatiiviga ja muud otsusega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seotud kulud, st mida rohkem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 xml:space="preserve">ressursse tarbitakse, seda </w:t>
            </w:r>
          </w:p>
          <w:p w:rsidR="00A97024" w:rsidRPr="00A97024" w:rsidRDefault="00A97024" w:rsidP="00A97024">
            <w:pPr>
              <w:autoSpaceDE w:val="0"/>
              <w:autoSpaceDN w:val="0"/>
              <w:adjustRightInd w:val="0"/>
              <w:rPr>
                <w:rFonts w:ascii="Verdana" w:hAnsi="Verdana" w:cs="Calibri-Bold"/>
                <w:bCs/>
                <w:i/>
                <w:color w:val="000080"/>
                <w:sz w:val="18"/>
                <w:szCs w:val="18"/>
                <w:lang w:eastAsia="en-US"/>
              </w:rPr>
            </w:pPr>
            <w:r w:rsidRPr="00A97024">
              <w:rPr>
                <w:rFonts w:ascii="Verdana" w:hAnsi="Verdana" w:cs="Calibri-Bold"/>
                <w:bCs/>
                <w:i/>
                <w:color w:val="000080"/>
                <w:sz w:val="18"/>
                <w:szCs w:val="18"/>
                <w:lang w:eastAsia="en-US"/>
              </w:rPr>
              <w:t>tõenäolisem on tingimuslik/</w:t>
            </w:r>
          </w:p>
          <w:p w:rsidR="004F6C78" w:rsidRPr="00A97024" w:rsidRDefault="00A97024" w:rsidP="00A97024">
            <w:pPr>
              <w:autoSpaceDE w:val="0"/>
              <w:autoSpaceDN w:val="0"/>
              <w:adjustRightInd w:val="0"/>
              <w:rPr>
                <w:rFonts w:ascii="Verdana" w:hAnsi="Verdana" w:cs="Calibri-Bold"/>
                <w:i/>
                <w:color w:val="000080"/>
                <w:sz w:val="18"/>
                <w:szCs w:val="18"/>
                <w:lang w:eastAsia="en-US"/>
              </w:rPr>
            </w:pPr>
            <w:r w:rsidRPr="00A97024">
              <w:rPr>
                <w:rFonts w:ascii="Verdana" w:hAnsi="Verdana" w:cs="Calibri-Bold"/>
                <w:bCs/>
                <w:i/>
                <w:color w:val="000080"/>
                <w:sz w:val="18"/>
                <w:szCs w:val="18"/>
                <w:lang w:eastAsia="en-US"/>
              </w:rPr>
              <w:t>nõrk soovitus.</w:t>
            </w:r>
          </w:p>
        </w:tc>
        <w:tc>
          <w:tcPr>
            <w:tcW w:w="6912" w:type="dxa"/>
            <w:gridSpan w:val="3"/>
            <w:shd w:val="clear" w:color="auto" w:fill="auto"/>
          </w:tcPr>
          <w:p w:rsidR="004F6C78" w:rsidRPr="00A97024" w:rsidRDefault="004F6C78">
            <w:pPr>
              <w:rPr>
                <w:rFonts w:ascii="Verdana" w:hAnsi="Verdana"/>
                <w:color w:val="000080"/>
                <w:sz w:val="18"/>
                <w:szCs w:val="18"/>
              </w:rPr>
            </w:pPr>
          </w:p>
          <w:p w:rsidR="004F6C78" w:rsidRPr="00A97024" w:rsidRDefault="004F6C78" w:rsidP="00A97024">
            <w:pPr>
              <w:autoSpaceDE w:val="0"/>
              <w:autoSpaceDN w:val="0"/>
              <w:adjustRightInd w:val="0"/>
              <w:rPr>
                <w:rFonts w:ascii="Verdana" w:hAnsi="Verdana" w:cs="New-Baskerville-RomanA"/>
                <w:color w:val="000080"/>
                <w:sz w:val="18"/>
                <w:szCs w:val="18"/>
              </w:rPr>
            </w:pPr>
            <w:bookmarkStart w:id="1" w:name="OLE_LINK5"/>
            <w:bookmarkStart w:id="2" w:name="OLE_LINK6"/>
          </w:p>
          <w:p w:rsidR="004F6C78" w:rsidRPr="00A97024" w:rsidRDefault="004F6C78" w:rsidP="00A97024">
            <w:pPr>
              <w:autoSpaceDE w:val="0"/>
              <w:autoSpaceDN w:val="0"/>
              <w:adjustRightInd w:val="0"/>
              <w:rPr>
                <w:rFonts w:ascii="Verdana" w:hAnsi="Verdana" w:cs="New-Baskerville-RomanA"/>
                <w:color w:val="000080"/>
                <w:sz w:val="18"/>
                <w:szCs w:val="18"/>
              </w:rPr>
            </w:pPr>
            <w:r w:rsidRPr="00A97024">
              <w:rPr>
                <w:rFonts w:ascii="Verdana" w:hAnsi="Verdana" w:cs="New-Baskerville-BoldA"/>
                <w:b/>
                <w:bCs/>
                <w:color w:val="000080"/>
                <w:sz w:val="18"/>
                <w:szCs w:val="18"/>
              </w:rPr>
              <w:t xml:space="preserve">Trade-offs </w:t>
            </w:r>
            <w:r w:rsidRPr="00A97024">
              <w:rPr>
                <w:rFonts w:ascii="Verdana" w:hAnsi="Verdana" w:cs="New-Baskerville-RomanA"/>
                <w:color w:val="000080"/>
                <w:sz w:val="18"/>
                <w:szCs w:val="18"/>
              </w:rPr>
              <w:t>= there are important trade-offs between the benefits</w:t>
            </w:r>
            <w:r w:rsidR="008B2141" w:rsidRPr="00A97024">
              <w:rPr>
                <w:rFonts w:ascii="Verdana" w:hAnsi="Verdana" w:cs="New-Baskerville-RomanA"/>
                <w:color w:val="000080"/>
                <w:sz w:val="18"/>
                <w:szCs w:val="18"/>
              </w:rPr>
              <w:t xml:space="preserve"> </w:t>
            </w:r>
            <w:r w:rsidRPr="00A97024">
              <w:rPr>
                <w:rFonts w:ascii="Verdana" w:hAnsi="Verdana" w:cs="New-Baskerville-RomanA"/>
                <w:color w:val="000080"/>
                <w:sz w:val="18"/>
                <w:szCs w:val="18"/>
              </w:rPr>
              <w:t>and harms.</w:t>
            </w:r>
          </w:p>
          <w:p w:rsidR="004F6C78" w:rsidRPr="00A97024" w:rsidRDefault="004F6C78" w:rsidP="00A97024">
            <w:pPr>
              <w:autoSpaceDE w:val="0"/>
              <w:autoSpaceDN w:val="0"/>
              <w:adjustRightInd w:val="0"/>
              <w:rPr>
                <w:rFonts w:ascii="Verdana" w:hAnsi="Verdana" w:cs="New-Baskerville-RomanA"/>
                <w:color w:val="000080"/>
                <w:sz w:val="18"/>
                <w:szCs w:val="18"/>
              </w:rPr>
            </w:pPr>
          </w:p>
          <w:bookmarkEnd w:id="1"/>
          <w:bookmarkEnd w:id="2"/>
          <w:p w:rsidR="004F6C78" w:rsidRPr="00A97024" w:rsidRDefault="004F6C78" w:rsidP="009D06C6">
            <w:pPr>
              <w:rPr>
                <w:rFonts w:ascii="Verdana" w:hAnsi="Verdana"/>
                <w:color w:val="000080"/>
                <w:sz w:val="18"/>
                <w:szCs w:val="18"/>
              </w:rPr>
            </w:pPr>
          </w:p>
        </w:tc>
      </w:tr>
    </w:tbl>
    <w:p w:rsidR="00D25CBB" w:rsidRPr="00A97024" w:rsidRDefault="00D25CBB" w:rsidP="002A513E">
      <w:pPr>
        <w:rPr>
          <w:rFonts w:ascii="Verdana" w:hAnsi="Verdana"/>
          <w:sz w:val="18"/>
          <w:szCs w:val="18"/>
        </w:rPr>
      </w:pPr>
    </w:p>
    <w:sectPr w:rsidR="00D25CBB" w:rsidRPr="00A97024" w:rsidSect="00A97024">
      <w:headerReference w:type="default" r:id="rId7"/>
      <w:foot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434" w:rsidRDefault="00DD2434" w:rsidP="003D7DEF">
      <w:r>
        <w:separator/>
      </w:r>
    </w:p>
  </w:endnote>
  <w:endnote w:type="continuationSeparator" w:id="0">
    <w:p w:rsidR="00DD2434" w:rsidRDefault="00DD2434" w:rsidP="003D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New-Baskerville-RomanA">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99" w:rsidRPr="0002590A" w:rsidRDefault="00CE4799" w:rsidP="00891C08">
    <w:pPr>
      <w:pStyle w:val="Jalus"/>
      <w:jc w:val="right"/>
      <w:rPr>
        <w:rFonts w:ascii="Verdana" w:hAnsi="Verdana"/>
        <w:i/>
        <w:color w:val="000080"/>
        <w:sz w:val="18"/>
        <w:szCs w:val="18"/>
      </w:rPr>
    </w:pP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PAGE </w:instrText>
    </w:r>
    <w:r w:rsidRPr="0002590A">
      <w:rPr>
        <w:rStyle w:val="Lehekljenumber"/>
        <w:rFonts w:ascii="Verdana" w:hAnsi="Verdana"/>
        <w:i/>
        <w:color w:val="000080"/>
        <w:sz w:val="18"/>
        <w:szCs w:val="18"/>
      </w:rPr>
      <w:fldChar w:fldCharType="separate"/>
    </w:r>
    <w:r w:rsidR="006A689F">
      <w:rPr>
        <w:rStyle w:val="Lehekljenumber"/>
        <w:rFonts w:ascii="Verdana" w:hAnsi="Verdana"/>
        <w:i/>
        <w:noProof/>
        <w:color w:val="000080"/>
        <w:sz w:val="18"/>
        <w:szCs w:val="18"/>
      </w:rPr>
      <w:t>2</w:t>
    </w:r>
    <w:r w:rsidRPr="0002590A">
      <w:rPr>
        <w:rStyle w:val="Lehekljenumber"/>
        <w:rFonts w:ascii="Verdana" w:hAnsi="Verdana"/>
        <w:i/>
        <w:color w:val="000080"/>
        <w:sz w:val="18"/>
        <w:szCs w:val="18"/>
      </w:rPr>
      <w:fldChar w:fldCharType="end"/>
    </w:r>
    <w:r w:rsidRPr="0002590A">
      <w:rPr>
        <w:rStyle w:val="Lehekljenumber"/>
        <w:rFonts w:ascii="Verdana" w:hAnsi="Verdana"/>
        <w:i/>
        <w:color w:val="000080"/>
        <w:sz w:val="18"/>
        <w:szCs w:val="18"/>
      </w:rPr>
      <w:t>/</w:t>
    </w:r>
    <w:r w:rsidRPr="0002590A">
      <w:rPr>
        <w:rStyle w:val="Lehekljenumber"/>
        <w:rFonts w:ascii="Verdana" w:hAnsi="Verdana"/>
        <w:i/>
        <w:color w:val="000080"/>
        <w:sz w:val="18"/>
        <w:szCs w:val="18"/>
      </w:rPr>
      <w:fldChar w:fldCharType="begin"/>
    </w:r>
    <w:r w:rsidRPr="0002590A">
      <w:rPr>
        <w:rStyle w:val="Lehekljenumber"/>
        <w:rFonts w:ascii="Verdana" w:hAnsi="Verdana"/>
        <w:i/>
        <w:color w:val="000080"/>
        <w:sz w:val="18"/>
        <w:szCs w:val="18"/>
      </w:rPr>
      <w:instrText xml:space="preserve"> NUMPAGES </w:instrText>
    </w:r>
    <w:r w:rsidRPr="0002590A">
      <w:rPr>
        <w:rStyle w:val="Lehekljenumber"/>
        <w:rFonts w:ascii="Verdana" w:hAnsi="Verdana"/>
        <w:i/>
        <w:color w:val="000080"/>
        <w:sz w:val="18"/>
        <w:szCs w:val="18"/>
      </w:rPr>
      <w:fldChar w:fldCharType="separate"/>
    </w:r>
    <w:r w:rsidR="006A689F">
      <w:rPr>
        <w:rStyle w:val="Lehekljenumber"/>
        <w:rFonts w:ascii="Verdana" w:hAnsi="Verdana"/>
        <w:i/>
        <w:noProof/>
        <w:color w:val="000080"/>
        <w:sz w:val="18"/>
        <w:szCs w:val="18"/>
      </w:rPr>
      <w:t>3</w:t>
    </w:r>
    <w:r w:rsidRPr="0002590A">
      <w:rPr>
        <w:rStyle w:val="Lehekljenumber"/>
        <w:rFonts w:ascii="Verdana" w:hAnsi="Verdana"/>
        <w:i/>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434" w:rsidRDefault="00DD2434" w:rsidP="003D7DEF">
      <w:r>
        <w:separator/>
      </w:r>
    </w:p>
  </w:footnote>
  <w:footnote w:type="continuationSeparator" w:id="0">
    <w:p w:rsidR="00DD2434" w:rsidRDefault="00DD2434" w:rsidP="003D7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99" w:rsidRPr="0002590A" w:rsidRDefault="00CE4799" w:rsidP="00891C08">
    <w:pPr>
      <w:pStyle w:val="Pis"/>
      <w:jc w:val="right"/>
      <w:rPr>
        <w:rFonts w:ascii="Verdana" w:hAnsi="Verdana"/>
        <w:i/>
        <w:color w:val="000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024" w:rsidRDefault="00A97024">
    <w:pPr>
      <w:pStyle w:val="Pis"/>
    </w:pPr>
    <w:r>
      <w:t>Soovituste koostamiseks kokkuvõte</w:t>
    </w:r>
    <w:r w:rsidR="00523AAB">
      <w:t xml:space="preserve"> - soKo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24CC"/>
    <w:multiLevelType w:val="hybridMultilevel"/>
    <w:tmpl w:val="AC9A07CA"/>
    <w:lvl w:ilvl="0" w:tplc="1D4A0D8C">
      <w:start w:val="1"/>
      <w:numFmt w:val="decimal"/>
      <w:lvlText w:val="%1."/>
      <w:lvlJc w:val="left"/>
      <w:pPr>
        <w:ind w:left="720" w:hanging="360"/>
      </w:pPr>
    </w:lvl>
    <w:lvl w:ilvl="1" w:tplc="F7F64C9A">
      <w:start w:val="1"/>
      <w:numFmt w:val="lowerLetter"/>
      <w:lvlText w:val="%2."/>
      <w:lvlJc w:val="left"/>
      <w:pPr>
        <w:ind w:left="1440" w:hanging="360"/>
      </w:pPr>
    </w:lvl>
    <w:lvl w:ilvl="2" w:tplc="0F9C4BA2">
      <w:start w:val="1"/>
      <w:numFmt w:val="lowerRoman"/>
      <w:lvlText w:val="%3."/>
      <w:lvlJc w:val="right"/>
      <w:pPr>
        <w:ind w:left="2160" w:hanging="180"/>
      </w:pPr>
    </w:lvl>
    <w:lvl w:ilvl="3" w:tplc="D5BE5E28">
      <w:start w:val="1"/>
      <w:numFmt w:val="decimal"/>
      <w:lvlText w:val="%4."/>
      <w:lvlJc w:val="left"/>
      <w:pPr>
        <w:ind w:left="2880" w:hanging="360"/>
      </w:pPr>
    </w:lvl>
    <w:lvl w:ilvl="4" w:tplc="886C2AAA">
      <w:start w:val="1"/>
      <w:numFmt w:val="lowerLetter"/>
      <w:lvlText w:val="%5."/>
      <w:lvlJc w:val="left"/>
      <w:pPr>
        <w:ind w:left="3600" w:hanging="360"/>
      </w:pPr>
    </w:lvl>
    <w:lvl w:ilvl="5" w:tplc="14C0768A">
      <w:start w:val="1"/>
      <w:numFmt w:val="lowerRoman"/>
      <w:lvlText w:val="%6."/>
      <w:lvlJc w:val="right"/>
      <w:pPr>
        <w:ind w:left="4320" w:hanging="180"/>
      </w:pPr>
    </w:lvl>
    <w:lvl w:ilvl="6" w:tplc="027CB146">
      <w:start w:val="1"/>
      <w:numFmt w:val="decimal"/>
      <w:lvlText w:val="%7."/>
      <w:lvlJc w:val="left"/>
      <w:pPr>
        <w:ind w:left="5040" w:hanging="360"/>
      </w:pPr>
    </w:lvl>
    <w:lvl w:ilvl="7" w:tplc="76447808">
      <w:start w:val="1"/>
      <w:numFmt w:val="lowerLetter"/>
      <w:lvlText w:val="%8."/>
      <w:lvlJc w:val="left"/>
      <w:pPr>
        <w:ind w:left="5760" w:hanging="360"/>
      </w:pPr>
    </w:lvl>
    <w:lvl w:ilvl="8" w:tplc="4E2A393C">
      <w:start w:val="1"/>
      <w:numFmt w:val="lowerRoman"/>
      <w:lvlText w:val="%9."/>
      <w:lvlJc w:val="right"/>
      <w:pPr>
        <w:ind w:left="6480" w:hanging="180"/>
      </w:pPr>
    </w:lvl>
  </w:abstractNum>
  <w:abstractNum w:abstractNumId="1" w15:restartNumberingAfterBreak="0">
    <w:nsid w:val="400241F7"/>
    <w:multiLevelType w:val="hybridMultilevel"/>
    <w:tmpl w:val="A8DC89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5053D9C"/>
    <w:multiLevelType w:val="hybridMultilevel"/>
    <w:tmpl w:val="E662F016"/>
    <w:lvl w:ilvl="0" w:tplc="E42CFDA0">
      <w:start w:val="3"/>
      <w:numFmt w:val="bullet"/>
      <w:lvlText w:val="-"/>
      <w:lvlJc w:val="left"/>
      <w:pPr>
        <w:tabs>
          <w:tab w:val="num" w:pos="360"/>
        </w:tabs>
        <w:ind w:left="360" w:hanging="360"/>
      </w:pPr>
      <w:rPr>
        <w:rFonts w:ascii="Verdana" w:eastAsia="New-Baskerville-BoldA"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880464"/>
    <w:multiLevelType w:val="hybridMultilevel"/>
    <w:tmpl w:val="0CEE62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09"/>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A89"/>
    <w:rsid w:val="00095FD2"/>
    <w:rsid w:val="00096861"/>
    <w:rsid w:val="00096E93"/>
    <w:rsid w:val="00096F18"/>
    <w:rsid w:val="00096F89"/>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3F98"/>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74A"/>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0F9E"/>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4E98"/>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2AA"/>
    <w:rsid w:val="003D5425"/>
    <w:rsid w:val="003D56FF"/>
    <w:rsid w:val="003D6B3C"/>
    <w:rsid w:val="003D70F8"/>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2B17"/>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3347"/>
    <w:rsid w:val="004F3A75"/>
    <w:rsid w:val="004F3F23"/>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77F95"/>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3CA4"/>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D05"/>
    <w:rsid w:val="005F2FF1"/>
    <w:rsid w:val="005F3225"/>
    <w:rsid w:val="005F3BC7"/>
    <w:rsid w:val="005F4974"/>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89F"/>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D7602"/>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1EDE"/>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23E4"/>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5FA2"/>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69"/>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3A27"/>
    <w:rsid w:val="009C46DF"/>
    <w:rsid w:val="009C4792"/>
    <w:rsid w:val="009C53F8"/>
    <w:rsid w:val="009C5A7C"/>
    <w:rsid w:val="009C6166"/>
    <w:rsid w:val="009C69A6"/>
    <w:rsid w:val="009D06C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1756E"/>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1BE"/>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6C84"/>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19"/>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77AC8"/>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434"/>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034"/>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1A87"/>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24DD"/>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7E9178-C255-442E-8D97-12777A29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rPr>
      <w:sz w:val="24"/>
      <w:szCs w:val="24"/>
      <w:lang w:eastAsia="et-EE"/>
    </w:rPr>
  </w:style>
  <w:style w:type="character" w:default="1" w:styleId="Liguvaikefont">
    <w:name w:val="Default Paragraph Font"/>
    <w:semiHidden/>
  </w:style>
  <w:style w:type="table" w:default="1" w:styleId="Normaaltabel">
    <w:name w:val="Normal Table"/>
    <w:semiHidden/>
    <w:tblPr>
      <w:tblInd w:w="0" w:type="dxa"/>
      <w:tblCellMar>
        <w:top w:w="0" w:type="dxa"/>
        <w:left w:w="108" w:type="dxa"/>
        <w:bottom w:w="0" w:type="dxa"/>
        <w:right w:w="108" w:type="dxa"/>
      </w:tblCellMar>
    </w:tblPr>
  </w:style>
  <w:style w:type="numbering" w:default="1" w:styleId="Loendita">
    <w:name w:val="No List"/>
    <w:semiHidden/>
  </w:style>
  <w:style w:type="table" w:styleId="Tabeliruudustik">
    <w:name w:val="Table Grid"/>
    <w:basedOn w:val="Normaaltabel"/>
    <w:rsid w:val="0043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semiHidden/>
    <w:rsid w:val="00491832"/>
    <w:rPr>
      <w:rFonts w:ascii="Tahoma" w:hAnsi="Tahoma" w:cs="Tahoma"/>
      <w:sz w:val="16"/>
      <w:szCs w:val="16"/>
    </w:rPr>
  </w:style>
  <w:style w:type="paragraph" w:styleId="Pis">
    <w:name w:val="header"/>
    <w:basedOn w:val="Normaallaad"/>
    <w:link w:val="PisMrk"/>
    <w:uiPriority w:val="99"/>
    <w:rsid w:val="00891C08"/>
    <w:pPr>
      <w:tabs>
        <w:tab w:val="center" w:pos="4536"/>
        <w:tab w:val="right" w:pos="9072"/>
      </w:tabs>
    </w:pPr>
  </w:style>
  <w:style w:type="paragraph" w:styleId="Jalus">
    <w:name w:val="footer"/>
    <w:basedOn w:val="Normaallaad"/>
    <w:rsid w:val="00891C08"/>
    <w:pPr>
      <w:tabs>
        <w:tab w:val="center" w:pos="4536"/>
        <w:tab w:val="right" w:pos="9072"/>
      </w:tabs>
    </w:pPr>
  </w:style>
  <w:style w:type="character" w:styleId="Lehekljenumber">
    <w:name w:val="page number"/>
    <w:basedOn w:val="Liguvaikefont"/>
    <w:rsid w:val="00891C08"/>
  </w:style>
  <w:style w:type="character" w:customStyle="1" w:styleId="PisMrk">
    <w:name w:val="Päis Märk"/>
    <w:link w:val="Pis"/>
    <w:uiPriority w:val="99"/>
    <w:rsid w:val="00A97024"/>
    <w:rPr>
      <w:sz w:val="24"/>
      <w:szCs w:val="24"/>
    </w:rPr>
  </w:style>
  <w:style w:type="paragraph" w:customStyle="1" w:styleId="paragraph">
    <w:name w:val="paragraph"/>
    <w:basedOn w:val="Normaallaad"/>
    <w:rsid w:val="009D06C6"/>
  </w:style>
  <w:style w:type="character" w:customStyle="1" w:styleId="spellingerror">
    <w:name w:val="spellingerror"/>
    <w:rsid w:val="009D06C6"/>
  </w:style>
  <w:style w:type="character" w:customStyle="1" w:styleId="normaltextrun">
    <w:name w:val="normaltextrun"/>
    <w:rsid w:val="009D06C6"/>
  </w:style>
  <w:style w:type="character" w:customStyle="1" w:styleId="eop">
    <w:name w:val="eop"/>
    <w:rsid w:val="009D06C6"/>
  </w:style>
  <w:style w:type="paragraph" w:styleId="Loendilik">
    <w:name w:val="List Paragraph"/>
    <w:basedOn w:val="Normaallaad"/>
    <w:uiPriority w:val="34"/>
    <w:qFormat/>
    <w:rsid w:val="0018274A"/>
    <w:pPr>
      <w:ind w:left="720"/>
      <w:contextualSpacing/>
      <w:jc w:val="both"/>
    </w:pPr>
    <w:rPr>
      <w:rFonts w:ascii="Palatino Linotype" w:eastAsia="SimSun" w:hAnsi="Palatino Linotype"/>
      <w:sz w:val="22"/>
      <w:lang w:bidi="et-EE"/>
    </w:rPr>
  </w:style>
  <w:style w:type="paragraph" w:styleId="Normaallaadveeb">
    <w:name w:val="Normal (Web)"/>
    <w:basedOn w:val="Normaallaad"/>
    <w:uiPriority w:val="99"/>
    <w:unhideWhenUsed/>
    <w:rsid w:val="00D77A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49425">
      <w:bodyDiv w:val="1"/>
      <w:marLeft w:val="0"/>
      <w:marRight w:val="0"/>
      <w:marTop w:val="0"/>
      <w:marBottom w:val="0"/>
      <w:divBdr>
        <w:top w:val="none" w:sz="0" w:space="0" w:color="auto"/>
        <w:left w:val="none" w:sz="0" w:space="0" w:color="auto"/>
        <w:bottom w:val="none" w:sz="0" w:space="0" w:color="auto"/>
        <w:right w:val="none" w:sz="0" w:space="0" w:color="auto"/>
      </w:divBdr>
    </w:div>
    <w:div w:id="903179019">
      <w:bodyDiv w:val="1"/>
      <w:marLeft w:val="0"/>
      <w:marRight w:val="0"/>
      <w:marTop w:val="0"/>
      <w:marBottom w:val="0"/>
      <w:divBdr>
        <w:top w:val="none" w:sz="0" w:space="0" w:color="auto"/>
        <w:left w:val="none" w:sz="0" w:space="0" w:color="auto"/>
        <w:bottom w:val="none" w:sz="0" w:space="0" w:color="auto"/>
        <w:right w:val="none" w:sz="0" w:space="0" w:color="auto"/>
      </w:divBdr>
    </w:div>
    <w:div w:id="950628551">
      <w:bodyDiv w:val="1"/>
      <w:marLeft w:val="0"/>
      <w:marRight w:val="0"/>
      <w:marTop w:val="0"/>
      <w:marBottom w:val="0"/>
      <w:divBdr>
        <w:top w:val="none" w:sz="0" w:space="0" w:color="auto"/>
        <w:left w:val="none" w:sz="0" w:space="0" w:color="auto"/>
        <w:bottom w:val="none" w:sz="0" w:space="0" w:color="auto"/>
        <w:right w:val="none" w:sz="0" w:space="0" w:color="auto"/>
      </w:divBdr>
    </w:div>
    <w:div w:id="12811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527</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All patients with confirmed hypertension should / should not be offered dietary advice concerning salt restriction</vt:lpstr>
    </vt:vector>
  </TitlesOfParts>
  <Company>Ravimiamet</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patients with confirmed hypertension should / should not be offered dietary advice concerning salt restriction</dc:title>
  <dc:subject/>
  <dc:creator>Kasutaja</dc:creator>
  <cp:keywords/>
  <cp:lastModifiedBy>Anu Varep</cp:lastModifiedBy>
  <cp:revision>8</cp:revision>
  <cp:lastPrinted>2011-04-03T13:46:00Z</cp:lastPrinted>
  <dcterms:created xsi:type="dcterms:W3CDTF">2017-08-28T09:39:00Z</dcterms:created>
  <dcterms:modified xsi:type="dcterms:W3CDTF">2017-08-28T09:39:00Z</dcterms:modified>
</cp:coreProperties>
</file>