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16A" w:rsidRDefault="00FE4165">
      <w:pPr>
        <w:rPr>
          <w:b/>
        </w:rPr>
      </w:pPr>
      <w:r w:rsidRPr="00FE4165">
        <w:rPr>
          <w:b/>
        </w:rPr>
        <w:t>KVA patsiendi e</w:t>
      </w:r>
      <w:r w:rsidR="009A3309" w:rsidRPr="00FE4165">
        <w:rPr>
          <w:b/>
        </w:rPr>
        <w:t>smased uuringud</w:t>
      </w:r>
    </w:p>
    <w:p w:rsidR="00C1289D" w:rsidRPr="00C1289D" w:rsidRDefault="00C1289D" w:rsidP="00C1289D">
      <w:pPr>
        <w:pStyle w:val="ListParagraph"/>
        <w:numPr>
          <w:ilvl w:val="0"/>
          <w:numId w:val="1"/>
        </w:numPr>
      </w:pPr>
      <w:r w:rsidRPr="00C1289D">
        <w:t xml:space="preserve">Kas </w:t>
      </w:r>
      <w:r w:rsidR="000026AC">
        <w:t>me täpsustame uuringud (</w:t>
      </w:r>
      <w:r w:rsidR="000026AC" w:rsidRPr="000026AC">
        <w:rPr>
          <w:i/>
        </w:rPr>
        <w:t>versus</w:t>
      </w:r>
      <w:r w:rsidRPr="00C1289D">
        <w:t xml:space="preserve"> ESC 2016 </w:t>
      </w:r>
      <w:r w:rsidR="000026AC">
        <w:t xml:space="preserve">üldsõnaline </w:t>
      </w:r>
      <w:r w:rsidRPr="00C1289D">
        <w:t>käsitlus)?</w:t>
      </w:r>
    </w:p>
    <w:p w:rsidR="00C1289D" w:rsidRPr="00C1289D" w:rsidRDefault="00C1289D" w:rsidP="00C1289D">
      <w:pPr>
        <w:pStyle w:val="ListParagraph"/>
        <w:numPr>
          <w:ilvl w:val="0"/>
          <w:numId w:val="1"/>
        </w:numPr>
      </w:pPr>
      <w:r w:rsidRPr="00C1289D">
        <w:t>Kas me soovitame TTE kõigile</w:t>
      </w:r>
      <w:r w:rsidR="000026AC">
        <w:t xml:space="preserve"> (ESC 2016 vs Soome, NICE - või </w:t>
      </w:r>
      <w:r>
        <w:t xml:space="preserve">vajame </w:t>
      </w:r>
      <w:r w:rsidR="000026AC">
        <w:t xml:space="preserve">veel </w:t>
      </w:r>
      <w:r>
        <w:t>mingeid täiendavaid andmeid</w:t>
      </w:r>
      <w:r w:rsidR="000026AC">
        <w:t xml:space="preserve">, vt </w:t>
      </w:r>
      <w:proofErr w:type="spellStart"/>
      <w:r w:rsidR="000026AC">
        <w:t>dok</w:t>
      </w:r>
      <w:proofErr w:type="spellEnd"/>
      <w:r w:rsidR="000026AC">
        <w:t xml:space="preserve"> lõpp</w:t>
      </w:r>
      <w:r>
        <w:t>)</w:t>
      </w:r>
      <w:r w:rsidRPr="00C1289D">
        <w:t>?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338"/>
        <w:gridCol w:w="850"/>
        <w:gridCol w:w="1134"/>
      </w:tblGrid>
      <w:tr w:rsidR="00900095" w:rsidTr="00900095">
        <w:tc>
          <w:tcPr>
            <w:tcW w:w="7338" w:type="dxa"/>
          </w:tcPr>
          <w:p w:rsidR="00900095" w:rsidRDefault="00900095">
            <w:pPr>
              <w:rPr>
                <w:b/>
              </w:rPr>
            </w:pPr>
            <w:r>
              <w:rPr>
                <w:b/>
              </w:rPr>
              <w:t>ESC 2016</w:t>
            </w:r>
          </w:p>
        </w:tc>
        <w:tc>
          <w:tcPr>
            <w:tcW w:w="850" w:type="dxa"/>
            <w:vAlign w:val="center"/>
          </w:tcPr>
          <w:p w:rsidR="00900095" w:rsidRDefault="00900095" w:rsidP="00900095">
            <w:pPr>
              <w:jc w:val="center"/>
              <w:rPr>
                <w:b/>
              </w:rPr>
            </w:pPr>
            <w:r>
              <w:rPr>
                <w:b/>
              </w:rPr>
              <w:t>Klass</w:t>
            </w:r>
          </w:p>
        </w:tc>
        <w:tc>
          <w:tcPr>
            <w:tcW w:w="1134" w:type="dxa"/>
            <w:vAlign w:val="center"/>
          </w:tcPr>
          <w:p w:rsidR="00900095" w:rsidRDefault="00900095" w:rsidP="00900095">
            <w:pPr>
              <w:jc w:val="center"/>
              <w:rPr>
                <w:b/>
              </w:rPr>
            </w:pPr>
            <w:r>
              <w:rPr>
                <w:b/>
              </w:rPr>
              <w:t>Tõendus</w:t>
            </w:r>
          </w:p>
        </w:tc>
      </w:tr>
      <w:tr w:rsidR="00900095" w:rsidTr="00900095">
        <w:tc>
          <w:tcPr>
            <w:tcW w:w="7338" w:type="dxa"/>
          </w:tcPr>
          <w:p w:rsidR="00900095" w:rsidRPr="00900095" w:rsidRDefault="00900095" w:rsidP="00900095">
            <w:r w:rsidRPr="00900095">
              <w:t xml:space="preserve">A </w:t>
            </w:r>
            <w:proofErr w:type="spellStart"/>
            <w:r w:rsidRPr="00900095">
              <w:t>full</w:t>
            </w:r>
            <w:proofErr w:type="spellEnd"/>
            <w:r w:rsidRPr="00900095">
              <w:t xml:space="preserve"> </w:t>
            </w:r>
            <w:proofErr w:type="spellStart"/>
            <w:r w:rsidRPr="00900095">
              <w:t>cardiovascular</w:t>
            </w:r>
            <w:proofErr w:type="spellEnd"/>
            <w:r w:rsidRPr="00900095">
              <w:t xml:space="preserve"> </w:t>
            </w:r>
            <w:proofErr w:type="spellStart"/>
            <w:r w:rsidRPr="00900095">
              <w:t>evaluation</w:t>
            </w:r>
            <w:proofErr w:type="spellEnd"/>
            <w:r w:rsidRPr="00900095">
              <w:t>,</w:t>
            </w:r>
            <w:r>
              <w:t xml:space="preserve"> </w:t>
            </w:r>
            <w:proofErr w:type="spellStart"/>
            <w:r w:rsidRPr="00900095">
              <w:t>including</w:t>
            </w:r>
            <w:proofErr w:type="spellEnd"/>
            <w:r w:rsidRPr="00900095">
              <w:t xml:space="preserve"> </w:t>
            </w:r>
            <w:proofErr w:type="spellStart"/>
            <w:r w:rsidRPr="00900095">
              <w:t>an</w:t>
            </w:r>
            <w:proofErr w:type="spellEnd"/>
            <w:r w:rsidRPr="00900095">
              <w:t xml:space="preserve"> </w:t>
            </w:r>
            <w:proofErr w:type="spellStart"/>
            <w:r w:rsidRPr="00900095">
              <w:t>accurate</w:t>
            </w:r>
            <w:proofErr w:type="spellEnd"/>
            <w:r w:rsidRPr="00900095">
              <w:t xml:space="preserve"> </w:t>
            </w:r>
            <w:proofErr w:type="spellStart"/>
            <w:r w:rsidRPr="00900095">
              <w:t>history</w:t>
            </w:r>
            <w:proofErr w:type="spellEnd"/>
            <w:r w:rsidRPr="00900095">
              <w:t xml:space="preserve">, </w:t>
            </w:r>
            <w:proofErr w:type="spellStart"/>
            <w:r w:rsidRPr="00900095">
              <w:t>careful</w:t>
            </w:r>
            <w:proofErr w:type="spellEnd"/>
            <w:r>
              <w:t xml:space="preserve"> </w:t>
            </w:r>
            <w:proofErr w:type="spellStart"/>
            <w:r w:rsidRPr="00900095">
              <w:t>clinical</w:t>
            </w:r>
            <w:proofErr w:type="spellEnd"/>
            <w:r w:rsidRPr="00900095">
              <w:t xml:space="preserve"> </w:t>
            </w:r>
            <w:proofErr w:type="spellStart"/>
            <w:r w:rsidRPr="00900095">
              <w:t>examination</w:t>
            </w:r>
            <w:proofErr w:type="spellEnd"/>
            <w:r w:rsidRPr="00900095">
              <w:t xml:space="preserve">, and </w:t>
            </w:r>
            <w:proofErr w:type="spellStart"/>
            <w:r w:rsidRPr="00900095">
              <w:t>assessment</w:t>
            </w:r>
            <w:proofErr w:type="spellEnd"/>
            <w:r>
              <w:t xml:space="preserve"> </w:t>
            </w:r>
            <w:r w:rsidRPr="00900095">
              <w:t xml:space="preserve">of </w:t>
            </w:r>
            <w:proofErr w:type="spellStart"/>
            <w:r w:rsidRPr="00900095">
              <w:t>concomitant</w:t>
            </w:r>
            <w:proofErr w:type="spellEnd"/>
            <w:r w:rsidRPr="00900095">
              <w:t xml:space="preserve"> </w:t>
            </w:r>
            <w:proofErr w:type="spellStart"/>
            <w:r w:rsidRPr="00900095">
              <w:t>conditions</w:t>
            </w:r>
            <w:proofErr w:type="spellEnd"/>
            <w:r w:rsidRPr="00900095">
              <w:t xml:space="preserve">, </w:t>
            </w:r>
            <w:proofErr w:type="spellStart"/>
            <w:r w:rsidRPr="00900095">
              <w:t>is</w:t>
            </w:r>
            <w:proofErr w:type="spellEnd"/>
            <w:r>
              <w:t xml:space="preserve"> </w:t>
            </w:r>
            <w:proofErr w:type="spellStart"/>
            <w:r w:rsidRPr="00900095">
              <w:t>recommended</w:t>
            </w:r>
            <w:proofErr w:type="spellEnd"/>
            <w:r w:rsidRPr="00900095">
              <w:t xml:space="preserve"> </w:t>
            </w:r>
            <w:proofErr w:type="spellStart"/>
            <w:r w:rsidRPr="00900095">
              <w:t>in</w:t>
            </w:r>
            <w:proofErr w:type="spellEnd"/>
            <w:r w:rsidRPr="00900095">
              <w:t xml:space="preserve"> all AF </w:t>
            </w:r>
            <w:proofErr w:type="spellStart"/>
            <w:r w:rsidRPr="00900095">
              <w:t>patients</w:t>
            </w:r>
            <w:proofErr w:type="spellEnd"/>
            <w:r w:rsidRPr="00900095">
              <w:t>.</w:t>
            </w:r>
          </w:p>
        </w:tc>
        <w:tc>
          <w:tcPr>
            <w:tcW w:w="850" w:type="dxa"/>
            <w:shd w:val="clear" w:color="auto" w:fill="00B050"/>
            <w:vAlign w:val="center"/>
          </w:tcPr>
          <w:p w:rsidR="00900095" w:rsidRPr="00900095" w:rsidRDefault="00900095" w:rsidP="00900095">
            <w:pPr>
              <w:jc w:val="center"/>
            </w:pPr>
            <w:r w:rsidRPr="00900095">
              <w:t>I</w:t>
            </w:r>
          </w:p>
        </w:tc>
        <w:tc>
          <w:tcPr>
            <w:tcW w:w="1134" w:type="dxa"/>
            <w:vAlign w:val="center"/>
          </w:tcPr>
          <w:p w:rsidR="00900095" w:rsidRPr="00900095" w:rsidRDefault="00900095" w:rsidP="00900095">
            <w:pPr>
              <w:jc w:val="center"/>
            </w:pPr>
            <w:r w:rsidRPr="00900095">
              <w:t>C</w:t>
            </w:r>
          </w:p>
        </w:tc>
      </w:tr>
      <w:tr w:rsidR="00900095" w:rsidTr="00900095">
        <w:tc>
          <w:tcPr>
            <w:tcW w:w="7338" w:type="dxa"/>
          </w:tcPr>
          <w:p w:rsidR="00900095" w:rsidRPr="00900095" w:rsidRDefault="00900095" w:rsidP="00900095">
            <w:proofErr w:type="spellStart"/>
            <w:r w:rsidRPr="00900095">
              <w:t>Transthoracic</w:t>
            </w:r>
            <w:proofErr w:type="spellEnd"/>
            <w:r w:rsidRPr="00900095">
              <w:t xml:space="preserve"> </w:t>
            </w:r>
            <w:proofErr w:type="spellStart"/>
            <w:r w:rsidRPr="00900095">
              <w:t>echocardiography</w:t>
            </w:r>
            <w:proofErr w:type="spellEnd"/>
            <w:r w:rsidRPr="00900095">
              <w:t xml:space="preserve"> </w:t>
            </w:r>
            <w:proofErr w:type="spellStart"/>
            <w:r w:rsidRPr="00900095">
              <w:t>is</w:t>
            </w:r>
            <w:proofErr w:type="spellEnd"/>
            <w:r>
              <w:t xml:space="preserve"> </w:t>
            </w:r>
            <w:proofErr w:type="spellStart"/>
            <w:r w:rsidRPr="00900095">
              <w:t>recommended</w:t>
            </w:r>
            <w:proofErr w:type="spellEnd"/>
            <w:r w:rsidRPr="00900095">
              <w:t xml:space="preserve"> </w:t>
            </w:r>
            <w:proofErr w:type="spellStart"/>
            <w:r w:rsidRPr="00900095">
              <w:t>in</w:t>
            </w:r>
            <w:proofErr w:type="spellEnd"/>
            <w:r w:rsidRPr="00900095">
              <w:t xml:space="preserve"> all AF </w:t>
            </w:r>
            <w:proofErr w:type="spellStart"/>
            <w:r w:rsidRPr="00900095">
              <w:t>patients</w:t>
            </w:r>
            <w:proofErr w:type="spellEnd"/>
            <w:r w:rsidRPr="00900095">
              <w:t xml:space="preserve"> </w:t>
            </w:r>
            <w:proofErr w:type="spellStart"/>
            <w:r w:rsidRPr="00900095">
              <w:t>to</w:t>
            </w:r>
            <w:proofErr w:type="spellEnd"/>
            <w:r>
              <w:t xml:space="preserve"> </w:t>
            </w:r>
            <w:proofErr w:type="spellStart"/>
            <w:r w:rsidRPr="00900095">
              <w:t>guide</w:t>
            </w:r>
            <w:proofErr w:type="spellEnd"/>
            <w:r w:rsidRPr="00900095">
              <w:t xml:space="preserve"> </w:t>
            </w:r>
            <w:proofErr w:type="spellStart"/>
            <w:r w:rsidRPr="00900095">
              <w:t>management</w:t>
            </w:r>
            <w:proofErr w:type="spellEnd"/>
            <w:r w:rsidRPr="00900095">
              <w:t>.</w:t>
            </w:r>
          </w:p>
        </w:tc>
        <w:tc>
          <w:tcPr>
            <w:tcW w:w="850" w:type="dxa"/>
            <w:shd w:val="clear" w:color="auto" w:fill="00B050"/>
            <w:vAlign w:val="center"/>
          </w:tcPr>
          <w:p w:rsidR="00900095" w:rsidRPr="00900095" w:rsidRDefault="00900095" w:rsidP="00900095">
            <w:pPr>
              <w:jc w:val="center"/>
            </w:pPr>
            <w:r>
              <w:t>I</w:t>
            </w:r>
          </w:p>
        </w:tc>
        <w:tc>
          <w:tcPr>
            <w:tcW w:w="1134" w:type="dxa"/>
            <w:vAlign w:val="center"/>
          </w:tcPr>
          <w:p w:rsidR="00900095" w:rsidRPr="00900095" w:rsidRDefault="00900095" w:rsidP="00900095">
            <w:pPr>
              <w:jc w:val="center"/>
            </w:pPr>
            <w:r>
              <w:t>C</w:t>
            </w:r>
          </w:p>
        </w:tc>
      </w:tr>
      <w:tr w:rsidR="00C1289D" w:rsidTr="00C1289D">
        <w:tc>
          <w:tcPr>
            <w:tcW w:w="7338" w:type="dxa"/>
          </w:tcPr>
          <w:p w:rsidR="00C1289D" w:rsidRDefault="00C1289D" w:rsidP="00C1289D">
            <w:r>
              <w:t xml:space="preserve">p21: </w:t>
            </w:r>
            <w:proofErr w:type="spellStart"/>
            <w:r>
              <w:t>Transthoracic</w:t>
            </w:r>
            <w:proofErr w:type="spellEnd"/>
            <w:r>
              <w:t xml:space="preserve"> </w:t>
            </w:r>
            <w:proofErr w:type="spellStart"/>
            <w:r>
              <w:t>echocardiography</w:t>
            </w:r>
            <w:proofErr w:type="spellEnd"/>
            <w:r>
              <w:t xml:space="preserve"> </w:t>
            </w:r>
            <w:proofErr w:type="spellStart"/>
            <w:r>
              <w:t>should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identify</w:t>
            </w:r>
            <w:proofErr w:type="spellEnd"/>
          </w:p>
          <w:p w:rsidR="00C1289D" w:rsidRDefault="00C1289D" w:rsidP="00C1289D">
            <w:proofErr w:type="spellStart"/>
            <w:r>
              <w:t>structural</w:t>
            </w:r>
            <w:proofErr w:type="spellEnd"/>
            <w:r>
              <w:t xml:space="preserve"> </w:t>
            </w:r>
            <w:proofErr w:type="spellStart"/>
            <w:r>
              <w:t>disease</w:t>
            </w:r>
            <w:proofErr w:type="spellEnd"/>
            <w:r>
              <w:t xml:space="preserve"> (</w:t>
            </w:r>
            <w:proofErr w:type="spellStart"/>
            <w:r>
              <w:t>e.g</w:t>
            </w:r>
            <w:proofErr w:type="spellEnd"/>
            <w:r>
              <w:t xml:space="preserve">. </w:t>
            </w:r>
            <w:proofErr w:type="spellStart"/>
            <w:r>
              <w:t>valvular</w:t>
            </w:r>
            <w:proofErr w:type="spellEnd"/>
            <w:r>
              <w:t xml:space="preserve"> </w:t>
            </w:r>
            <w:proofErr w:type="spellStart"/>
            <w:r>
              <w:t>disease</w:t>
            </w:r>
            <w:proofErr w:type="spellEnd"/>
            <w:r>
              <w:t xml:space="preserve">) and </w:t>
            </w:r>
            <w:proofErr w:type="spellStart"/>
            <w:r>
              <w:t>assess</w:t>
            </w:r>
            <w:proofErr w:type="spellEnd"/>
            <w:r>
              <w:t xml:space="preserve"> LV </w:t>
            </w:r>
            <w:proofErr w:type="spellStart"/>
            <w:r>
              <w:t>size</w:t>
            </w:r>
            <w:proofErr w:type="spellEnd"/>
            <w:r>
              <w:t xml:space="preserve"> and</w:t>
            </w:r>
          </w:p>
          <w:p w:rsidR="00C1289D" w:rsidRPr="00900095" w:rsidRDefault="00C1289D" w:rsidP="00C1289D">
            <w:proofErr w:type="spellStart"/>
            <w:r>
              <w:t>function</w:t>
            </w:r>
            <w:proofErr w:type="spellEnd"/>
            <w:r>
              <w:t xml:space="preserve"> (</w:t>
            </w:r>
            <w:proofErr w:type="spellStart"/>
            <w:r>
              <w:t>systolic</w:t>
            </w:r>
            <w:proofErr w:type="spellEnd"/>
            <w:r>
              <w:t xml:space="preserve"> and </w:t>
            </w:r>
            <w:proofErr w:type="spellStart"/>
            <w:r>
              <w:t>diastolic</w:t>
            </w:r>
            <w:proofErr w:type="spellEnd"/>
            <w:r>
              <w:t xml:space="preserve">), </w:t>
            </w:r>
            <w:proofErr w:type="spellStart"/>
            <w:r>
              <w:t>atrial</w:t>
            </w:r>
            <w:proofErr w:type="spellEnd"/>
            <w:r>
              <w:t xml:space="preserve"> </w:t>
            </w:r>
            <w:proofErr w:type="spellStart"/>
            <w:r>
              <w:t>size</w:t>
            </w:r>
            <w:proofErr w:type="spellEnd"/>
            <w:r>
              <w:t xml:space="preserve">, and </w:t>
            </w:r>
            <w:proofErr w:type="spellStart"/>
            <w:r>
              <w:t>right</w:t>
            </w:r>
            <w:proofErr w:type="spellEnd"/>
            <w:r>
              <w:t xml:space="preserve"> </w:t>
            </w:r>
            <w:proofErr w:type="spellStart"/>
            <w:r>
              <w:t>heart</w:t>
            </w:r>
            <w:proofErr w:type="spellEnd"/>
            <w:r>
              <w:t xml:space="preserve"> </w:t>
            </w:r>
            <w:proofErr w:type="spellStart"/>
            <w:r>
              <w:t>function</w:t>
            </w:r>
            <w:proofErr w:type="spellEnd"/>
            <w:r>
              <w:t>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1289D" w:rsidRDefault="00C1289D" w:rsidP="00900095">
            <w:pPr>
              <w:jc w:val="center"/>
            </w:pPr>
          </w:p>
        </w:tc>
        <w:tc>
          <w:tcPr>
            <w:tcW w:w="1134" w:type="dxa"/>
            <w:vAlign w:val="center"/>
          </w:tcPr>
          <w:p w:rsidR="00C1289D" w:rsidRDefault="00C1289D" w:rsidP="00900095">
            <w:pPr>
              <w:jc w:val="center"/>
            </w:pPr>
          </w:p>
        </w:tc>
      </w:tr>
      <w:tr w:rsidR="00900095" w:rsidTr="00900095">
        <w:tc>
          <w:tcPr>
            <w:tcW w:w="7338" w:type="dxa"/>
          </w:tcPr>
          <w:p w:rsidR="00900095" w:rsidRPr="00900095" w:rsidRDefault="00900095" w:rsidP="00900095">
            <w:proofErr w:type="spellStart"/>
            <w:r w:rsidRPr="00900095">
              <w:t>Long-term</w:t>
            </w:r>
            <w:proofErr w:type="spellEnd"/>
            <w:r w:rsidRPr="00900095">
              <w:t xml:space="preserve"> ECG </w:t>
            </w:r>
            <w:proofErr w:type="spellStart"/>
            <w:r w:rsidRPr="00900095">
              <w:t>monitoring</w:t>
            </w:r>
            <w:proofErr w:type="spellEnd"/>
            <w:r w:rsidRPr="00900095">
              <w:t xml:space="preserve"> </w:t>
            </w:r>
            <w:proofErr w:type="spellStart"/>
            <w:r w:rsidRPr="00900095">
              <w:t>should</w:t>
            </w:r>
            <w:proofErr w:type="spellEnd"/>
            <w:r>
              <w:t xml:space="preserve"> </w:t>
            </w:r>
            <w:proofErr w:type="spellStart"/>
            <w:r w:rsidRPr="00900095">
              <w:t>be</w:t>
            </w:r>
            <w:proofErr w:type="spellEnd"/>
            <w:r w:rsidRPr="00900095">
              <w:t xml:space="preserve"> </w:t>
            </w:r>
            <w:proofErr w:type="spellStart"/>
            <w:r w:rsidRPr="00900095">
              <w:t>considered</w:t>
            </w:r>
            <w:proofErr w:type="spellEnd"/>
            <w:r w:rsidRPr="00900095">
              <w:t xml:space="preserve"> </w:t>
            </w:r>
            <w:proofErr w:type="spellStart"/>
            <w:r w:rsidRPr="00900095">
              <w:t>in</w:t>
            </w:r>
            <w:proofErr w:type="spellEnd"/>
            <w:r w:rsidRPr="00900095">
              <w:t xml:space="preserve"> </w:t>
            </w:r>
            <w:proofErr w:type="spellStart"/>
            <w:r w:rsidRPr="00900095">
              <w:t>selected</w:t>
            </w:r>
            <w:proofErr w:type="spellEnd"/>
            <w:r w:rsidRPr="00900095">
              <w:t xml:space="preserve"> </w:t>
            </w:r>
            <w:proofErr w:type="spellStart"/>
            <w:r w:rsidRPr="00900095">
              <w:t>patients</w:t>
            </w:r>
            <w:proofErr w:type="spellEnd"/>
            <w:r w:rsidRPr="00900095">
              <w:t xml:space="preserve"> </w:t>
            </w:r>
            <w:proofErr w:type="spellStart"/>
            <w:r w:rsidRPr="00900095">
              <w:t>to</w:t>
            </w:r>
            <w:proofErr w:type="spellEnd"/>
            <w:r>
              <w:t xml:space="preserve"> </w:t>
            </w:r>
            <w:proofErr w:type="spellStart"/>
            <w:r w:rsidRPr="00900095">
              <w:t>assess</w:t>
            </w:r>
            <w:proofErr w:type="spellEnd"/>
            <w:r w:rsidRPr="00900095">
              <w:t xml:space="preserve"> the </w:t>
            </w:r>
            <w:proofErr w:type="spellStart"/>
            <w:r w:rsidRPr="00900095">
              <w:t>adequacy</w:t>
            </w:r>
            <w:proofErr w:type="spellEnd"/>
            <w:r w:rsidRPr="00900095">
              <w:t xml:space="preserve"> of </w:t>
            </w:r>
            <w:proofErr w:type="spellStart"/>
            <w:r w:rsidRPr="00900095">
              <w:t>rate</w:t>
            </w:r>
            <w:proofErr w:type="spellEnd"/>
            <w:r w:rsidRPr="00900095">
              <w:t xml:space="preserve"> </w:t>
            </w:r>
            <w:proofErr w:type="spellStart"/>
            <w:r w:rsidRPr="00900095">
              <w:t>control</w:t>
            </w:r>
            <w:proofErr w:type="spellEnd"/>
            <w:r>
              <w:t xml:space="preserve"> </w:t>
            </w:r>
            <w:proofErr w:type="spellStart"/>
            <w:r w:rsidRPr="00900095">
              <w:t>in</w:t>
            </w:r>
            <w:proofErr w:type="spellEnd"/>
            <w:r w:rsidRPr="00900095">
              <w:t xml:space="preserve"> </w:t>
            </w:r>
            <w:proofErr w:type="spellStart"/>
            <w:r w:rsidRPr="00900095">
              <w:t>symptomatic</w:t>
            </w:r>
            <w:proofErr w:type="spellEnd"/>
            <w:r w:rsidRPr="00900095">
              <w:t xml:space="preserve"> </w:t>
            </w:r>
            <w:proofErr w:type="spellStart"/>
            <w:r w:rsidRPr="00900095">
              <w:t>patients</w:t>
            </w:r>
            <w:proofErr w:type="spellEnd"/>
            <w:r w:rsidRPr="00900095">
              <w:t xml:space="preserve"> and </w:t>
            </w:r>
            <w:proofErr w:type="spellStart"/>
            <w:r w:rsidRPr="00900095">
              <w:t>to</w:t>
            </w:r>
            <w:proofErr w:type="spellEnd"/>
            <w:r w:rsidRPr="00900095">
              <w:t xml:space="preserve"> </w:t>
            </w:r>
            <w:r>
              <w:t xml:space="preserve">elate </w:t>
            </w:r>
            <w:proofErr w:type="spellStart"/>
            <w:r w:rsidRPr="00900095">
              <w:t>symptoms</w:t>
            </w:r>
            <w:proofErr w:type="spellEnd"/>
            <w:r w:rsidRPr="00900095">
              <w:t xml:space="preserve"> </w:t>
            </w:r>
            <w:proofErr w:type="spellStart"/>
            <w:r w:rsidRPr="00900095">
              <w:t>with</w:t>
            </w:r>
            <w:proofErr w:type="spellEnd"/>
            <w:r w:rsidRPr="00900095">
              <w:t xml:space="preserve"> AF </w:t>
            </w:r>
            <w:proofErr w:type="spellStart"/>
            <w:r w:rsidRPr="00900095">
              <w:t>episodes</w:t>
            </w:r>
            <w:proofErr w:type="spellEnd"/>
            <w:r w:rsidRPr="00900095">
              <w:t>.</w:t>
            </w:r>
          </w:p>
        </w:tc>
        <w:tc>
          <w:tcPr>
            <w:tcW w:w="850" w:type="dxa"/>
            <w:shd w:val="clear" w:color="auto" w:fill="FFC000"/>
            <w:vAlign w:val="center"/>
          </w:tcPr>
          <w:p w:rsidR="00900095" w:rsidRPr="00900095" w:rsidRDefault="00900095" w:rsidP="00900095">
            <w:pPr>
              <w:jc w:val="center"/>
            </w:pPr>
            <w:proofErr w:type="spellStart"/>
            <w:r>
              <w:t>IIa</w:t>
            </w:r>
            <w:proofErr w:type="spellEnd"/>
          </w:p>
        </w:tc>
        <w:tc>
          <w:tcPr>
            <w:tcW w:w="1134" w:type="dxa"/>
            <w:vAlign w:val="center"/>
          </w:tcPr>
          <w:p w:rsidR="00900095" w:rsidRPr="00900095" w:rsidRDefault="00900095" w:rsidP="00900095">
            <w:pPr>
              <w:jc w:val="center"/>
            </w:pPr>
            <w:r>
              <w:t>C</w:t>
            </w:r>
          </w:p>
        </w:tc>
      </w:tr>
    </w:tbl>
    <w:p w:rsidR="00900095" w:rsidRPr="00FE4165" w:rsidRDefault="00900095">
      <w:pPr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133"/>
        <w:gridCol w:w="843"/>
        <w:gridCol w:w="1418"/>
        <w:gridCol w:w="1417"/>
        <w:gridCol w:w="1242"/>
      </w:tblGrid>
      <w:tr w:rsidR="000D462D" w:rsidTr="000D462D">
        <w:tc>
          <w:tcPr>
            <w:tcW w:w="2235" w:type="dxa"/>
            <w:shd w:val="clear" w:color="auto" w:fill="F2DBDB" w:themeFill="accent2" w:themeFillTint="33"/>
          </w:tcPr>
          <w:p w:rsidR="00FE4165" w:rsidRDefault="00FE4165"/>
        </w:tc>
        <w:tc>
          <w:tcPr>
            <w:tcW w:w="2133" w:type="dxa"/>
            <w:shd w:val="clear" w:color="auto" w:fill="F2DBDB" w:themeFill="accent2" w:themeFillTint="33"/>
          </w:tcPr>
          <w:p w:rsidR="001E1497" w:rsidRDefault="00FE4165" w:rsidP="00FC1018">
            <w:pPr>
              <w:jc w:val="center"/>
              <w:rPr>
                <w:b/>
              </w:rPr>
            </w:pPr>
            <w:r w:rsidRPr="00DB2E69">
              <w:rPr>
                <w:b/>
              </w:rPr>
              <w:t xml:space="preserve">Kanada </w:t>
            </w:r>
          </w:p>
          <w:p w:rsidR="00FE4165" w:rsidRPr="00DB2E69" w:rsidRDefault="00FE4165" w:rsidP="00FC1018">
            <w:pPr>
              <w:jc w:val="center"/>
              <w:rPr>
                <w:b/>
              </w:rPr>
            </w:pPr>
            <w:r w:rsidRPr="00DB2E69">
              <w:rPr>
                <w:b/>
              </w:rPr>
              <w:t>2010</w:t>
            </w:r>
          </w:p>
        </w:tc>
        <w:tc>
          <w:tcPr>
            <w:tcW w:w="843" w:type="dxa"/>
            <w:shd w:val="clear" w:color="auto" w:fill="F2DBDB" w:themeFill="accent2" w:themeFillTint="33"/>
          </w:tcPr>
          <w:p w:rsidR="00FE4165" w:rsidRPr="00DB2E69" w:rsidRDefault="00FE4165" w:rsidP="00FC1018">
            <w:pPr>
              <w:jc w:val="center"/>
              <w:rPr>
                <w:b/>
              </w:rPr>
            </w:pPr>
            <w:r w:rsidRPr="00DB2E69">
              <w:rPr>
                <w:b/>
              </w:rPr>
              <w:t>AHA 2014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1E1497" w:rsidRDefault="00FE4165" w:rsidP="00FC1018">
            <w:pPr>
              <w:jc w:val="center"/>
              <w:rPr>
                <w:b/>
              </w:rPr>
            </w:pPr>
            <w:r w:rsidRPr="00DB2E69">
              <w:rPr>
                <w:b/>
              </w:rPr>
              <w:t xml:space="preserve">NICE </w:t>
            </w:r>
          </w:p>
          <w:p w:rsidR="00FE4165" w:rsidRPr="00DB2E69" w:rsidRDefault="00FE4165" w:rsidP="00FC1018">
            <w:pPr>
              <w:jc w:val="center"/>
              <w:rPr>
                <w:b/>
              </w:rPr>
            </w:pPr>
            <w:r w:rsidRPr="00DB2E69">
              <w:rPr>
                <w:b/>
              </w:rPr>
              <w:t>2014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1E1497" w:rsidRDefault="00FE4165" w:rsidP="00FC1018">
            <w:pPr>
              <w:jc w:val="center"/>
              <w:rPr>
                <w:b/>
              </w:rPr>
            </w:pPr>
            <w:r w:rsidRPr="00DB2E69">
              <w:rPr>
                <w:b/>
              </w:rPr>
              <w:t xml:space="preserve">Soome </w:t>
            </w:r>
          </w:p>
          <w:p w:rsidR="00FE4165" w:rsidRPr="00DB2E69" w:rsidRDefault="00FE4165" w:rsidP="00FC1018">
            <w:pPr>
              <w:jc w:val="center"/>
              <w:rPr>
                <w:b/>
              </w:rPr>
            </w:pPr>
            <w:r w:rsidRPr="00DB2E69">
              <w:rPr>
                <w:b/>
              </w:rPr>
              <w:t>2015</w:t>
            </w:r>
          </w:p>
        </w:tc>
        <w:tc>
          <w:tcPr>
            <w:tcW w:w="1242" w:type="dxa"/>
            <w:shd w:val="clear" w:color="auto" w:fill="F2DBDB" w:themeFill="accent2" w:themeFillTint="33"/>
          </w:tcPr>
          <w:p w:rsidR="001E1497" w:rsidRDefault="00FE4165" w:rsidP="00FC1018">
            <w:pPr>
              <w:jc w:val="center"/>
              <w:rPr>
                <w:b/>
              </w:rPr>
            </w:pPr>
            <w:r w:rsidRPr="00DB2E69">
              <w:rPr>
                <w:b/>
              </w:rPr>
              <w:t xml:space="preserve">ESC </w:t>
            </w:r>
          </w:p>
          <w:p w:rsidR="00FE4165" w:rsidRPr="00DB2E69" w:rsidRDefault="00FE4165" w:rsidP="00FC1018">
            <w:pPr>
              <w:jc w:val="center"/>
              <w:rPr>
                <w:b/>
              </w:rPr>
            </w:pPr>
            <w:bookmarkStart w:id="0" w:name="_GoBack"/>
            <w:bookmarkEnd w:id="0"/>
            <w:r w:rsidRPr="00DB2E69">
              <w:rPr>
                <w:b/>
              </w:rPr>
              <w:t>2016</w:t>
            </w:r>
          </w:p>
        </w:tc>
      </w:tr>
      <w:tr w:rsidR="000D462D" w:rsidTr="000D462D">
        <w:tc>
          <w:tcPr>
            <w:tcW w:w="2235" w:type="dxa"/>
            <w:shd w:val="clear" w:color="auto" w:fill="DBE5F1" w:themeFill="accent1" w:themeFillTint="33"/>
          </w:tcPr>
          <w:p w:rsidR="00FE4165" w:rsidRPr="00FE4165" w:rsidRDefault="00FE4165">
            <w:pPr>
              <w:rPr>
                <w:b/>
              </w:rPr>
            </w:pPr>
            <w:r w:rsidRPr="00FE4165">
              <w:rPr>
                <w:b/>
              </w:rPr>
              <w:t>Põhiuuringud</w:t>
            </w:r>
          </w:p>
        </w:tc>
        <w:tc>
          <w:tcPr>
            <w:tcW w:w="2133" w:type="dxa"/>
            <w:shd w:val="clear" w:color="auto" w:fill="DBE5F1" w:themeFill="accent1" w:themeFillTint="33"/>
          </w:tcPr>
          <w:p w:rsidR="00FE4165" w:rsidRDefault="00FE4165" w:rsidP="00FC1018">
            <w:pPr>
              <w:jc w:val="center"/>
            </w:pPr>
            <w:r>
              <w:t>Tugev soovitus, madala kvaliteediga tõendus</w:t>
            </w:r>
          </w:p>
        </w:tc>
        <w:tc>
          <w:tcPr>
            <w:tcW w:w="843" w:type="dxa"/>
            <w:shd w:val="clear" w:color="auto" w:fill="DBE5F1" w:themeFill="accent1" w:themeFillTint="33"/>
          </w:tcPr>
          <w:p w:rsidR="00FE4165" w:rsidRDefault="00FE4165" w:rsidP="00FC1018">
            <w:pPr>
              <w:jc w:val="center"/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:rsidR="00FE4165" w:rsidRDefault="00FE4165" w:rsidP="00FC1018">
            <w:pPr>
              <w:jc w:val="center"/>
            </w:pPr>
          </w:p>
        </w:tc>
        <w:tc>
          <w:tcPr>
            <w:tcW w:w="1242" w:type="dxa"/>
            <w:shd w:val="clear" w:color="auto" w:fill="DBE5F1" w:themeFill="accent1" w:themeFillTint="33"/>
          </w:tcPr>
          <w:p w:rsidR="00FE4165" w:rsidRDefault="00FE4165" w:rsidP="00FC1018">
            <w:pPr>
              <w:jc w:val="center"/>
            </w:pPr>
          </w:p>
        </w:tc>
      </w:tr>
      <w:tr w:rsidR="00FC1018" w:rsidTr="000D462D">
        <w:tc>
          <w:tcPr>
            <w:tcW w:w="2235" w:type="dxa"/>
          </w:tcPr>
          <w:p w:rsidR="00FE4165" w:rsidRDefault="00FE4165">
            <w:r>
              <w:t>Anamnees</w:t>
            </w:r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DB2E69" w:rsidP="00FC1018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C1018" w:rsidP="00FC1018">
            <w:pPr>
              <w:jc w:val="center"/>
            </w:pPr>
            <w:r>
              <w:t>+</w:t>
            </w:r>
          </w:p>
        </w:tc>
        <w:tc>
          <w:tcPr>
            <w:tcW w:w="1242" w:type="dxa"/>
          </w:tcPr>
          <w:p w:rsidR="00FE4165" w:rsidRDefault="00900095" w:rsidP="00FC1018">
            <w:pPr>
              <w:jc w:val="center"/>
            </w:pPr>
            <w:r>
              <w:t>+</w:t>
            </w:r>
          </w:p>
        </w:tc>
      </w:tr>
      <w:tr w:rsidR="00FC1018" w:rsidTr="000D462D">
        <w:tc>
          <w:tcPr>
            <w:tcW w:w="2235" w:type="dxa"/>
          </w:tcPr>
          <w:p w:rsidR="00FE4165" w:rsidRDefault="00FE4165" w:rsidP="00DB2E69">
            <w:pPr>
              <w:ind w:left="708" w:hanging="424"/>
            </w:pPr>
            <w:r>
              <w:t>sh pereanamnees</w:t>
            </w:r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C1018" w:rsidP="00FC1018">
            <w:pPr>
              <w:jc w:val="center"/>
            </w:pPr>
            <w:r>
              <w:t>+</w:t>
            </w:r>
          </w:p>
        </w:tc>
        <w:tc>
          <w:tcPr>
            <w:tcW w:w="1242" w:type="dxa"/>
          </w:tcPr>
          <w:p w:rsidR="00FE4165" w:rsidRDefault="00FE4165" w:rsidP="00FC1018">
            <w:pPr>
              <w:jc w:val="center"/>
            </w:pPr>
          </w:p>
        </w:tc>
      </w:tr>
      <w:tr w:rsidR="00900095" w:rsidTr="000D462D">
        <w:tc>
          <w:tcPr>
            <w:tcW w:w="2235" w:type="dxa"/>
          </w:tcPr>
          <w:p w:rsidR="00DB2E69" w:rsidRDefault="00DB2E69" w:rsidP="00DB2E69">
            <w:pPr>
              <w:ind w:left="284"/>
            </w:pPr>
            <w:r>
              <w:t>sh esmakordse esinemise aeg</w:t>
            </w:r>
          </w:p>
        </w:tc>
        <w:tc>
          <w:tcPr>
            <w:tcW w:w="2133" w:type="dxa"/>
          </w:tcPr>
          <w:p w:rsidR="00DB2E69" w:rsidRDefault="00DB2E69" w:rsidP="00FC1018">
            <w:pPr>
              <w:jc w:val="center"/>
            </w:pPr>
          </w:p>
        </w:tc>
        <w:tc>
          <w:tcPr>
            <w:tcW w:w="843" w:type="dxa"/>
          </w:tcPr>
          <w:p w:rsidR="00DB2E69" w:rsidRDefault="00DB2E69" w:rsidP="00FC1018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DB2E69" w:rsidRDefault="00DB2E69" w:rsidP="00FC1018">
            <w:pPr>
              <w:jc w:val="center"/>
            </w:pPr>
          </w:p>
        </w:tc>
        <w:tc>
          <w:tcPr>
            <w:tcW w:w="1417" w:type="dxa"/>
          </w:tcPr>
          <w:p w:rsidR="00DB2E69" w:rsidRDefault="00FC1018" w:rsidP="00FC1018">
            <w:pPr>
              <w:jc w:val="center"/>
            </w:pPr>
            <w:r>
              <w:t>+</w:t>
            </w:r>
          </w:p>
        </w:tc>
        <w:tc>
          <w:tcPr>
            <w:tcW w:w="1242" w:type="dxa"/>
          </w:tcPr>
          <w:p w:rsidR="00DB2E69" w:rsidRDefault="00DB2E69" w:rsidP="00FC1018">
            <w:pPr>
              <w:jc w:val="center"/>
            </w:pPr>
          </w:p>
        </w:tc>
      </w:tr>
      <w:tr w:rsidR="00FC1018" w:rsidTr="000D462D">
        <w:tc>
          <w:tcPr>
            <w:tcW w:w="2235" w:type="dxa"/>
          </w:tcPr>
          <w:p w:rsidR="00FE4165" w:rsidRDefault="00FE4165" w:rsidP="00FE4165">
            <w:proofErr w:type="spellStart"/>
            <w:r>
              <w:t>Füüs</w:t>
            </w:r>
            <w:proofErr w:type="spellEnd"/>
            <w:r>
              <w:t xml:space="preserve">. läbivaatus </w:t>
            </w:r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C1018" w:rsidP="00FC1018">
            <w:pPr>
              <w:jc w:val="center"/>
            </w:pPr>
            <w:r>
              <w:t>+</w:t>
            </w:r>
          </w:p>
        </w:tc>
        <w:tc>
          <w:tcPr>
            <w:tcW w:w="1242" w:type="dxa"/>
          </w:tcPr>
          <w:p w:rsidR="00FE4165" w:rsidRDefault="00900095" w:rsidP="00FC1018">
            <w:pPr>
              <w:jc w:val="center"/>
            </w:pPr>
            <w:r>
              <w:t>+</w:t>
            </w:r>
          </w:p>
        </w:tc>
      </w:tr>
      <w:tr w:rsidR="00FC1018" w:rsidTr="000D462D">
        <w:tc>
          <w:tcPr>
            <w:tcW w:w="2235" w:type="dxa"/>
          </w:tcPr>
          <w:p w:rsidR="00FE4165" w:rsidRDefault="00FE4165" w:rsidP="00DB2E69">
            <w:pPr>
              <w:ind w:left="708" w:hanging="424"/>
            </w:pPr>
            <w:r>
              <w:t>sh kuulatlus</w:t>
            </w:r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242" w:type="dxa"/>
          </w:tcPr>
          <w:p w:rsidR="00FE4165" w:rsidRDefault="00FE4165" w:rsidP="00FC1018">
            <w:pPr>
              <w:jc w:val="center"/>
            </w:pPr>
          </w:p>
        </w:tc>
      </w:tr>
      <w:tr w:rsidR="00FC1018" w:rsidTr="000D462D">
        <w:tc>
          <w:tcPr>
            <w:tcW w:w="2235" w:type="dxa"/>
          </w:tcPr>
          <w:p w:rsidR="00FE4165" w:rsidRDefault="00FE4165" w:rsidP="00DB2E69">
            <w:pPr>
              <w:ind w:left="284"/>
            </w:pPr>
            <w:r>
              <w:t xml:space="preserve">sh art pulsid </w:t>
            </w:r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242" w:type="dxa"/>
          </w:tcPr>
          <w:p w:rsidR="00FE4165" w:rsidRDefault="00FE4165" w:rsidP="00FC1018">
            <w:pPr>
              <w:jc w:val="center"/>
            </w:pPr>
          </w:p>
        </w:tc>
      </w:tr>
      <w:tr w:rsidR="00FC1018" w:rsidTr="000D462D">
        <w:tc>
          <w:tcPr>
            <w:tcW w:w="2235" w:type="dxa"/>
          </w:tcPr>
          <w:p w:rsidR="00FE4165" w:rsidRDefault="00FE4165" w:rsidP="00DB2E69">
            <w:pPr>
              <w:ind w:left="708" w:hanging="424"/>
            </w:pPr>
            <w:r>
              <w:t xml:space="preserve">sh </w:t>
            </w:r>
            <w:proofErr w:type="spellStart"/>
            <w:r>
              <w:t>jugulaarveenid</w:t>
            </w:r>
            <w:proofErr w:type="spellEnd"/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242" w:type="dxa"/>
          </w:tcPr>
          <w:p w:rsidR="00FE4165" w:rsidRDefault="00FE4165" w:rsidP="00FC1018">
            <w:pPr>
              <w:jc w:val="center"/>
            </w:pPr>
          </w:p>
        </w:tc>
      </w:tr>
      <w:tr w:rsidR="00FC1018" w:rsidTr="000D462D">
        <w:tc>
          <w:tcPr>
            <w:tcW w:w="2235" w:type="dxa"/>
          </w:tcPr>
          <w:p w:rsidR="00FE4165" w:rsidRDefault="00FE4165" w:rsidP="00DB2E69">
            <w:r>
              <w:t xml:space="preserve">KVA </w:t>
            </w:r>
            <w:r w:rsidR="00DB2E69">
              <w:t>tüüp</w:t>
            </w:r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DB2E69" w:rsidP="00FC1018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C1018" w:rsidP="00FC1018">
            <w:pPr>
              <w:jc w:val="center"/>
            </w:pPr>
            <w:r>
              <w:t>+</w:t>
            </w:r>
          </w:p>
        </w:tc>
        <w:tc>
          <w:tcPr>
            <w:tcW w:w="1242" w:type="dxa"/>
          </w:tcPr>
          <w:p w:rsidR="00FE4165" w:rsidRDefault="00900095" w:rsidP="00FC1018">
            <w:pPr>
              <w:jc w:val="center"/>
            </w:pPr>
            <w:r>
              <w:t>+</w:t>
            </w:r>
          </w:p>
        </w:tc>
      </w:tr>
      <w:tr w:rsidR="00FC1018" w:rsidTr="000D462D">
        <w:tc>
          <w:tcPr>
            <w:tcW w:w="2235" w:type="dxa"/>
          </w:tcPr>
          <w:p w:rsidR="00FE4165" w:rsidRDefault="00FE4165" w:rsidP="009A3309">
            <w:r>
              <w:t xml:space="preserve">KVA </w:t>
            </w:r>
            <w:proofErr w:type="spellStart"/>
            <w:r>
              <w:t>sümpt</w:t>
            </w:r>
            <w:proofErr w:type="spellEnd"/>
            <w:r>
              <w:t xml:space="preserve"> mõju</w:t>
            </w:r>
          </w:p>
        </w:tc>
        <w:tc>
          <w:tcPr>
            <w:tcW w:w="2133" w:type="dxa"/>
          </w:tcPr>
          <w:p w:rsidR="000D462D" w:rsidRDefault="00FE4165" w:rsidP="000D462D">
            <w:pPr>
              <w:jc w:val="center"/>
            </w:pPr>
            <w:r>
              <w:t>+</w:t>
            </w:r>
            <w:r w:rsidR="000D462D">
              <w:t xml:space="preserve"> </w:t>
            </w:r>
          </w:p>
          <w:p w:rsidR="00FE4165" w:rsidRDefault="000D462D" w:rsidP="000D462D">
            <w:pPr>
              <w:jc w:val="center"/>
            </w:pPr>
            <w:r>
              <w:t>C</w:t>
            </w:r>
            <w:r w:rsidR="00FE4165">
              <w:t xml:space="preserve">CS </w:t>
            </w:r>
            <w:r>
              <w:t>SAF</w:t>
            </w:r>
          </w:p>
        </w:tc>
        <w:tc>
          <w:tcPr>
            <w:tcW w:w="843" w:type="dxa"/>
          </w:tcPr>
          <w:p w:rsidR="00FE4165" w:rsidRDefault="00DB2E69" w:rsidP="00FC1018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0D462D" w:rsidRDefault="000D462D" w:rsidP="00FC1018">
            <w:pPr>
              <w:jc w:val="center"/>
            </w:pPr>
            <w:r>
              <w:t xml:space="preserve">+ </w:t>
            </w:r>
          </w:p>
          <w:p w:rsidR="00FE4165" w:rsidRDefault="000D462D" w:rsidP="00FC1018">
            <w:pPr>
              <w:jc w:val="center"/>
            </w:pPr>
            <w:r>
              <w:t>EHRA</w:t>
            </w:r>
          </w:p>
        </w:tc>
        <w:tc>
          <w:tcPr>
            <w:tcW w:w="1242" w:type="dxa"/>
          </w:tcPr>
          <w:p w:rsidR="000D462D" w:rsidRDefault="00900095" w:rsidP="00FC1018">
            <w:pPr>
              <w:jc w:val="center"/>
            </w:pPr>
            <w:r>
              <w:t>+</w:t>
            </w:r>
            <w:r w:rsidR="000D462D">
              <w:t xml:space="preserve"> </w:t>
            </w:r>
          </w:p>
          <w:p w:rsidR="00FE4165" w:rsidRDefault="000D462D" w:rsidP="00FC1018">
            <w:pPr>
              <w:jc w:val="center"/>
            </w:pPr>
            <w:proofErr w:type="spellStart"/>
            <w:r>
              <w:t>mod</w:t>
            </w:r>
            <w:proofErr w:type="spellEnd"/>
            <w:r>
              <w:t xml:space="preserve"> EHRA</w:t>
            </w:r>
          </w:p>
        </w:tc>
      </w:tr>
      <w:tr w:rsidR="00FC1018" w:rsidTr="000D462D">
        <w:tc>
          <w:tcPr>
            <w:tcW w:w="2235" w:type="dxa"/>
          </w:tcPr>
          <w:p w:rsidR="00FE4165" w:rsidRDefault="00FE4165">
            <w:r>
              <w:t>Vallandavad/soodustavad tegurid</w:t>
            </w:r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DB2E69" w:rsidP="00FC1018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C1018" w:rsidP="00FC1018">
            <w:pPr>
              <w:jc w:val="center"/>
            </w:pPr>
            <w:r>
              <w:t>+</w:t>
            </w:r>
          </w:p>
        </w:tc>
        <w:tc>
          <w:tcPr>
            <w:tcW w:w="1242" w:type="dxa"/>
          </w:tcPr>
          <w:p w:rsidR="00FE4165" w:rsidRDefault="00FE4165" w:rsidP="00FC1018">
            <w:pPr>
              <w:jc w:val="center"/>
            </w:pPr>
          </w:p>
        </w:tc>
      </w:tr>
      <w:tr w:rsidR="00FC1018" w:rsidTr="000D462D">
        <w:tc>
          <w:tcPr>
            <w:tcW w:w="2235" w:type="dxa"/>
          </w:tcPr>
          <w:p w:rsidR="00FE4165" w:rsidRDefault="00FE4165" w:rsidP="00DB2E69">
            <w:pPr>
              <w:ind w:left="992" w:hanging="708"/>
            </w:pPr>
            <w:r>
              <w:t xml:space="preserve">sh </w:t>
            </w:r>
            <w:proofErr w:type="spellStart"/>
            <w:r>
              <w:t>ventr</w:t>
            </w:r>
            <w:proofErr w:type="spellEnd"/>
            <w:r>
              <w:t xml:space="preserve"> </w:t>
            </w:r>
            <w:proofErr w:type="spellStart"/>
            <w:r>
              <w:t>stim</w:t>
            </w:r>
            <w:proofErr w:type="spellEnd"/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242" w:type="dxa"/>
          </w:tcPr>
          <w:p w:rsidR="00FE4165" w:rsidRDefault="00FE4165" w:rsidP="00FC1018">
            <w:pPr>
              <w:jc w:val="center"/>
            </w:pPr>
          </w:p>
        </w:tc>
      </w:tr>
      <w:tr w:rsidR="00FC1018" w:rsidTr="000D462D">
        <w:tc>
          <w:tcPr>
            <w:tcW w:w="2235" w:type="dxa"/>
          </w:tcPr>
          <w:p w:rsidR="00FE4165" w:rsidRDefault="00FE4165" w:rsidP="00DB2E69">
            <w:pPr>
              <w:ind w:left="992" w:hanging="708"/>
            </w:pPr>
            <w:r>
              <w:t>sh SVT</w:t>
            </w:r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242" w:type="dxa"/>
          </w:tcPr>
          <w:p w:rsidR="00FE4165" w:rsidRDefault="00FE4165" w:rsidP="00FC1018">
            <w:pPr>
              <w:jc w:val="center"/>
            </w:pPr>
          </w:p>
        </w:tc>
      </w:tr>
      <w:tr w:rsidR="00FC1018" w:rsidTr="000D462D">
        <w:tc>
          <w:tcPr>
            <w:tcW w:w="2235" w:type="dxa"/>
          </w:tcPr>
          <w:p w:rsidR="00FE4165" w:rsidRDefault="00FE4165" w:rsidP="00DB2E69">
            <w:pPr>
              <w:ind w:left="992" w:hanging="708"/>
            </w:pPr>
            <w:r>
              <w:t xml:space="preserve">sh </w:t>
            </w:r>
            <w:proofErr w:type="spellStart"/>
            <w:r>
              <w:t>füüs</w:t>
            </w:r>
            <w:proofErr w:type="spellEnd"/>
            <w:r>
              <w:t xml:space="preserve"> pingutus</w:t>
            </w:r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242" w:type="dxa"/>
          </w:tcPr>
          <w:p w:rsidR="00FE4165" w:rsidRDefault="00FE4165" w:rsidP="00FC1018">
            <w:pPr>
              <w:jc w:val="center"/>
            </w:pPr>
          </w:p>
        </w:tc>
      </w:tr>
      <w:tr w:rsidR="00FC1018" w:rsidTr="000D462D">
        <w:tc>
          <w:tcPr>
            <w:tcW w:w="2235" w:type="dxa"/>
          </w:tcPr>
          <w:p w:rsidR="00FE4165" w:rsidRDefault="00FE4165" w:rsidP="00DB2E69">
            <w:pPr>
              <w:ind w:left="992" w:hanging="708"/>
            </w:pPr>
            <w:r>
              <w:t>sh alkohol</w:t>
            </w:r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DB2E69" w:rsidP="00FC1018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242" w:type="dxa"/>
          </w:tcPr>
          <w:p w:rsidR="00FE4165" w:rsidRDefault="00FE4165" w:rsidP="00FC1018">
            <w:pPr>
              <w:jc w:val="center"/>
            </w:pPr>
          </w:p>
        </w:tc>
      </w:tr>
      <w:tr w:rsidR="00FC1018" w:rsidTr="000D462D">
        <w:tc>
          <w:tcPr>
            <w:tcW w:w="2235" w:type="dxa"/>
          </w:tcPr>
          <w:p w:rsidR="00FE4165" w:rsidRDefault="00FE4165" w:rsidP="00DB2E69">
            <w:pPr>
              <w:ind w:left="992" w:hanging="708"/>
            </w:pPr>
            <w:r>
              <w:t>sh art rõhk</w:t>
            </w:r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DB2E69" w:rsidP="00FC1018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242" w:type="dxa"/>
          </w:tcPr>
          <w:p w:rsidR="00FE4165" w:rsidRDefault="00FE4165" w:rsidP="00FC1018">
            <w:pPr>
              <w:jc w:val="center"/>
            </w:pPr>
          </w:p>
        </w:tc>
      </w:tr>
      <w:tr w:rsidR="00FC1018" w:rsidTr="000D462D">
        <w:tc>
          <w:tcPr>
            <w:tcW w:w="2235" w:type="dxa"/>
          </w:tcPr>
          <w:p w:rsidR="00FE4165" w:rsidRDefault="00FE4165">
            <w:r>
              <w:t>Südame löögisagedus</w:t>
            </w:r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242" w:type="dxa"/>
          </w:tcPr>
          <w:p w:rsidR="00FE4165" w:rsidRDefault="00FE4165" w:rsidP="00FC1018">
            <w:pPr>
              <w:jc w:val="center"/>
            </w:pPr>
          </w:p>
        </w:tc>
      </w:tr>
      <w:tr w:rsidR="00FC1018" w:rsidTr="000D462D">
        <w:tc>
          <w:tcPr>
            <w:tcW w:w="2235" w:type="dxa"/>
          </w:tcPr>
          <w:p w:rsidR="00FE4165" w:rsidRDefault="00FE4165">
            <w:r>
              <w:t>Kaal ja pikkus</w:t>
            </w:r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242" w:type="dxa"/>
          </w:tcPr>
          <w:p w:rsidR="00FE4165" w:rsidRDefault="00FE4165" w:rsidP="00FC1018">
            <w:pPr>
              <w:jc w:val="center"/>
            </w:pPr>
          </w:p>
        </w:tc>
      </w:tr>
      <w:tr w:rsidR="00FC1018" w:rsidTr="000D462D">
        <w:tc>
          <w:tcPr>
            <w:tcW w:w="2235" w:type="dxa"/>
          </w:tcPr>
          <w:p w:rsidR="00FE4165" w:rsidRDefault="00FE4165" w:rsidP="00FE4165">
            <w:r>
              <w:t xml:space="preserve">EKG </w:t>
            </w:r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DB2E69" w:rsidP="00FC1018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C1018" w:rsidP="00FC1018">
            <w:pPr>
              <w:jc w:val="center"/>
            </w:pPr>
            <w:r>
              <w:t>+</w:t>
            </w:r>
          </w:p>
        </w:tc>
        <w:tc>
          <w:tcPr>
            <w:tcW w:w="1242" w:type="dxa"/>
          </w:tcPr>
          <w:p w:rsidR="00FE4165" w:rsidRDefault="00900095" w:rsidP="00FC1018">
            <w:pPr>
              <w:jc w:val="center"/>
            </w:pPr>
            <w:r>
              <w:t>+</w:t>
            </w:r>
          </w:p>
        </w:tc>
      </w:tr>
      <w:tr w:rsidR="00FC1018" w:rsidTr="000D462D">
        <w:tc>
          <w:tcPr>
            <w:tcW w:w="2235" w:type="dxa"/>
          </w:tcPr>
          <w:p w:rsidR="00FE4165" w:rsidRDefault="00FE4165" w:rsidP="00DB2E69">
            <w:pPr>
              <w:ind w:left="284"/>
            </w:pPr>
            <w:r>
              <w:t xml:space="preserve">sh viited </w:t>
            </w:r>
            <w:proofErr w:type="spellStart"/>
            <w:r>
              <w:t>str</w:t>
            </w:r>
            <w:proofErr w:type="spellEnd"/>
            <w:r>
              <w:t xml:space="preserve"> südamehaigusele</w:t>
            </w:r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DB2E69" w:rsidP="00FC1018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C1018" w:rsidP="00FC1018">
            <w:pPr>
              <w:jc w:val="center"/>
            </w:pPr>
            <w:r>
              <w:t>+</w:t>
            </w:r>
          </w:p>
        </w:tc>
        <w:tc>
          <w:tcPr>
            <w:tcW w:w="1242" w:type="dxa"/>
          </w:tcPr>
          <w:p w:rsidR="00FE4165" w:rsidRDefault="00900095" w:rsidP="00FC1018">
            <w:pPr>
              <w:jc w:val="center"/>
            </w:pPr>
            <w:r>
              <w:t>+</w:t>
            </w:r>
          </w:p>
        </w:tc>
      </w:tr>
      <w:tr w:rsidR="00FC1018" w:rsidTr="000D462D">
        <w:tc>
          <w:tcPr>
            <w:tcW w:w="2235" w:type="dxa"/>
          </w:tcPr>
          <w:p w:rsidR="00FE4165" w:rsidRDefault="00FE4165" w:rsidP="00DB2E69">
            <w:pPr>
              <w:ind w:left="284"/>
            </w:pPr>
            <w:r>
              <w:t xml:space="preserve">sh viited </w:t>
            </w:r>
            <w:proofErr w:type="spellStart"/>
            <w:r>
              <w:t>el</w:t>
            </w:r>
            <w:proofErr w:type="spellEnd"/>
            <w:r>
              <w:t xml:space="preserve"> südamehaigusele</w:t>
            </w:r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DB2E69" w:rsidP="00FC1018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242" w:type="dxa"/>
          </w:tcPr>
          <w:p w:rsidR="00FE4165" w:rsidRDefault="00FE4165" w:rsidP="00FC1018">
            <w:pPr>
              <w:jc w:val="center"/>
            </w:pPr>
          </w:p>
        </w:tc>
      </w:tr>
      <w:tr w:rsidR="00FC1018" w:rsidTr="000D462D">
        <w:tc>
          <w:tcPr>
            <w:tcW w:w="2235" w:type="dxa"/>
          </w:tcPr>
          <w:p w:rsidR="00FE4165" w:rsidRDefault="00FE4165" w:rsidP="00DB2E69">
            <w:pPr>
              <w:ind w:left="284"/>
            </w:pPr>
            <w:r>
              <w:lastRenderedPageBreak/>
              <w:t xml:space="preserve">sh </w:t>
            </w:r>
            <w:proofErr w:type="spellStart"/>
            <w:r>
              <w:t>juhtehäired</w:t>
            </w:r>
            <w:proofErr w:type="spellEnd"/>
            <w:r>
              <w:t xml:space="preserve">, mis </w:t>
            </w:r>
            <w:proofErr w:type="spellStart"/>
            <w:r>
              <w:t>mõjut</w:t>
            </w:r>
            <w:proofErr w:type="spellEnd"/>
            <w:r>
              <w:t xml:space="preserve"> ravi</w:t>
            </w:r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DB2E69" w:rsidP="00FC1018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C1018" w:rsidP="00FC1018">
            <w:pPr>
              <w:jc w:val="center"/>
            </w:pPr>
            <w:r>
              <w:t>+</w:t>
            </w:r>
          </w:p>
        </w:tc>
        <w:tc>
          <w:tcPr>
            <w:tcW w:w="1242" w:type="dxa"/>
          </w:tcPr>
          <w:p w:rsidR="00FE4165" w:rsidRDefault="00900095" w:rsidP="00FC1018">
            <w:pPr>
              <w:jc w:val="center"/>
            </w:pPr>
            <w:r>
              <w:t>+</w:t>
            </w:r>
          </w:p>
        </w:tc>
      </w:tr>
      <w:tr w:rsidR="00FC1018" w:rsidTr="000D462D">
        <w:tc>
          <w:tcPr>
            <w:tcW w:w="2235" w:type="dxa"/>
          </w:tcPr>
          <w:p w:rsidR="00FE4165" w:rsidRDefault="00FE4165" w:rsidP="00FE4165">
            <w:proofErr w:type="spellStart"/>
            <w:r>
              <w:t>Transtorakaalne</w:t>
            </w:r>
            <w:proofErr w:type="spellEnd"/>
            <w:r>
              <w:t xml:space="preserve"> </w:t>
            </w:r>
            <w:proofErr w:type="spellStart"/>
            <w:r>
              <w:t>ehhokardiograafia</w:t>
            </w:r>
            <w:proofErr w:type="spellEnd"/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DB2E69" w:rsidP="00FC1018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242" w:type="dxa"/>
          </w:tcPr>
          <w:p w:rsidR="00FE4165" w:rsidRDefault="00900095" w:rsidP="00FC1018">
            <w:pPr>
              <w:jc w:val="center"/>
            </w:pPr>
            <w:r>
              <w:t>+</w:t>
            </w:r>
          </w:p>
        </w:tc>
      </w:tr>
      <w:tr w:rsidR="00FC1018" w:rsidTr="000D462D">
        <w:tc>
          <w:tcPr>
            <w:tcW w:w="2235" w:type="dxa"/>
          </w:tcPr>
          <w:p w:rsidR="00FE4165" w:rsidRDefault="00FE4165">
            <w:r>
              <w:t>Kliiniline vereanalüüs</w:t>
            </w:r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C1018" w:rsidP="00FC1018">
            <w:pPr>
              <w:jc w:val="center"/>
            </w:pPr>
            <w:r>
              <w:t>+</w:t>
            </w:r>
          </w:p>
        </w:tc>
        <w:tc>
          <w:tcPr>
            <w:tcW w:w="1242" w:type="dxa"/>
          </w:tcPr>
          <w:p w:rsidR="00FE4165" w:rsidRDefault="00900095" w:rsidP="00FC1018">
            <w:pPr>
              <w:jc w:val="center"/>
            </w:pPr>
            <w:r>
              <w:t>+</w:t>
            </w:r>
          </w:p>
        </w:tc>
      </w:tr>
      <w:tr w:rsidR="00900095" w:rsidTr="000D462D">
        <w:tc>
          <w:tcPr>
            <w:tcW w:w="2235" w:type="dxa"/>
          </w:tcPr>
          <w:p w:rsidR="00FC1018" w:rsidRDefault="00FC1018">
            <w:r>
              <w:t>Na, K</w:t>
            </w:r>
          </w:p>
        </w:tc>
        <w:tc>
          <w:tcPr>
            <w:tcW w:w="2133" w:type="dxa"/>
          </w:tcPr>
          <w:p w:rsidR="00FC1018" w:rsidRDefault="00FC1018" w:rsidP="00FC1018">
            <w:pPr>
              <w:jc w:val="center"/>
            </w:pPr>
          </w:p>
        </w:tc>
        <w:tc>
          <w:tcPr>
            <w:tcW w:w="843" w:type="dxa"/>
          </w:tcPr>
          <w:p w:rsidR="00FC1018" w:rsidRDefault="00FC1018" w:rsidP="00FC1018">
            <w:pPr>
              <w:jc w:val="center"/>
            </w:pPr>
          </w:p>
        </w:tc>
        <w:tc>
          <w:tcPr>
            <w:tcW w:w="1418" w:type="dxa"/>
          </w:tcPr>
          <w:p w:rsidR="00FC1018" w:rsidRDefault="00FC1018" w:rsidP="00FC1018">
            <w:pPr>
              <w:jc w:val="center"/>
            </w:pPr>
          </w:p>
        </w:tc>
        <w:tc>
          <w:tcPr>
            <w:tcW w:w="1417" w:type="dxa"/>
          </w:tcPr>
          <w:p w:rsidR="00FC1018" w:rsidRDefault="00FC1018" w:rsidP="00FC1018">
            <w:pPr>
              <w:jc w:val="center"/>
            </w:pPr>
            <w:r>
              <w:t>+</w:t>
            </w:r>
          </w:p>
        </w:tc>
        <w:tc>
          <w:tcPr>
            <w:tcW w:w="1242" w:type="dxa"/>
          </w:tcPr>
          <w:p w:rsidR="00FC1018" w:rsidRDefault="00900095" w:rsidP="00FC1018">
            <w:pPr>
              <w:jc w:val="center"/>
            </w:pPr>
            <w:r>
              <w:t>+</w:t>
            </w:r>
          </w:p>
        </w:tc>
      </w:tr>
      <w:tr w:rsidR="00FC1018" w:rsidTr="000D462D">
        <w:tc>
          <w:tcPr>
            <w:tcW w:w="2235" w:type="dxa"/>
          </w:tcPr>
          <w:p w:rsidR="00FE4165" w:rsidRDefault="00FE4165">
            <w:r>
              <w:t xml:space="preserve">Neerufunktsiooni </w:t>
            </w:r>
            <w:proofErr w:type="spellStart"/>
            <w:r>
              <w:t>anal-d</w:t>
            </w:r>
            <w:proofErr w:type="spellEnd"/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DB2E69" w:rsidP="00FC1018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C1018" w:rsidP="00FC1018">
            <w:pPr>
              <w:jc w:val="center"/>
            </w:pPr>
            <w:r>
              <w:t>+</w:t>
            </w:r>
          </w:p>
        </w:tc>
        <w:tc>
          <w:tcPr>
            <w:tcW w:w="1242" w:type="dxa"/>
          </w:tcPr>
          <w:p w:rsidR="00FE4165" w:rsidRDefault="00900095" w:rsidP="00FC1018">
            <w:pPr>
              <w:jc w:val="center"/>
            </w:pPr>
            <w:r>
              <w:t>+</w:t>
            </w:r>
          </w:p>
        </w:tc>
      </w:tr>
      <w:tr w:rsidR="00FC1018" w:rsidTr="000D462D">
        <w:tc>
          <w:tcPr>
            <w:tcW w:w="2235" w:type="dxa"/>
          </w:tcPr>
          <w:p w:rsidR="00FE4165" w:rsidRDefault="00FE4165">
            <w:r>
              <w:t>Hüübivusnäitajad</w:t>
            </w:r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242" w:type="dxa"/>
          </w:tcPr>
          <w:p w:rsidR="00FE4165" w:rsidRDefault="00FE4165" w:rsidP="00FC1018">
            <w:pPr>
              <w:jc w:val="center"/>
            </w:pPr>
          </w:p>
        </w:tc>
      </w:tr>
      <w:tr w:rsidR="00FC1018" w:rsidTr="000D462D">
        <w:tc>
          <w:tcPr>
            <w:tcW w:w="2235" w:type="dxa"/>
          </w:tcPr>
          <w:p w:rsidR="00FE4165" w:rsidRDefault="00FE4165">
            <w:r>
              <w:t xml:space="preserve">Kilpnäärme </w:t>
            </w:r>
            <w:proofErr w:type="spellStart"/>
            <w:r>
              <w:t>funkts</w:t>
            </w:r>
            <w:proofErr w:type="spellEnd"/>
            <w:r>
              <w:t xml:space="preserve"> </w:t>
            </w:r>
            <w:proofErr w:type="spellStart"/>
            <w:r>
              <w:t>anal-d</w:t>
            </w:r>
            <w:proofErr w:type="spellEnd"/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DB2E69" w:rsidP="00FC1018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C1018" w:rsidP="00FC1018">
            <w:pPr>
              <w:jc w:val="center"/>
            </w:pPr>
            <w:r>
              <w:t>+</w:t>
            </w:r>
          </w:p>
        </w:tc>
        <w:tc>
          <w:tcPr>
            <w:tcW w:w="1242" w:type="dxa"/>
          </w:tcPr>
          <w:p w:rsidR="00FE4165" w:rsidRDefault="00900095" w:rsidP="00FC1018">
            <w:pPr>
              <w:jc w:val="center"/>
            </w:pPr>
            <w:r>
              <w:t>+</w:t>
            </w:r>
          </w:p>
        </w:tc>
      </w:tr>
      <w:tr w:rsidR="00FC1018" w:rsidTr="000D462D">
        <w:tc>
          <w:tcPr>
            <w:tcW w:w="2235" w:type="dxa"/>
          </w:tcPr>
          <w:p w:rsidR="00FE4165" w:rsidRDefault="00FE4165">
            <w:proofErr w:type="spellStart"/>
            <w:r>
              <w:t>Maksafunkts</w:t>
            </w:r>
            <w:proofErr w:type="spellEnd"/>
            <w:r>
              <w:t xml:space="preserve"> </w:t>
            </w:r>
            <w:proofErr w:type="spellStart"/>
            <w:r>
              <w:t>anal-d</w:t>
            </w:r>
            <w:proofErr w:type="spellEnd"/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DB2E69" w:rsidP="00FC1018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242" w:type="dxa"/>
          </w:tcPr>
          <w:p w:rsidR="00FE4165" w:rsidRDefault="00FE4165" w:rsidP="00FC1018">
            <w:pPr>
              <w:jc w:val="center"/>
            </w:pPr>
          </w:p>
        </w:tc>
      </w:tr>
      <w:tr w:rsidR="00FC1018" w:rsidTr="000D462D">
        <w:tc>
          <w:tcPr>
            <w:tcW w:w="2235" w:type="dxa"/>
          </w:tcPr>
          <w:p w:rsidR="00FE4165" w:rsidRDefault="00FE4165">
            <w:r>
              <w:t>Lipiidiprofiil</w:t>
            </w:r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C1018" w:rsidP="00FC1018">
            <w:pPr>
              <w:jc w:val="center"/>
            </w:pPr>
            <w:r>
              <w:t>+</w:t>
            </w:r>
          </w:p>
        </w:tc>
        <w:tc>
          <w:tcPr>
            <w:tcW w:w="1242" w:type="dxa"/>
          </w:tcPr>
          <w:p w:rsidR="00FE4165" w:rsidRDefault="00FE4165" w:rsidP="00FC1018">
            <w:pPr>
              <w:jc w:val="center"/>
            </w:pPr>
          </w:p>
        </w:tc>
      </w:tr>
      <w:tr w:rsidR="00FC1018" w:rsidTr="000D462D">
        <w:tc>
          <w:tcPr>
            <w:tcW w:w="2235" w:type="dxa"/>
          </w:tcPr>
          <w:p w:rsidR="00FE4165" w:rsidRDefault="00FE4165" w:rsidP="00FE4165">
            <w:r>
              <w:t>Paastuglükoos</w:t>
            </w:r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C1018" w:rsidP="00FC1018">
            <w:pPr>
              <w:jc w:val="center"/>
            </w:pPr>
            <w:r>
              <w:t>+</w:t>
            </w:r>
          </w:p>
        </w:tc>
        <w:tc>
          <w:tcPr>
            <w:tcW w:w="1242" w:type="dxa"/>
          </w:tcPr>
          <w:p w:rsidR="00FE4165" w:rsidRDefault="00FE4165" w:rsidP="00FC1018">
            <w:pPr>
              <w:jc w:val="center"/>
            </w:pPr>
          </w:p>
        </w:tc>
      </w:tr>
      <w:tr w:rsidR="00900095" w:rsidTr="000D462D">
        <w:tc>
          <w:tcPr>
            <w:tcW w:w="2235" w:type="dxa"/>
          </w:tcPr>
          <w:p w:rsidR="00FC1018" w:rsidRDefault="00FC1018" w:rsidP="00FE4165">
            <w:r>
              <w:t>Uriinianalüüs</w:t>
            </w:r>
          </w:p>
        </w:tc>
        <w:tc>
          <w:tcPr>
            <w:tcW w:w="2133" w:type="dxa"/>
          </w:tcPr>
          <w:p w:rsidR="00FC1018" w:rsidRDefault="00FC1018" w:rsidP="00FC1018">
            <w:pPr>
              <w:jc w:val="center"/>
            </w:pPr>
          </w:p>
        </w:tc>
        <w:tc>
          <w:tcPr>
            <w:tcW w:w="843" w:type="dxa"/>
          </w:tcPr>
          <w:p w:rsidR="00FC1018" w:rsidRDefault="00FC1018" w:rsidP="00FC1018">
            <w:pPr>
              <w:jc w:val="center"/>
            </w:pPr>
          </w:p>
        </w:tc>
        <w:tc>
          <w:tcPr>
            <w:tcW w:w="1418" w:type="dxa"/>
          </w:tcPr>
          <w:p w:rsidR="00FC1018" w:rsidRDefault="00FC1018" w:rsidP="00FC1018">
            <w:pPr>
              <w:jc w:val="center"/>
            </w:pPr>
          </w:p>
        </w:tc>
        <w:tc>
          <w:tcPr>
            <w:tcW w:w="1417" w:type="dxa"/>
          </w:tcPr>
          <w:p w:rsidR="00FC1018" w:rsidRDefault="00FC1018" w:rsidP="00FC1018">
            <w:pPr>
              <w:jc w:val="center"/>
            </w:pPr>
            <w:r>
              <w:t>+</w:t>
            </w:r>
          </w:p>
        </w:tc>
        <w:tc>
          <w:tcPr>
            <w:tcW w:w="1242" w:type="dxa"/>
          </w:tcPr>
          <w:p w:rsidR="00FC1018" w:rsidRDefault="00FC1018" w:rsidP="00FC1018">
            <w:pPr>
              <w:jc w:val="center"/>
            </w:pPr>
          </w:p>
        </w:tc>
      </w:tr>
      <w:tr w:rsidR="00FC1018" w:rsidTr="000D462D">
        <w:tc>
          <w:tcPr>
            <w:tcW w:w="2235" w:type="dxa"/>
          </w:tcPr>
          <w:p w:rsidR="00FE4165" w:rsidRDefault="00FE4165">
            <w:r>
              <w:t>Trombemboolia risk</w:t>
            </w:r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8" w:type="dxa"/>
          </w:tcPr>
          <w:p w:rsidR="00FE4165" w:rsidRDefault="00FC1018" w:rsidP="00FC1018">
            <w:pPr>
              <w:jc w:val="center"/>
            </w:pPr>
            <w:r>
              <w:t>+</w:t>
            </w:r>
          </w:p>
        </w:tc>
        <w:tc>
          <w:tcPr>
            <w:tcW w:w="1417" w:type="dxa"/>
          </w:tcPr>
          <w:p w:rsidR="00FE4165" w:rsidRDefault="00FC1018" w:rsidP="00FC1018">
            <w:pPr>
              <w:jc w:val="center"/>
            </w:pPr>
            <w:r>
              <w:t>+</w:t>
            </w:r>
          </w:p>
        </w:tc>
        <w:tc>
          <w:tcPr>
            <w:tcW w:w="1242" w:type="dxa"/>
          </w:tcPr>
          <w:p w:rsidR="00FE4165" w:rsidRDefault="00900095" w:rsidP="00FC1018">
            <w:pPr>
              <w:jc w:val="center"/>
            </w:pPr>
            <w:r>
              <w:t>+</w:t>
            </w:r>
          </w:p>
        </w:tc>
      </w:tr>
      <w:tr w:rsidR="00FC1018" w:rsidTr="000D462D">
        <w:tc>
          <w:tcPr>
            <w:tcW w:w="2235" w:type="dxa"/>
          </w:tcPr>
          <w:p w:rsidR="00FE4165" w:rsidRDefault="00FE4165" w:rsidP="00FE4165">
            <w:r>
              <w:t>Varasem ravi</w:t>
            </w:r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C1018" w:rsidP="00FC1018">
            <w:pPr>
              <w:jc w:val="center"/>
            </w:pPr>
            <w:r>
              <w:t>+</w:t>
            </w:r>
          </w:p>
        </w:tc>
        <w:tc>
          <w:tcPr>
            <w:tcW w:w="1242" w:type="dxa"/>
          </w:tcPr>
          <w:p w:rsidR="00FE4165" w:rsidRDefault="00FE4165" w:rsidP="00FC1018">
            <w:pPr>
              <w:jc w:val="center"/>
            </w:pPr>
          </w:p>
        </w:tc>
      </w:tr>
      <w:tr w:rsidR="00FC1018" w:rsidTr="000D462D">
        <w:tc>
          <w:tcPr>
            <w:tcW w:w="2235" w:type="dxa"/>
          </w:tcPr>
          <w:p w:rsidR="00FE4165" w:rsidRDefault="00FE4165" w:rsidP="00DB2E69">
            <w:pPr>
              <w:ind w:left="708" w:hanging="424"/>
            </w:pPr>
            <w:r>
              <w:t>sh efektiivsus</w:t>
            </w:r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242" w:type="dxa"/>
          </w:tcPr>
          <w:p w:rsidR="00FE4165" w:rsidRDefault="00FE4165" w:rsidP="00FC1018">
            <w:pPr>
              <w:jc w:val="center"/>
            </w:pPr>
          </w:p>
        </w:tc>
      </w:tr>
      <w:tr w:rsidR="00FC1018" w:rsidTr="000D462D">
        <w:tc>
          <w:tcPr>
            <w:tcW w:w="2235" w:type="dxa"/>
          </w:tcPr>
          <w:p w:rsidR="00FE4165" w:rsidRDefault="00FE4165" w:rsidP="00DB2E69">
            <w:pPr>
              <w:ind w:left="708" w:hanging="424"/>
            </w:pPr>
            <w:r>
              <w:t>sh kõrvaltoimed</w:t>
            </w:r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242" w:type="dxa"/>
          </w:tcPr>
          <w:p w:rsidR="00FE4165" w:rsidRDefault="00FE4165" w:rsidP="00FC1018">
            <w:pPr>
              <w:jc w:val="center"/>
            </w:pPr>
          </w:p>
        </w:tc>
      </w:tr>
      <w:tr w:rsidR="000D462D" w:rsidTr="000D462D">
        <w:tc>
          <w:tcPr>
            <w:tcW w:w="2235" w:type="dxa"/>
            <w:shd w:val="clear" w:color="auto" w:fill="DBE5F1" w:themeFill="accent1" w:themeFillTint="33"/>
          </w:tcPr>
          <w:p w:rsidR="00FE4165" w:rsidRPr="00FE4165" w:rsidRDefault="00FE4165">
            <w:pPr>
              <w:rPr>
                <w:b/>
              </w:rPr>
            </w:pPr>
            <w:r w:rsidRPr="00FE4165">
              <w:rPr>
                <w:b/>
              </w:rPr>
              <w:t>Lisauuringud juhupõhiselt</w:t>
            </w:r>
          </w:p>
        </w:tc>
        <w:tc>
          <w:tcPr>
            <w:tcW w:w="2133" w:type="dxa"/>
            <w:shd w:val="clear" w:color="auto" w:fill="DBE5F1" w:themeFill="accent1" w:themeFillTint="33"/>
          </w:tcPr>
          <w:p w:rsidR="00FE4165" w:rsidRDefault="00DB2E69" w:rsidP="00FC1018">
            <w:pPr>
              <w:jc w:val="center"/>
            </w:pPr>
            <w:r w:rsidRPr="00DB2E69">
              <w:t>Tugev soovitus, madala kvaliteediga tõendus</w:t>
            </w:r>
          </w:p>
        </w:tc>
        <w:tc>
          <w:tcPr>
            <w:tcW w:w="843" w:type="dxa"/>
            <w:shd w:val="clear" w:color="auto" w:fill="DBE5F1" w:themeFill="accent1" w:themeFillTint="33"/>
          </w:tcPr>
          <w:p w:rsidR="00FE4165" w:rsidRDefault="00FE4165" w:rsidP="00FC1018">
            <w:pPr>
              <w:jc w:val="center"/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:rsidR="00FE4165" w:rsidRDefault="00FE4165" w:rsidP="00FC1018">
            <w:pPr>
              <w:jc w:val="center"/>
            </w:pPr>
          </w:p>
        </w:tc>
        <w:tc>
          <w:tcPr>
            <w:tcW w:w="1242" w:type="dxa"/>
            <w:shd w:val="clear" w:color="auto" w:fill="DBE5F1" w:themeFill="accent1" w:themeFillTint="33"/>
          </w:tcPr>
          <w:p w:rsidR="00FE4165" w:rsidRDefault="00FE4165" w:rsidP="00FC1018">
            <w:pPr>
              <w:jc w:val="center"/>
            </w:pPr>
          </w:p>
        </w:tc>
      </w:tr>
      <w:tr w:rsidR="00FC1018" w:rsidTr="000D462D">
        <w:tc>
          <w:tcPr>
            <w:tcW w:w="2235" w:type="dxa"/>
          </w:tcPr>
          <w:p w:rsidR="00FE4165" w:rsidRDefault="00FE4165">
            <w:r>
              <w:t xml:space="preserve">Rindkere </w:t>
            </w:r>
            <w:proofErr w:type="spellStart"/>
            <w:r>
              <w:t>rö</w:t>
            </w:r>
            <w:proofErr w:type="spellEnd"/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DB2E69" w:rsidP="00FC1018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C1018" w:rsidP="00FC1018">
            <w:pPr>
              <w:jc w:val="center"/>
            </w:pPr>
            <w:r>
              <w:t>+</w:t>
            </w:r>
          </w:p>
        </w:tc>
        <w:tc>
          <w:tcPr>
            <w:tcW w:w="1242" w:type="dxa"/>
          </w:tcPr>
          <w:p w:rsidR="00FE4165" w:rsidRDefault="00FE4165" w:rsidP="00FC1018">
            <w:pPr>
              <w:jc w:val="center"/>
            </w:pPr>
          </w:p>
        </w:tc>
      </w:tr>
      <w:tr w:rsidR="00FC1018" w:rsidTr="000D462D">
        <w:tc>
          <w:tcPr>
            <w:tcW w:w="2235" w:type="dxa"/>
          </w:tcPr>
          <w:p w:rsidR="00FE4165" w:rsidRDefault="00FE4165">
            <w:r>
              <w:t>Amb rütmijälgimine</w:t>
            </w:r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DB2E69" w:rsidP="00FC1018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C1018" w:rsidP="00FC1018">
            <w:pPr>
              <w:jc w:val="center"/>
            </w:pPr>
            <w:r>
              <w:t>+</w:t>
            </w:r>
          </w:p>
        </w:tc>
        <w:tc>
          <w:tcPr>
            <w:tcW w:w="1242" w:type="dxa"/>
          </w:tcPr>
          <w:p w:rsidR="00FE4165" w:rsidRDefault="00900095" w:rsidP="00FC1018">
            <w:pPr>
              <w:jc w:val="center"/>
            </w:pPr>
            <w:r>
              <w:t>+</w:t>
            </w:r>
          </w:p>
        </w:tc>
      </w:tr>
      <w:tr w:rsidR="00900095" w:rsidTr="000D462D">
        <w:tc>
          <w:tcPr>
            <w:tcW w:w="2235" w:type="dxa"/>
          </w:tcPr>
          <w:p w:rsidR="00DB2E69" w:rsidRDefault="00DB2E69">
            <w:r>
              <w:t xml:space="preserve">6 min </w:t>
            </w:r>
            <w:proofErr w:type="spellStart"/>
            <w:r>
              <w:t>kõnnitest</w:t>
            </w:r>
            <w:proofErr w:type="spellEnd"/>
          </w:p>
        </w:tc>
        <w:tc>
          <w:tcPr>
            <w:tcW w:w="2133" w:type="dxa"/>
          </w:tcPr>
          <w:p w:rsidR="00DB2E69" w:rsidRDefault="00DB2E69" w:rsidP="00FC1018">
            <w:pPr>
              <w:jc w:val="center"/>
            </w:pPr>
          </w:p>
        </w:tc>
        <w:tc>
          <w:tcPr>
            <w:tcW w:w="843" w:type="dxa"/>
          </w:tcPr>
          <w:p w:rsidR="00DB2E69" w:rsidRDefault="00DB2E69" w:rsidP="00FC1018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DB2E69" w:rsidRDefault="00DB2E69" w:rsidP="00FC1018">
            <w:pPr>
              <w:jc w:val="center"/>
            </w:pPr>
          </w:p>
        </w:tc>
        <w:tc>
          <w:tcPr>
            <w:tcW w:w="1417" w:type="dxa"/>
          </w:tcPr>
          <w:p w:rsidR="00DB2E69" w:rsidRDefault="00DB2E69" w:rsidP="00FC1018">
            <w:pPr>
              <w:jc w:val="center"/>
            </w:pPr>
          </w:p>
        </w:tc>
        <w:tc>
          <w:tcPr>
            <w:tcW w:w="1242" w:type="dxa"/>
          </w:tcPr>
          <w:p w:rsidR="00DB2E69" w:rsidRDefault="00DB2E69" w:rsidP="00FC1018">
            <w:pPr>
              <w:jc w:val="center"/>
            </w:pPr>
          </w:p>
        </w:tc>
      </w:tr>
      <w:tr w:rsidR="00FC1018" w:rsidTr="000D462D">
        <w:tc>
          <w:tcPr>
            <w:tcW w:w="2235" w:type="dxa"/>
          </w:tcPr>
          <w:p w:rsidR="00FE4165" w:rsidRDefault="00FE4165">
            <w:r>
              <w:t>EKG koormustest</w:t>
            </w:r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DB2E69" w:rsidP="00FC1018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C1018" w:rsidP="00FC1018">
            <w:pPr>
              <w:jc w:val="center"/>
            </w:pPr>
            <w:r>
              <w:t>+</w:t>
            </w:r>
          </w:p>
        </w:tc>
        <w:tc>
          <w:tcPr>
            <w:tcW w:w="1242" w:type="dxa"/>
          </w:tcPr>
          <w:p w:rsidR="00FE4165" w:rsidRDefault="00900095" w:rsidP="00FC1018">
            <w:pPr>
              <w:jc w:val="center"/>
            </w:pPr>
            <w:r>
              <w:t>+</w:t>
            </w:r>
          </w:p>
        </w:tc>
      </w:tr>
      <w:tr w:rsidR="00900095" w:rsidTr="000D462D">
        <w:tc>
          <w:tcPr>
            <w:tcW w:w="2235" w:type="dxa"/>
          </w:tcPr>
          <w:p w:rsidR="00900095" w:rsidRDefault="00900095">
            <w:r>
              <w:t>SKG</w:t>
            </w:r>
          </w:p>
        </w:tc>
        <w:tc>
          <w:tcPr>
            <w:tcW w:w="2133" w:type="dxa"/>
          </w:tcPr>
          <w:p w:rsidR="00900095" w:rsidRDefault="00900095" w:rsidP="00FC1018">
            <w:pPr>
              <w:jc w:val="center"/>
            </w:pPr>
          </w:p>
        </w:tc>
        <w:tc>
          <w:tcPr>
            <w:tcW w:w="843" w:type="dxa"/>
          </w:tcPr>
          <w:p w:rsidR="00900095" w:rsidRDefault="00900095" w:rsidP="00FC1018">
            <w:pPr>
              <w:jc w:val="center"/>
            </w:pPr>
          </w:p>
        </w:tc>
        <w:tc>
          <w:tcPr>
            <w:tcW w:w="1418" w:type="dxa"/>
          </w:tcPr>
          <w:p w:rsidR="00900095" w:rsidRDefault="00900095" w:rsidP="00FC1018">
            <w:pPr>
              <w:jc w:val="center"/>
            </w:pPr>
          </w:p>
        </w:tc>
        <w:tc>
          <w:tcPr>
            <w:tcW w:w="1417" w:type="dxa"/>
          </w:tcPr>
          <w:p w:rsidR="00900095" w:rsidRDefault="00900095" w:rsidP="00FC1018">
            <w:pPr>
              <w:jc w:val="center"/>
            </w:pPr>
          </w:p>
        </w:tc>
        <w:tc>
          <w:tcPr>
            <w:tcW w:w="1242" w:type="dxa"/>
          </w:tcPr>
          <w:p w:rsidR="00900095" w:rsidRDefault="00900095" w:rsidP="00FC1018">
            <w:pPr>
              <w:jc w:val="center"/>
            </w:pPr>
            <w:r>
              <w:t>+</w:t>
            </w:r>
          </w:p>
        </w:tc>
      </w:tr>
      <w:tr w:rsidR="00900095" w:rsidTr="000D462D">
        <w:tc>
          <w:tcPr>
            <w:tcW w:w="2235" w:type="dxa"/>
          </w:tcPr>
          <w:p w:rsidR="00900095" w:rsidRDefault="00900095">
            <w:r>
              <w:t>Pea KT</w:t>
            </w:r>
          </w:p>
        </w:tc>
        <w:tc>
          <w:tcPr>
            <w:tcW w:w="2133" w:type="dxa"/>
          </w:tcPr>
          <w:p w:rsidR="00900095" w:rsidRDefault="00900095" w:rsidP="00FC1018">
            <w:pPr>
              <w:jc w:val="center"/>
            </w:pPr>
          </w:p>
        </w:tc>
        <w:tc>
          <w:tcPr>
            <w:tcW w:w="843" w:type="dxa"/>
          </w:tcPr>
          <w:p w:rsidR="00900095" w:rsidRDefault="00900095" w:rsidP="00FC1018">
            <w:pPr>
              <w:jc w:val="center"/>
            </w:pPr>
          </w:p>
        </w:tc>
        <w:tc>
          <w:tcPr>
            <w:tcW w:w="1418" w:type="dxa"/>
          </w:tcPr>
          <w:p w:rsidR="00900095" w:rsidRDefault="00900095" w:rsidP="00FC1018">
            <w:pPr>
              <w:jc w:val="center"/>
            </w:pPr>
          </w:p>
        </w:tc>
        <w:tc>
          <w:tcPr>
            <w:tcW w:w="1417" w:type="dxa"/>
          </w:tcPr>
          <w:p w:rsidR="00900095" w:rsidRDefault="00900095" w:rsidP="00FC1018">
            <w:pPr>
              <w:jc w:val="center"/>
            </w:pPr>
          </w:p>
        </w:tc>
        <w:tc>
          <w:tcPr>
            <w:tcW w:w="1242" w:type="dxa"/>
          </w:tcPr>
          <w:p w:rsidR="00900095" w:rsidRDefault="00900095" w:rsidP="00FC1018">
            <w:pPr>
              <w:jc w:val="center"/>
            </w:pPr>
            <w:r>
              <w:t>+</w:t>
            </w:r>
          </w:p>
        </w:tc>
      </w:tr>
      <w:tr w:rsidR="00900095" w:rsidTr="000D462D">
        <w:tc>
          <w:tcPr>
            <w:tcW w:w="2235" w:type="dxa"/>
          </w:tcPr>
          <w:p w:rsidR="00900095" w:rsidRDefault="00900095">
            <w:r>
              <w:t>Pea MRT</w:t>
            </w:r>
          </w:p>
        </w:tc>
        <w:tc>
          <w:tcPr>
            <w:tcW w:w="2133" w:type="dxa"/>
          </w:tcPr>
          <w:p w:rsidR="00900095" w:rsidRDefault="00900095" w:rsidP="00FC1018">
            <w:pPr>
              <w:jc w:val="center"/>
            </w:pPr>
          </w:p>
        </w:tc>
        <w:tc>
          <w:tcPr>
            <w:tcW w:w="843" w:type="dxa"/>
          </w:tcPr>
          <w:p w:rsidR="00900095" w:rsidRDefault="00900095" w:rsidP="00FC1018">
            <w:pPr>
              <w:jc w:val="center"/>
            </w:pPr>
          </w:p>
        </w:tc>
        <w:tc>
          <w:tcPr>
            <w:tcW w:w="1418" w:type="dxa"/>
          </w:tcPr>
          <w:p w:rsidR="00900095" w:rsidRDefault="00900095" w:rsidP="00FC1018">
            <w:pPr>
              <w:jc w:val="center"/>
            </w:pPr>
          </w:p>
        </w:tc>
        <w:tc>
          <w:tcPr>
            <w:tcW w:w="1417" w:type="dxa"/>
          </w:tcPr>
          <w:p w:rsidR="00900095" w:rsidRDefault="00900095" w:rsidP="00FC1018">
            <w:pPr>
              <w:jc w:val="center"/>
            </w:pPr>
          </w:p>
        </w:tc>
        <w:tc>
          <w:tcPr>
            <w:tcW w:w="1242" w:type="dxa"/>
          </w:tcPr>
          <w:p w:rsidR="00900095" w:rsidRDefault="00900095" w:rsidP="00FC1018">
            <w:pPr>
              <w:jc w:val="center"/>
            </w:pPr>
            <w:r>
              <w:t>+</w:t>
            </w:r>
          </w:p>
        </w:tc>
      </w:tr>
      <w:tr w:rsidR="00900095" w:rsidTr="000D462D">
        <w:tc>
          <w:tcPr>
            <w:tcW w:w="2235" w:type="dxa"/>
          </w:tcPr>
          <w:p w:rsidR="00DB2E69" w:rsidRDefault="00FC1018">
            <w:proofErr w:type="spellStart"/>
            <w:r>
              <w:t>Transtorakaalne</w:t>
            </w:r>
            <w:proofErr w:type="spellEnd"/>
            <w:r>
              <w:t xml:space="preserve"> </w:t>
            </w:r>
            <w:proofErr w:type="spellStart"/>
            <w:r>
              <w:t>ehhokardiograafia</w:t>
            </w:r>
            <w:proofErr w:type="spellEnd"/>
          </w:p>
        </w:tc>
        <w:tc>
          <w:tcPr>
            <w:tcW w:w="2133" w:type="dxa"/>
          </w:tcPr>
          <w:p w:rsidR="00DB2E69" w:rsidRDefault="00DB2E69" w:rsidP="00FC1018">
            <w:pPr>
              <w:jc w:val="center"/>
            </w:pPr>
          </w:p>
        </w:tc>
        <w:tc>
          <w:tcPr>
            <w:tcW w:w="843" w:type="dxa"/>
          </w:tcPr>
          <w:p w:rsidR="00DB2E69" w:rsidRDefault="00DB2E69" w:rsidP="00FC1018">
            <w:pPr>
              <w:jc w:val="center"/>
            </w:pPr>
          </w:p>
        </w:tc>
        <w:tc>
          <w:tcPr>
            <w:tcW w:w="1418" w:type="dxa"/>
          </w:tcPr>
          <w:p w:rsidR="000D462D" w:rsidRDefault="00FC1018" w:rsidP="00FC1018">
            <w:pPr>
              <w:jc w:val="center"/>
            </w:pPr>
            <w:r>
              <w:t>+</w:t>
            </w:r>
            <w:r w:rsidR="00900095">
              <w:t xml:space="preserve"> </w:t>
            </w:r>
            <w:r w:rsidR="00C1289D">
              <w:t>*</w:t>
            </w:r>
          </w:p>
          <w:p w:rsidR="00DB2E69" w:rsidRDefault="00DB2E69" w:rsidP="00FC1018">
            <w:pPr>
              <w:jc w:val="center"/>
            </w:pPr>
          </w:p>
        </w:tc>
        <w:tc>
          <w:tcPr>
            <w:tcW w:w="1417" w:type="dxa"/>
          </w:tcPr>
          <w:p w:rsidR="000D462D" w:rsidRDefault="00FC1018" w:rsidP="00FC1018">
            <w:pPr>
              <w:jc w:val="center"/>
            </w:pPr>
            <w:r>
              <w:t>+</w:t>
            </w:r>
            <w:r w:rsidR="00900095">
              <w:t xml:space="preserve"> </w:t>
            </w:r>
          </w:p>
          <w:p w:rsidR="00DB2E69" w:rsidRDefault="00900095" w:rsidP="00FC1018">
            <w:pPr>
              <w:jc w:val="center"/>
            </w:pPr>
            <w:r>
              <w:t>rütmi</w:t>
            </w:r>
            <w:r w:rsidR="000D462D">
              <w:t>-</w:t>
            </w:r>
            <w:r>
              <w:t>kontrolli eel</w:t>
            </w:r>
          </w:p>
        </w:tc>
        <w:tc>
          <w:tcPr>
            <w:tcW w:w="1242" w:type="dxa"/>
          </w:tcPr>
          <w:p w:rsidR="00DB2E69" w:rsidRDefault="00DB2E69" w:rsidP="00FC1018">
            <w:pPr>
              <w:jc w:val="center"/>
            </w:pPr>
          </w:p>
        </w:tc>
      </w:tr>
      <w:tr w:rsidR="00FC1018" w:rsidTr="000D462D">
        <w:tc>
          <w:tcPr>
            <w:tcW w:w="2235" w:type="dxa"/>
          </w:tcPr>
          <w:p w:rsidR="00FE4165" w:rsidRDefault="00FE4165">
            <w:r>
              <w:t>TÖE</w:t>
            </w:r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DB2E69" w:rsidP="00FC1018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C1018" w:rsidP="00FC1018">
            <w:pPr>
              <w:tabs>
                <w:tab w:val="left" w:pos="568"/>
              </w:tabs>
              <w:jc w:val="center"/>
            </w:pPr>
            <w:r>
              <w:t>+</w:t>
            </w:r>
          </w:p>
        </w:tc>
        <w:tc>
          <w:tcPr>
            <w:tcW w:w="1242" w:type="dxa"/>
          </w:tcPr>
          <w:p w:rsidR="00FE4165" w:rsidRDefault="00900095" w:rsidP="00FC1018">
            <w:pPr>
              <w:jc w:val="center"/>
            </w:pPr>
            <w:r>
              <w:t>+</w:t>
            </w:r>
          </w:p>
        </w:tc>
      </w:tr>
      <w:tr w:rsidR="00FC1018" w:rsidTr="000D462D">
        <w:tc>
          <w:tcPr>
            <w:tcW w:w="2235" w:type="dxa"/>
          </w:tcPr>
          <w:p w:rsidR="00FE4165" w:rsidRDefault="00FE4165">
            <w:r>
              <w:t>EP uuring</w:t>
            </w:r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DB2E69" w:rsidP="00FC1018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C1018" w:rsidP="00FC1018">
            <w:pPr>
              <w:jc w:val="center"/>
            </w:pPr>
            <w:r>
              <w:t>+</w:t>
            </w:r>
          </w:p>
        </w:tc>
        <w:tc>
          <w:tcPr>
            <w:tcW w:w="1242" w:type="dxa"/>
          </w:tcPr>
          <w:p w:rsidR="00FE4165" w:rsidRDefault="00FE4165" w:rsidP="00FC1018">
            <w:pPr>
              <w:jc w:val="center"/>
            </w:pPr>
          </w:p>
        </w:tc>
      </w:tr>
      <w:tr w:rsidR="00FC1018" w:rsidTr="000D462D">
        <w:tc>
          <w:tcPr>
            <w:tcW w:w="2235" w:type="dxa"/>
          </w:tcPr>
          <w:p w:rsidR="00FE4165" w:rsidRDefault="00FE4165">
            <w:proofErr w:type="spellStart"/>
            <w:r>
              <w:t>S-Ca</w:t>
            </w:r>
            <w:proofErr w:type="spellEnd"/>
            <w:r>
              <w:t xml:space="preserve">, </w:t>
            </w:r>
            <w:proofErr w:type="spellStart"/>
            <w:r>
              <w:t>S-Mg</w:t>
            </w:r>
            <w:proofErr w:type="spellEnd"/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242" w:type="dxa"/>
          </w:tcPr>
          <w:p w:rsidR="00FE4165" w:rsidRDefault="00FE4165" w:rsidP="00FC1018">
            <w:pPr>
              <w:jc w:val="center"/>
            </w:pPr>
          </w:p>
        </w:tc>
      </w:tr>
      <w:tr w:rsidR="00FC1018" w:rsidTr="000D462D">
        <w:tc>
          <w:tcPr>
            <w:tcW w:w="2235" w:type="dxa"/>
          </w:tcPr>
          <w:p w:rsidR="00FE4165" w:rsidRDefault="00FE4165">
            <w:r>
              <w:t>Uneuuringud</w:t>
            </w:r>
          </w:p>
        </w:tc>
        <w:tc>
          <w:tcPr>
            <w:tcW w:w="2133" w:type="dxa"/>
          </w:tcPr>
          <w:p w:rsidR="00900095" w:rsidRDefault="00FE4165" w:rsidP="00900095">
            <w:pPr>
              <w:jc w:val="center"/>
            </w:pPr>
            <w:r>
              <w:t xml:space="preserve">+ </w:t>
            </w:r>
          </w:p>
          <w:p w:rsidR="00FE4165" w:rsidRDefault="00FE4165" w:rsidP="00900095">
            <w:pPr>
              <w:jc w:val="center"/>
            </w:pPr>
            <w:proofErr w:type="spellStart"/>
            <w:r>
              <w:t>pulssoksümeetria</w:t>
            </w:r>
            <w:proofErr w:type="spellEnd"/>
            <w:r>
              <w:t xml:space="preserve"> v </w:t>
            </w:r>
            <w:proofErr w:type="spellStart"/>
            <w:r>
              <w:t>polüsomnograafia</w:t>
            </w:r>
            <w:proofErr w:type="spellEnd"/>
          </w:p>
        </w:tc>
        <w:tc>
          <w:tcPr>
            <w:tcW w:w="843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242" w:type="dxa"/>
          </w:tcPr>
          <w:p w:rsidR="00FE4165" w:rsidRDefault="00FE4165" w:rsidP="00FC1018">
            <w:pPr>
              <w:jc w:val="center"/>
            </w:pPr>
          </w:p>
        </w:tc>
      </w:tr>
      <w:tr w:rsidR="00FC1018" w:rsidTr="000D462D">
        <w:tc>
          <w:tcPr>
            <w:tcW w:w="2235" w:type="dxa"/>
          </w:tcPr>
          <w:p w:rsidR="00FE4165" w:rsidRDefault="00FE4165">
            <w:r>
              <w:t>24h ABPM</w:t>
            </w:r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242" w:type="dxa"/>
          </w:tcPr>
          <w:p w:rsidR="00FE4165" w:rsidRDefault="00FE4165" w:rsidP="00FC1018">
            <w:pPr>
              <w:jc w:val="center"/>
            </w:pPr>
          </w:p>
        </w:tc>
      </w:tr>
      <w:tr w:rsidR="00FC1018" w:rsidTr="000D462D">
        <w:tc>
          <w:tcPr>
            <w:tcW w:w="2235" w:type="dxa"/>
          </w:tcPr>
          <w:p w:rsidR="00FE4165" w:rsidRDefault="00FE4165">
            <w:r>
              <w:t>Geeniuuringud</w:t>
            </w:r>
          </w:p>
        </w:tc>
        <w:tc>
          <w:tcPr>
            <w:tcW w:w="2133" w:type="dxa"/>
          </w:tcPr>
          <w:p w:rsidR="00FE4165" w:rsidRDefault="00FE4165" w:rsidP="00FC1018">
            <w:pPr>
              <w:jc w:val="center"/>
            </w:pPr>
            <w:r>
              <w:t>+</w:t>
            </w:r>
          </w:p>
        </w:tc>
        <w:tc>
          <w:tcPr>
            <w:tcW w:w="843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8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417" w:type="dxa"/>
          </w:tcPr>
          <w:p w:rsidR="00FE4165" w:rsidRDefault="00FE4165" w:rsidP="00FC1018">
            <w:pPr>
              <w:jc w:val="center"/>
            </w:pPr>
          </w:p>
        </w:tc>
        <w:tc>
          <w:tcPr>
            <w:tcW w:w="1242" w:type="dxa"/>
          </w:tcPr>
          <w:p w:rsidR="00FE4165" w:rsidRDefault="00FE4165" w:rsidP="00FC1018">
            <w:pPr>
              <w:jc w:val="center"/>
            </w:pPr>
          </w:p>
        </w:tc>
      </w:tr>
      <w:tr w:rsidR="00900095" w:rsidTr="000D462D">
        <w:tc>
          <w:tcPr>
            <w:tcW w:w="2235" w:type="dxa"/>
          </w:tcPr>
          <w:p w:rsidR="00FC1018" w:rsidRDefault="00FC1018">
            <w:r>
              <w:t>Ravile vastavad laboriuuringud</w:t>
            </w:r>
          </w:p>
        </w:tc>
        <w:tc>
          <w:tcPr>
            <w:tcW w:w="2133" w:type="dxa"/>
          </w:tcPr>
          <w:p w:rsidR="00FC1018" w:rsidRDefault="00FC1018" w:rsidP="00FC1018">
            <w:pPr>
              <w:jc w:val="center"/>
            </w:pPr>
          </w:p>
        </w:tc>
        <w:tc>
          <w:tcPr>
            <w:tcW w:w="843" w:type="dxa"/>
          </w:tcPr>
          <w:p w:rsidR="00FC1018" w:rsidRDefault="00FC1018" w:rsidP="00FC1018">
            <w:pPr>
              <w:jc w:val="center"/>
            </w:pPr>
          </w:p>
        </w:tc>
        <w:tc>
          <w:tcPr>
            <w:tcW w:w="1418" w:type="dxa"/>
          </w:tcPr>
          <w:p w:rsidR="00FC1018" w:rsidRDefault="00FC1018" w:rsidP="00FC1018">
            <w:pPr>
              <w:jc w:val="center"/>
            </w:pPr>
          </w:p>
        </w:tc>
        <w:tc>
          <w:tcPr>
            <w:tcW w:w="1417" w:type="dxa"/>
          </w:tcPr>
          <w:p w:rsidR="00FC1018" w:rsidRDefault="00FC1018" w:rsidP="00FC1018">
            <w:pPr>
              <w:jc w:val="center"/>
            </w:pPr>
            <w:r>
              <w:t>+</w:t>
            </w:r>
          </w:p>
        </w:tc>
        <w:tc>
          <w:tcPr>
            <w:tcW w:w="1242" w:type="dxa"/>
          </w:tcPr>
          <w:p w:rsidR="00FC1018" w:rsidRDefault="00FC1018" w:rsidP="00FC1018">
            <w:pPr>
              <w:jc w:val="center"/>
            </w:pPr>
          </w:p>
        </w:tc>
      </w:tr>
    </w:tbl>
    <w:p w:rsidR="00C1289D" w:rsidRDefault="00C1289D" w:rsidP="00C1289D">
      <w:pPr>
        <w:autoSpaceDE w:val="0"/>
        <w:autoSpaceDN w:val="0"/>
        <w:adjustRightInd w:val="0"/>
        <w:spacing w:after="0" w:line="240" w:lineRule="auto"/>
      </w:pPr>
    </w:p>
    <w:p w:rsidR="000026AC" w:rsidRDefault="000026AC">
      <w:r>
        <w:br w:type="page"/>
      </w:r>
    </w:p>
    <w:p w:rsidR="000026AC" w:rsidRDefault="00C1289D" w:rsidP="000026AC">
      <w:pPr>
        <w:autoSpaceDE w:val="0"/>
        <w:autoSpaceDN w:val="0"/>
        <w:adjustRightInd w:val="0"/>
        <w:spacing w:after="0" w:line="240" w:lineRule="auto"/>
        <w:rPr>
          <w:b/>
        </w:rPr>
      </w:pPr>
      <w:r w:rsidRPr="00C1289D">
        <w:lastRenderedPageBreak/>
        <w:t>*</w:t>
      </w:r>
      <w:r w:rsidRPr="00C1289D">
        <w:rPr>
          <w:rFonts w:cs="Lato"/>
          <w:color w:val="282828"/>
        </w:rPr>
        <w:t xml:space="preserve"> </w:t>
      </w:r>
      <w:r w:rsidR="000026AC" w:rsidRPr="00232F6C">
        <w:rPr>
          <w:b/>
        </w:rPr>
        <w:t>Kliiniline tõendus</w:t>
      </w:r>
      <w:r w:rsidR="000026AC">
        <w:rPr>
          <w:b/>
        </w:rPr>
        <w:t xml:space="preserve"> </w:t>
      </w:r>
      <w:proofErr w:type="spellStart"/>
      <w:r w:rsidR="000026AC">
        <w:rPr>
          <w:b/>
        </w:rPr>
        <w:t>ehhokg</w:t>
      </w:r>
      <w:proofErr w:type="spellEnd"/>
      <w:r w:rsidR="000026AC">
        <w:rPr>
          <w:b/>
        </w:rPr>
        <w:t xml:space="preserve"> soovituse kohta</w:t>
      </w:r>
    </w:p>
    <w:p w:rsidR="000026AC" w:rsidRPr="00232F6C" w:rsidRDefault="000026AC" w:rsidP="000026AC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026AC" w:rsidRDefault="000026AC" w:rsidP="000026AC">
      <w:r>
        <w:t>NICE soovituste koostamisel arvestati 29 uuringu tulemusi.</w:t>
      </w:r>
    </w:p>
    <w:p w:rsidR="000026AC" w:rsidRDefault="000026AC" w:rsidP="000026AC">
      <w:r>
        <w:t>Kliinilised tulemusnäitajad olid:</w:t>
      </w:r>
    </w:p>
    <w:p w:rsidR="000026AC" w:rsidRDefault="000026AC" w:rsidP="000026AC">
      <w:pPr>
        <w:pStyle w:val="ListParagraph"/>
        <w:numPr>
          <w:ilvl w:val="0"/>
          <w:numId w:val="3"/>
        </w:numPr>
      </w:pPr>
      <w:r>
        <w:t xml:space="preserve">KVA </w:t>
      </w:r>
      <w:proofErr w:type="spellStart"/>
      <w:r>
        <w:t>patofüsioloogia</w:t>
      </w:r>
      <w:proofErr w:type="spellEnd"/>
    </w:p>
    <w:p w:rsidR="000026AC" w:rsidRDefault="000026AC" w:rsidP="000026AC">
      <w:pPr>
        <w:pStyle w:val="ListParagraph"/>
        <w:numPr>
          <w:ilvl w:val="0"/>
          <w:numId w:val="3"/>
        </w:numPr>
      </w:pPr>
      <w:r>
        <w:t xml:space="preserve">KVA taasteke pärast edukat </w:t>
      </w:r>
      <w:proofErr w:type="spellStart"/>
      <w:r>
        <w:t>kardioversiooni</w:t>
      </w:r>
      <w:proofErr w:type="spellEnd"/>
    </w:p>
    <w:p w:rsidR="000026AC" w:rsidRDefault="000026AC" w:rsidP="000026AC">
      <w:pPr>
        <w:pStyle w:val="ListParagraph"/>
        <w:numPr>
          <w:ilvl w:val="0"/>
          <w:numId w:val="3"/>
        </w:numPr>
      </w:pPr>
      <w:r>
        <w:t>ajuinfarkt vm trombemboolia</w:t>
      </w:r>
    </w:p>
    <w:p w:rsidR="000026AC" w:rsidRDefault="000026AC" w:rsidP="000026AC">
      <w:pPr>
        <w:pStyle w:val="ListParagraph"/>
        <w:numPr>
          <w:ilvl w:val="0"/>
          <w:numId w:val="3"/>
        </w:numPr>
      </w:pPr>
      <w:proofErr w:type="spellStart"/>
      <w:r>
        <w:t>kardiovaskulaarsurm</w:t>
      </w:r>
      <w:proofErr w:type="spellEnd"/>
    </w:p>
    <w:p w:rsidR="000026AC" w:rsidRDefault="000026AC" w:rsidP="000026AC">
      <w:r>
        <w:t xml:space="preserve">KVA </w:t>
      </w:r>
      <w:proofErr w:type="spellStart"/>
      <w:r>
        <w:t>patofüsioloogia</w:t>
      </w:r>
      <w:proofErr w:type="spellEnd"/>
    </w:p>
    <w:p w:rsidR="000026AC" w:rsidRDefault="000026AC" w:rsidP="000026AC">
      <w:r>
        <w:t xml:space="preserve">Üks uuring (147) leidis, et vasaku koja diameeter üle 50 mm oli ainus iseseisev kõrgema KVA koormuse (aeg KVA-ga, KVA </w:t>
      </w:r>
      <w:proofErr w:type="spellStart"/>
      <w:r>
        <w:t>paroksüsmide</w:t>
      </w:r>
      <w:proofErr w:type="spellEnd"/>
      <w:r>
        <w:t xml:space="preserve"> sagedus) </w:t>
      </w:r>
      <w:proofErr w:type="spellStart"/>
      <w:r>
        <w:t>prediktor</w:t>
      </w:r>
      <w:proofErr w:type="spellEnd"/>
      <w:r>
        <w:t xml:space="preserve"> (p&lt;0.05). (2++)</w:t>
      </w:r>
    </w:p>
    <w:p w:rsidR="000026AC" w:rsidRDefault="000026AC" w:rsidP="000026AC">
      <w:r>
        <w:t xml:space="preserve">Üks uuring (433) leidis, et patsientidel, kel tekib KVA, on </w:t>
      </w:r>
      <w:proofErr w:type="spellStart"/>
      <w:r>
        <w:t>hemodün</w:t>
      </w:r>
      <w:proofErr w:type="spellEnd"/>
      <w:r>
        <w:t>. ebastabiilsus tõenäolisem juhul, kui koja täitumisfraktsioon (</w:t>
      </w:r>
      <w:proofErr w:type="spellStart"/>
      <w:r w:rsidRPr="004E1FF9">
        <w:rPr>
          <w:i/>
        </w:rPr>
        <w:t>atrial</w:t>
      </w:r>
      <w:proofErr w:type="spellEnd"/>
      <w:r w:rsidRPr="004E1FF9">
        <w:rPr>
          <w:i/>
        </w:rPr>
        <w:t xml:space="preserve"> </w:t>
      </w:r>
      <w:proofErr w:type="spellStart"/>
      <w:r w:rsidRPr="004E1FF9">
        <w:rPr>
          <w:i/>
        </w:rPr>
        <w:t>filling</w:t>
      </w:r>
      <w:proofErr w:type="spellEnd"/>
      <w:r w:rsidRPr="004E1FF9">
        <w:rPr>
          <w:i/>
        </w:rPr>
        <w:t xml:space="preserve"> </w:t>
      </w:r>
      <w:proofErr w:type="spellStart"/>
      <w:r w:rsidRPr="004E1FF9">
        <w:rPr>
          <w:i/>
        </w:rPr>
        <w:t>fraction</w:t>
      </w:r>
      <w:proofErr w:type="spellEnd"/>
      <w:r>
        <w:t xml:space="preserve">) on alla 40% (RR 2.7; p&lt;0.0001) või kui siinusrütmi ajal esineb vasaku vatsakese </w:t>
      </w:r>
      <w:proofErr w:type="spellStart"/>
      <w:r>
        <w:t>düsfunktsioon</w:t>
      </w:r>
      <w:proofErr w:type="spellEnd"/>
      <w:r>
        <w:t xml:space="preserve"> (p&lt;0.03). (2+)</w:t>
      </w:r>
    </w:p>
    <w:p w:rsidR="000026AC" w:rsidRDefault="000026AC" w:rsidP="000026AC">
      <w:r>
        <w:t>KVA taasteke</w:t>
      </w:r>
    </w:p>
    <w:p w:rsidR="000026AC" w:rsidRDefault="000026AC" w:rsidP="000026AC">
      <w:r>
        <w:t>Ühes uuringus (23) leiti, et vasaku koja kõrvakese verevoolu kiirus (</w:t>
      </w:r>
      <w:proofErr w:type="spellStart"/>
      <w:r w:rsidRPr="004E1FF9">
        <w:rPr>
          <w:i/>
        </w:rPr>
        <w:t>left</w:t>
      </w:r>
      <w:proofErr w:type="spellEnd"/>
      <w:r w:rsidRPr="004E1FF9">
        <w:rPr>
          <w:i/>
        </w:rPr>
        <w:t xml:space="preserve"> </w:t>
      </w:r>
      <w:proofErr w:type="spellStart"/>
      <w:r w:rsidRPr="004E1FF9">
        <w:rPr>
          <w:i/>
        </w:rPr>
        <w:t>atrial</w:t>
      </w:r>
      <w:proofErr w:type="spellEnd"/>
      <w:r w:rsidRPr="004E1FF9">
        <w:rPr>
          <w:i/>
        </w:rPr>
        <w:t xml:space="preserve"> </w:t>
      </w:r>
      <w:proofErr w:type="spellStart"/>
      <w:r w:rsidRPr="004E1FF9">
        <w:rPr>
          <w:i/>
        </w:rPr>
        <w:t>appendage</w:t>
      </w:r>
      <w:proofErr w:type="spellEnd"/>
      <w:r w:rsidRPr="004E1FF9">
        <w:rPr>
          <w:i/>
        </w:rPr>
        <w:t xml:space="preserve"> </w:t>
      </w:r>
      <w:proofErr w:type="spellStart"/>
      <w:r w:rsidRPr="004E1FF9">
        <w:rPr>
          <w:i/>
        </w:rPr>
        <w:t>velocity</w:t>
      </w:r>
      <w:proofErr w:type="spellEnd"/>
      <w:r>
        <w:t xml:space="preserve"> (LAA-V)) üle 40 </w:t>
      </w:r>
      <w:proofErr w:type="spellStart"/>
      <w:r>
        <w:t>cm/sek</w:t>
      </w:r>
      <w:proofErr w:type="spellEnd"/>
      <w:r>
        <w:t xml:space="preserve"> on iseseisev siinusrütmi püsimist ennustav </w:t>
      </w:r>
      <w:proofErr w:type="spellStart"/>
      <w:r>
        <w:t>prediktor</w:t>
      </w:r>
      <w:proofErr w:type="spellEnd"/>
      <w:r>
        <w:t xml:space="preserve"> (OR 5.2, 95% CI 2.7 kuni 10; p&lt;0.0001). Teises uuringus (381) leiti, et LAA ja LA pindala suhe üle 0,009 </w:t>
      </w:r>
      <w:r w:rsidRPr="00226EF7">
        <w:t xml:space="preserve">on iseseisev siinusrütmi püsimist ennustav </w:t>
      </w:r>
      <w:proofErr w:type="spellStart"/>
      <w:r w:rsidRPr="00226EF7">
        <w:t>prediktor</w:t>
      </w:r>
      <w:proofErr w:type="spellEnd"/>
      <w:r>
        <w:t xml:space="preserve"> (OR 6.4; 95% CI 1.9 kuni 2.4; p=0.004). (2+)</w:t>
      </w:r>
    </w:p>
    <w:p w:rsidR="000026AC" w:rsidRDefault="000026AC" w:rsidP="000026AC">
      <w:r>
        <w:t xml:space="preserve">Spontaanse </w:t>
      </w:r>
      <w:proofErr w:type="spellStart"/>
      <w:r>
        <w:t>ehhokontrasti</w:t>
      </w:r>
      <w:proofErr w:type="spellEnd"/>
      <w:r>
        <w:t xml:space="preserve"> järgi vasakus kojas ei saa prognoosida siinusrütmi püsimist (23, 129). (2++)</w:t>
      </w:r>
    </w:p>
    <w:p w:rsidR="000026AC" w:rsidRDefault="000026AC" w:rsidP="000026AC">
      <w:r>
        <w:t xml:space="preserve">Nelja uuringu (23,28,136,155) tulemused viitavad, et vasaku koja diameeter ei ole </w:t>
      </w:r>
      <w:proofErr w:type="spellStart"/>
      <w:r>
        <w:t>kardioversiooni</w:t>
      </w:r>
      <w:proofErr w:type="spellEnd"/>
      <w:r>
        <w:t xml:space="preserve"> järgse siinusrütmi püsimise sõltumatu </w:t>
      </w:r>
      <w:proofErr w:type="spellStart"/>
      <w:r>
        <w:t>prediktor</w:t>
      </w:r>
      <w:proofErr w:type="spellEnd"/>
      <w:r>
        <w:t xml:space="preserve"> (2+). Kaks uuringut (129,341) seevastu näitasid, et vasaku koja diameeter alla 45 mm (p=0.02)  või 41 mm  (p=0.008) on siinusrütmi püsimise </w:t>
      </w:r>
      <w:proofErr w:type="spellStart"/>
      <w:r>
        <w:t>prediktor</w:t>
      </w:r>
      <w:proofErr w:type="spellEnd"/>
      <w:r>
        <w:t>. (2++)</w:t>
      </w:r>
    </w:p>
    <w:p w:rsidR="000026AC" w:rsidRDefault="000026AC" w:rsidP="000026AC">
      <w:r>
        <w:t xml:space="preserve">Üks uuring (155), mis ei näidanud, et vasaku koja diameeter aitaks ennustada siinusrütmi püsimist, viitas, et parema koja diameeter alla 37 mm on sõltumatu </w:t>
      </w:r>
      <w:proofErr w:type="spellStart"/>
      <w:r>
        <w:t>prediktor</w:t>
      </w:r>
      <w:proofErr w:type="spellEnd"/>
      <w:r>
        <w:t xml:space="preserve"> (OR 5.9; 95% CI 1.4 kuni 25; p&lt;0.02). (2+)</w:t>
      </w:r>
    </w:p>
    <w:p w:rsidR="000026AC" w:rsidRDefault="000026AC" w:rsidP="000026AC">
      <w:r>
        <w:t xml:space="preserve">Üks uuring (128) näitas, et mõõduka raskusega kuni raske südamepuudulikkus (NYHA &gt;1) ennustab ette KVA taasteket pärast </w:t>
      </w:r>
      <w:proofErr w:type="spellStart"/>
      <w:r>
        <w:t>kardioversiooni</w:t>
      </w:r>
      <w:proofErr w:type="spellEnd"/>
      <w:r>
        <w:t xml:space="preserve"> (p&lt;0.0005) (2++). Teine uuring (136) ei näidanud seost vatsakese </w:t>
      </w:r>
      <w:proofErr w:type="spellStart"/>
      <w:r>
        <w:t>düsfunktsiooni</w:t>
      </w:r>
      <w:proofErr w:type="spellEnd"/>
      <w:r>
        <w:t xml:space="preserve"> (hinnatuna  LVEDD või LVESD järgi) ja siinusrütmi püsimise vahel. (2+)</w:t>
      </w:r>
    </w:p>
    <w:p w:rsidR="000026AC" w:rsidRDefault="000026AC" w:rsidP="000026AC">
      <w:r>
        <w:t xml:space="preserve">Üks uuring (23) ei näidanud, et </w:t>
      </w:r>
      <w:proofErr w:type="spellStart"/>
      <w:r>
        <w:t>mitraalregurgitatsiooni</w:t>
      </w:r>
      <w:proofErr w:type="spellEnd"/>
      <w:r>
        <w:t xml:space="preserve"> esinemine ennustaks KVA taasteket </w:t>
      </w:r>
      <w:proofErr w:type="spellStart"/>
      <w:r>
        <w:t>kardioversiooni</w:t>
      </w:r>
      <w:proofErr w:type="spellEnd"/>
      <w:r>
        <w:t xml:space="preserve"> järgselt (2+). Teine uuring (349) leidis, et </w:t>
      </w:r>
      <w:proofErr w:type="spellStart"/>
      <w:r>
        <w:t>mitraalrõnga</w:t>
      </w:r>
      <w:proofErr w:type="spellEnd"/>
      <w:r>
        <w:t xml:space="preserve"> muutused ennustavad ette KVA taasteket 12 kuud pärast </w:t>
      </w:r>
      <w:proofErr w:type="spellStart"/>
      <w:r>
        <w:t>kardioversiooni</w:t>
      </w:r>
      <w:proofErr w:type="spellEnd"/>
      <w:r>
        <w:t xml:space="preserve"> (</w:t>
      </w:r>
      <w:proofErr w:type="spellStart"/>
      <w:r>
        <w:t>pos</w:t>
      </w:r>
      <w:proofErr w:type="spellEnd"/>
      <w:r>
        <w:t xml:space="preserve">. ennustusväärtus (PPV) 79%, </w:t>
      </w:r>
      <w:proofErr w:type="spellStart"/>
      <w:r>
        <w:t>neg</w:t>
      </w:r>
      <w:proofErr w:type="spellEnd"/>
      <w:r>
        <w:t>. ennustusväärtus (NPV) 85%). (2+)</w:t>
      </w:r>
    </w:p>
    <w:p w:rsidR="000026AC" w:rsidRDefault="000026AC" w:rsidP="000026AC">
      <w:r>
        <w:t>Insult ja trombemboolia</w:t>
      </w:r>
    </w:p>
    <w:p w:rsidR="000026AC" w:rsidRDefault="000026AC" w:rsidP="000026AC">
      <w:r>
        <w:lastRenderedPageBreak/>
        <w:t xml:space="preserve">Kaks uuringut (30,272) ei leidnud, et aordistenoos oleks insuldi või trombemboolia sõltumatu </w:t>
      </w:r>
      <w:proofErr w:type="spellStart"/>
      <w:r>
        <w:t>prediktor</w:t>
      </w:r>
      <w:proofErr w:type="spellEnd"/>
      <w:r>
        <w:t>. (2+)</w:t>
      </w:r>
    </w:p>
    <w:p w:rsidR="000026AC" w:rsidRDefault="000026AC" w:rsidP="000026AC">
      <w:r>
        <w:t>Üks uuring (404) leidis, et kompleksne aordinaast (</w:t>
      </w:r>
      <w:proofErr w:type="spellStart"/>
      <w:r w:rsidRPr="000026AC">
        <w:rPr>
          <w:i/>
        </w:rPr>
        <w:t>complex</w:t>
      </w:r>
      <w:proofErr w:type="spellEnd"/>
      <w:r w:rsidRPr="000026AC">
        <w:rPr>
          <w:i/>
        </w:rPr>
        <w:t xml:space="preserve"> </w:t>
      </w:r>
      <w:proofErr w:type="spellStart"/>
      <w:r w:rsidRPr="000026AC">
        <w:rPr>
          <w:i/>
        </w:rPr>
        <w:t>aortic</w:t>
      </w:r>
      <w:proofErr w:type="spellEnd"/>
      <w:r w:rsidRPr="000026AC">
        <w:rPr>
          <w:i/>
        </w:rPr>
        <w:t xml:space="preserve"> </w:t>
      </w:r>
      <w:proofErr w:type="spellStart"/>
      <w:r w:rsidRPr="000026AC">
        <w:rPr>
          <w:i/>
        </w:rPr>
        <w:t>plaque</w:t>
      </w:r>
      <w:proofErr w:type="spellEnd"/>
      <w:r>
        <w:t xml:space="preserve">) ennustab sõltumatult insuldi teket üle 70 aastastel (OR 4.0, 95% CI 1.1 </w:t>
      </w:r>
      <w:proofErr w:type="spellStart"/>
      <w:r>
        <w:t>to</w:t>
      </w:r>
      <w:proofErr w:type="spellEnd"/>
      <w:r>
        <w:t xml:space="preserve"> 14; p=0.03). Sama uuring ei näidanud sellist seost alla 70 aastastel. (2++)</w:t>
      </w:r>
    </w:p>
    <w:p w:rsidR="000026AC" w:rsidRDefault="000026AC" w:rsidP="000026AC">
      <w:r>
        <w:t xml:space="preserve">Nelja uuringu (272,315,404,422) tulemuste alusel ei ole selge, kas vasaku koja </w:t>
      </w:r>
      <w:proofErr w:type="spellStart"/>
      <w:r>
        <w:t>düsfunktsioon</w:t>
      </w:r>
      <w:proofErr w:type="spellEnd"/>
      <w:r>
        <w:t xml:space="preserve"> hinnatuna spontaanse </w:t>
      </w:r>
      <w:proofErr w:type="spellStart"/>
      <w:r>
        <w:t>ehhokontrasti</w:t>
      </w:r>
      <w:proofErr w:type="spellEnd"/>
      <w:r>
        <w:t xml:space="preserve"> alusel, on insuldi või trombemboolia </w:t>
      </w:r>
      <w:proofErr w:type="spellStart"/>
      <w:r>
        <w:t>prediktor</w:t>
      </w:r>
      <w:proofErr w:type="spellEnd"/>
      <w:r>
        <w:t>. (2++)</w:t>
      </w:r>
    </w:p>
    <w:p w:rsidR="000026AC" w:rsidRDefault="000026AC" w:rsidP="000026AC">
      <w:r>
        <w:t xml:space="preserve">Kahe uuringu (222,315) tulemuste alusel on vasaku koja </w:t>
      </w:r>
      <w:proofErr w:type="spellStart"/>
      <w:r>
        <w:t>hemodünaamiline</w:t>
      </w:r>
      <w:proofErr w:type="spellEnd"/>
      <w:r>
        <w:t xml:space="preserve"> </w:t>
      </w:r>
      <w:proofErr w:type="spellStart"/>
      <w:r>
        <w:t>düsfunktsioon</w:t>
      </w:r>
      <w:proofErr w:type="spellEnd"/>
      <w:r>
        <w:t xml:space="preserve">, hinnatuna LAA-V alla 20 </w:t>
      </w:r>
      <w:proofErr w:type="spellStart"/>
      <w:r>
        <w:t>cm/sek</w:t>
      </w:r>
      <w:proofErr w:type="spellEnd"/>
      <w:r>
        <w:t xml:space="preserve"> alusel, insuldi ja trombemboolia </w:t>
      </w:r>
      <w:proofErr w:type="spellStart"/>
      <w:r>
        <w:t>prediktor</w:t>
      </w:r>
      <w:proofErr w:type="spellEnd"/>
      <w:r>
        <w:t xml:space="preserve">. (2+) </w:t>
      </w:r>
      <w:r w:rsidR="00707BA1">
        <w:t>Veel üks</w:t>
      </w:r>
      <w:r>
        <w:t xml:space="preserve"> uuring (404) kinnitas seost alla 70 aastastel, ent mitte üle 70 aastastel. (2++)</w:t>
      </w:r>
    </w:p>
    <w:p w:rsidR="000026AC" w:rsidRDefault="000026AC" w:rsidP="000026AC">
      <w:r>
        <w:t xml:space="preserve">Kuue uuringu (1,30,65,251,319,422) tulemuste alusel ei ole selge, kas suurenenud vasak koda, hinnatuna kas pindala või diameetri järgi, on insuldi ja trombemboolia </w:t>
      </w:r>
      <w:proofErr w:type="spellStart"/>
      <w:r>
        <w:t>prediktor</w:t>
      </w:r>
      <w:proofErr w:type="spellEnd"/>
      <w:r>
        <w:t>. (2+)</w:t>
      </w:r>
    </w:p>
    <w:p w:rsidR="000026AC" w:rsidRDefault="000026AC" w:rsidP="000026AC">
      <w:r>
        <w:t xml:space="preserve">Kolme uuringu (1,2,29) tulemuste alusel on vasaku vatsakese </w:t>
      </w:r>
      <w:proofErr w:type="spellStart"/>
      <w:r>
        <w:t>ehhokardiograafiliselt</w:t>
      </w:r>
      <w:proofErr w:type="spellEnd"/>
      <w:r>
        <w:t xml:space="preserve"> leitud </w:t>
      </w:r>
      <w:proofErr w:type="spellStart"/>
      <w:r>
        <w:t>düsfunktsioon</w:t>
      </w:r>
      <w:proofErr w:type="spellEnd"/>
      <w:r>
        <w:t xml:space="preserve"> insuldi ja</w:t>
      </w:r>
      <w:r w:rsidR="00707BA1">
        <w:t xml:space="preserve"> </w:t>
      </w:r>
      <w:r>
        <w:t xml:space="preserve">trombemboolia sõltumatu </w:t>
      </w:r>
      <w:proofErr w:type="spellStart"/>
      <w:r>
        <w:t>prediktor</w:t>
      </w:r>
      <w:proofErr w:type="spellEnd"/>
      <w:r>
        <w:t>: (2++)</w:t>
      </w:r>
    </w:p>
    <w:p w:rsidR="000026AC" w:rsidRDefault="000026AC" w:rsidP="000026AC">
      <w:pPr>
        <w:pStyle w:val="ListParagraph"/>
        <w:numPr>
          <w:ilvl w:val="0"/>
          <w:numId w:val="4"/>
        </w:numPr>
      </w:pPr>
      <w:r>
        <w:t>RR = 2.5 (1.5 kuni 4.4), p&lt;0.0012</w:t>
      </w:r>
    </w:p>
    <w:p w:rsidR="000026AC" w:rsidRDefault="000026AC" w:rsidP="000026AC">
      <w:pPr>
        <w:pStyle w:val="ListParagraph"/>
        <w:numPr>
          <w:ilvl w:val="0"/>
          <w:numId w:val="4"/>
        </w:numPr>
      </w:pPr>
      <w:r>
        <w:t>RR = 2.6 (1.4 kuni 4.9), p=0.0031</w:t>
      </w:r>
    </w:p>
    <w:p w:rsidR="000026AC" w:rsidRDefault="000026AC" w:rsidP="000026AC">
      <w:pPr>
        <w:pStyle w:val="ListParagraph"/>
        <w:numPr>
          <w:ilvl w:val="0"/>
          <w:numId w:val="4"/>
        </w:numPr>
      </w:pPr>
      <w:r>
        <w:t>OR = 1.8 (1.2 kuni 2.7), p=0.003.29</w:t>
      </w:r>
    </w:p>
    <w:p w:rsidR="000026AC" w:rsidRDefault="000026AC" w:rsidP="000026AC">
      <w:r>
        <w:t>Kaks uuringut (272,422) sellist seost ei näidanud.(2+)</w:t>
      </w:r>
    </w:p>
    <w:p w:rsidR="000026AC" w:rsidRDefault="000026AC" w:rsidP="000026AC">
      <w:r>
        <w:t xml:space="preserve">Kahe uuringu (29,30) tulemuste alusel on vasaku vatsakese hüpertroofia insuldi/trombemboolia sõltumatu </w:t>
      </w:r>
      <w:proofErr w:type="spellStart"/>
      <w:r>
        <w:t>prediktor</w:t>
      </w:r>
      <w:proofErr w:type="spellEnd"/>
      <w:r>
        <w:t>: (2+)</w:t>
      </w:r>
    </w:p>
    <w:p w:rsidR="000026AC" w:rsidRDefault="000026AC" w:rsidP="000026AC">
      <w:pPr>
        <w:pStyle w:val="ListParagraph"/>
        <w:numPr>
          <w:ilvl w:val="0"/>
          <w:numId w:val="5"/>
        </w:numPr>
      </w:pPr>
      <w:r>
        <w:t xml:space="preserve">OR = 2.8 (1.8 </w:t>
      </w:r>
      <w:proofErr w:type="spellStart"/>
      <w:r>
        <w:t>to</w:t>
      </w:r>
      <w:proofErr w:type="spellEnd"/>
      <w:r>
        <w:t xml:space="preserve"> 4.4), p=0.000129</w:t>
      </w:r>
    </w:p>
    <w:p w:rsidR="000026AC" w:rsidRDefault="000026AC" w:rsidP="000026AC">
      <w:pPr>
        <w:pStyle w:val="ListParagraph"/>
        <w:numPr>
          <w:ilvl w:val="0"/>
          <w:numId w:val="5"/>
        </w:numPr>
      </w:pPr>
      <w:r>
        <w:t>OR = 6.56, p&lt;0.01.30</w:t>
      </w:r>
    </w:p>
    <w:p w:rsidR="000026AC" w:rsidRDefault="00707BA1" w:rsidP="000026AC">
      <w:r>
        <w:t>Üks uuring (272) sell</w:t>
      </w:r>
      <w:r w:rsidR="000026AC">
        <w:t>ist seost ei näidanud. (2+)</w:t>
      </w:r>
    </w:p>
    <w:p w:rsidR="000026AC" w:rsidRDefault="000026AC" w:rsidP="000026AC">
      <w:r>
        <w:t xml:space="preserve">Kaks uuringut (30,272) ei leidnud, et </w:t>
      </w:r>
      <w:proofErr w:type="spellStart"/>
      <w:r>
        <w:t>mitraalrõnga</w:t>
      </w:r>
      <w:proofErr w:type="spellEnd"/>
      <w:r>
        <w:t xml:space="preserve"> </w:t>
      </w:r>
      <w:proofErr w:type="spellStart"/>
      <w:r>
        <w:t>kaltsifikatsioon</w:t>
      </w:r>
      <w:proofErr w:type="spellEnd"/>
      <w:r>
        <w:t xml:space="preserve"> oleks insuldi/trombemboolia sõltumatu </w:t>
      </w:r>
      <w:proofErr w:type="spellStart"/>
      <w:r>
        <w:t>prediktor</w:t>
      </w:r>
      <w:proofErr w:type="spellEnd"/>
      <w:r>
        <w:t>. (2+)</w:t>
      </w:r>
    </w:p>
    <w:p w:rsidR="000026AC" w:rsidRDefault="000026AC" w:rsidP="000026AC">
      <w:r>
        <w:t xml:space="preserve">Kolme kliinilise uuringu metaanalüüs (2) (N=1,066) ei kinnitanud, et </w:t>
      </w:r>
      <w:proofErr w:type="spellStart"/>
      <w:r>
        <w:t>mitraalprolaps</w:t>
      </w:r>
      <w:proofErr w:type="spellEnd"/>
      <w:r>
        <w:t xml:space="preserve"> või </w:t>
      </w:r>
      <w:r w:rsidR="00707BA1">
        <w:t xml:space="preserve"> </w:t>
      </w:r>
      <w:proofErr w:type="spellStart"/>
      <w:r w:rsidR="00707BA1">
        <w:t>mitraalr</w:t>
      </w:r>
      <w:r>
        <w:t>egurgitatsioon</w:t>
      </w:r>
      <w:proofErr w:type="spellEnd"/>
      <w:r>
        <w:t xml:space="preserve"> oleks insuldi/trombemboolia </w:t>
      </w:r>
      <w:proofErr w:type="spellStart"/>
      <w:r>
        <w:t>prediktor</w:t>
      </w:r>
      <w:proofErr w:type="spellEnd"/>
      <w:r>
        <w:t xml:space="preserve">. (2++). Üks väiksem uuring (319) (N=290) viitas, et mõõdukas ja raske </w:t>
      </w:r>
      <w:proofErr w:type="spellStart"/>
      <w:r>
        <w:t>mitraalregurgitatsioon</w:t>
      </w:r>
      <w:proofErr w:type="spellEnd"/>
      <w:r>
        <w:t xml:space="preserve"> võib madala insuldiriskiga isikutel sõltumatult (madalamat) insuldiriski ennustada (OR 0.45, 95% CI 0.20 </w:t>
      </w:r>
      <w:proofErr w:type="spellStart"/>
      <w:r>
        <w:t>to</w:t>
      </w:r>
      <w:proofErr w:type="spellEnd"/>
      <w:r>
        <w:t xml:space="preserve"> 0.97).  (2++)</w:t>
      </w:r>
    </w:p>
    <w:p w:rsidR="000026AC" w:rsidRDefault="000026AC" w:rsidP="000026AC">
      <w:proofErr w:type="spellStart"/>
      <w:r>
        <w:t>Kardiovaskulaarsurm</w:t>
      </w:r>
      <w:proofErr w:type="spellEnd"/>
    </w:p>
    <w:p w:rsidR="000026AC" w:rsidRDefault="000026AC" w:rsidP="000026AC">
      <w:r>
        <w:t xml:space="preserve">Üks uuring (117) leidis, et SEC alusel hinnatud LA </w:t>
      </w:r>
      <w:proofErr w:type="spellStart"/>
      <w:r>
        <w:t>hemodünaamiline</w:t>
      </w:r>
      <w:proofErr w:type="spellEnd"/>
      <w:r>
        <w:t xml:space="preserve"> </w:t>
      </w:r>
      <w:proofErr w:type="spellStart"/>
      <w:r>
        <w:t>düsfunktsioon</w:t>
      </w:r>
      <w:proofErr w:type="spellEnd"/>
      <w:r>
        <w:t xml:space="preserve"> oli KVA patsientidel </w:t>
      </w:r>
      <w:proofErr w:type="spellStart"/>
      <w:r>
        <w:t>kardiovaskulaarsurma</w:t>
      </w:r>
      <w:proofErr w:type="spellEnd"/>
      <w:r>
        <w:t xml:space="preserve"> (fataalne insult, MI, SP, emboolia või </w:t>
      </w:r>
      <w:proofErr w:type="spellStart"/>
      <w:r>
        <w:t>kardiaalne</w:t>
      </w:r>
      <w:proofErr w:type="spellEnd"/>
      <w:r>
        <w:t xml:space="preserve"> äkksurm) sõltumatu </w:t>
      </w:r>
      <w:proofErr w:type="spellStart"/>
      <w:r>
        <w:t>prediktor</w:t>
      </w:r>
      <w:proofErr w:type="spellEnd"/>
      <w:r w:rsidR="00707BA1">
        <w:t xml:space="preserve"> </w:t>
      </w:r>
      <w:r>
        <w:t xml:space="preserve"> (RR 7.96, 95% CI 1.6 kuni 41; p=0.013) (2++). Sama uuring ei leidnud sarnast seost struktuurse südamehaiguse, klapi- või aordikahjustuse puhul. (2++)</w:t>
      </w:r>
    </w:p>
    <w:p w:rsidR="000026AC" w:rsidRDefault="000026AC" w:rsidP="000026AC"/>
    <w:p w:rsidR="000026AC" w:rsidRPr="00232F6C" w:rsidRDefault="000026AC" w:rsidP="000026AC">
      <w:pPr>
        <w:rPr>
          <w:b/>
        </w:rPr>
      </w:pPr>
      <w:r w:rsidRPr="00232F6C">
        <w:rPr>
          <w:b/>
        </w:rPr>
        <w:lastRenderedPageBreak/>
        <w:t>Tõendusest soovituseni</w:t>
      </w:r>
    </w:p>
    <w:p w:rsidR="000026AC" w:rsidRDefault="000026AC" w:rsidP="000026AC">
      <w:proofErr w:type="spellStart"/>
      <w:r>
        <w:t>Ehhokg</w:t>
      </w:r>
      <w:proofErr w:type="spellEnd"/>
      <w:r>
        <w:t xml:space="preserve"> võimaldab identifitseerida faktoreid (LAA-V hinnatuna TEE-l), mis ennustavad siinusrütmi säilimist </w:t>
      </w:r>
      <w:proofErr w:type="spellStart"/>
      <w:r>
        <w:t>kardioversiooni</w:t>
      </w:r>
      <w:proofErr w:type="spellEnd"/>
      <w:r>
        <w:t xml:space="preserve"> järgselt (23,381). TEE – </w:t>
      </w:r>
      <w:proofErr w:type="spellStart"/>
      <w:r>
        <w:t>dvõib</w:t>
      </w:r>
      <w:proofErr w:type="spellEnd"/>
      <w:r>
        <w:t xml:space="preserve"> seega kasutada lisaks teistele kliinilistele andmetele rütmikontrolli strateegia , sh </w:t>
      </w:r>
      <w:proofErr w:type="spellStart"/>
      <w:r>
        <w:t>kardioversiooni</w:t>
      </w:r>
      <w:proofErr w:type="spellEnd"/>
      <w:r>
        <w:t xml:space="preserve"> mõistlikkuse hindamiseks.</w:t>
      </w:r>
    </w:p>
    <w:p w:rsidR="000026AC" w:rsidRDefault="000026AC" w:rsidP="000026AC">
      <w:r>
        <w:t xml:space="preserve">Enamasti saab trombemboolia riski hinnata kliiniliste kriteeriumide alusel. Vahel võib see olla ebaselge ja </w:t>
      </w:r>
      <w:proofErr w:type="spellStart"/>
      <w:r>
        <w:t>ehhokg-st</w:t>
      </w:r>
      <w:proofErr w:type="spellEnd"/>
      <w:r>
        <w:t xml:space="preserve"> on kasu trombiriski täpsustamisel. TEE abil saab hinnata aordinaastude olemasolu (404) ja vasaku koja </w:t>
      </w:r>
      <w:proofErr w:type="spellStart"/>
      <w:r>
        <w:t>hemodünaamika</w:t>
      </w:r>
      <w:proofErr w:type="spellEnd"/>
      <w:r>
        <w:t xml:space="preserve"> häiret (222,315,404). TTE-d võib kasutada LV </w:t>
      </w:r>
      <w:proofErr w:type="spellStart"/>
      <w:r>
        <w:t>düsfunktsiooni</w:t>
      </w:r>
      <w:proofErr w:type="spellEnd"/>
      <w:r>
        <w:t xml:space="preserve"> või hüpertroofia hindamiseks (1,2,29), kui sellega ei kaasne väljendunud südamepuudulikkust (29,30).</w:t>
      </w:r>
    </w:p>
    <w:p w:rsidR="000026AC" w:rsidRDefault="000026AC" w:rsidP="000026AC">
      <w:r>
        <w:t xml:space="preserve">Paljudel patsientidel võib olla muid näidustusi </w:t>
      </w:r>
      <w:proofErr w:type="spellStart"/>
      <w:r>
        <w:t>ehhokg-ks</w:t>
      </w:r>
      <w:proofErr w:type="spellEnd"/>
      <w:r>
        <w:t xml:space="preserve"> kui KVA ise. </w:t>
      </w:r>
    </w:p>
    <w:p w:rsidR="000026AC" w:rsidRPr="00232F6C" w:rsidRDefault="00707BA1" w:rsidP="00707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NICE 2006/2014 so</w:t>
      </w:r>
      <w:r w:rsidR="000026AC" w:rsidRPr="00232F6C">
        <w:rPr>
          <w:b/>
        </w:rPr>
        <w:t>ovitused</w:t>
      </w:r>
    </w:p>
    <w:p w:rsidR="000026AC" w:rsidRDefault="000026AC" w:rsidP="00707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Tehke TTE KVA puhul, kui</w:t>
      </w:r>
    </w:p>
    <w:p w:rsidR="000026AC" w:rsidRDefault="000026AC" w:rsidP="00707BA1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ravieelne TEE tulemus on pikaa</w:t>
      </w:r>
      <w:r w:rsidR="00707BA1">
        <w:t>jalise ravi seisukohast oluline</w:t>
      </w:r>
    </w:p>
    <w:p w:rsidR="000026AC" w:rsidRDefault="000026AC" w:rsidP="00707BA1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kaalute rütmikontrolli strateegiat, sh elektrilist või farmakoloogilist </w:t>
      </w:r>
      <w:proofErr w:type="spellStart"/>
      <w:r>
        <w:t>kardioversiooni</w:t>
      </w:r>
      <w:proofErr w:type="spellEnd"/>
    </w:p>
    <w:p w:rsidR="000026AC" w:rsidRDefault="000026AC" w:rsidP="00707BA1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on tugev kahtlus (nt südamepuudulikkuse sümptomid või kahin) struktuurse/funktsionaalse südamehaiguse suhtes, mis mõjutaks ravivalikuid</w:t>
      </w:r>
    </w:p>
    <w:p w:rsidR="000026AC" w:rsidRDefault="000026AC" w:rsidP="00707BA1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on vaja täpsustada trombemboolia riski</w:t>
      </w:r>
    </w:p>
    <w:p w:rsidR="000026AC" w:rsidRDefault="000026AC" w:rsidP="00707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Ärge te</w:t>
      </w:r>
      <w:r w:rsidR="00A12428">
        <w:t xml:space="preserve">hke TTE-d ainult trombemboolia </w:t>
      </w:r>
      <w:r>
        <w:t xml:space="preserve">riski hindamiseks isikutel, kellel juba kliiniliste tunnuste järgi on näidustatud </w:t>
      </w:r>
      <w:proofErr w:type="spellStart"/>
      <w:r>
        <w:t>antikaogulantravi</w:t>
      </w:r>
      <w:proofErr w:type="spellEnd"/>
      <w:r>
        <w:t>.</w:t>
      </w:r>
    </w:p>
    <w:p w:rsidR="000026AC" w:rsidRDefault="000026AC" w:rsidP="00707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Tehke TEE KVA-ga isikutel, kui</w:t>
      </w:r>
    </w:p>
    <w:p w:rsidR="000026AC" w:rsidRDefault="000026AC" w:rsidP="00707BA1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TTE näitab edasist uurimist vajavat kahjustust</w:t>
      </w:r>
    </w:p>
    <w:p w:rsidR="000026AC" w:rsidRDefault="000026AC" w:rsidP="00707BA1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TTE ei ole diagnostiline ja on vaja välistada südamekahjustus</w:t>
      </w:r>
    </w:p>
    <w:p w:rsidR="000026AC" w:rsidRDefault="000026AC" w:rsidP="00707BA1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Kaalute TEE alusel </w:t>
      </w:r>
      <w:proofErr w:type="spellStart"/>
      <w:r>
        <w:t>kardioversiooni</w:t>
      </w:r>
      <w:proofErr w:type="spellEnd"/>
      <w:r>
        <w:t xml:space="preserve"> tegemist.</w:t>
      </w:r>
    </w:p>
    <w:p w:rsidR="000026AC" w:rsidRPr="00126F3E" w:rsidRDefault="000026AC" w:rsidP="000026AC">
      <w:pPr>
        <w:rPr>
          <w:b/>
          <w:sz w:val="20"/>
          <w:szCs w:val="20"/>
        </w:rPr>
      </w:pPr>
      <w:r w:rsidRPr="00126F3E">
        <w:rPr>
          <w:b/>
          <w:sz w:val="20"/>
          <w:szCs w:val="20"/>
        </w:rPr>
        <w:t>Viited (NICE 2014/2006)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"/>
        <w:gridCol w:w="8724"/>
      </w:tblGrid>
      <w:tr w:rsidR="000026AC" w:rsidRPr="00126F3E" w:rsidTr="000026AC">
        <w:tc>
          <w:tcPr>
            <w:tcW w:w="551" w:type="dxa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78" w:type="dxa"/>
            <w:vAlign w:val="center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r w:rsidRPr="00126F3E">
              <w:rPr>
                <w:noProof/>
                <w:sz w:val="20"/>
                <w:szCs w:val="20"/>
                <w:lang w:eastAsia="et-EE"/>
              </w:rPr>
              <w:drawing>
                <wp:inline distT="0" distB="0" distL="0" distR="0" wp14:anchorId="3B421728" wp14:editId="717F4068">
                  <wp:extent cx="5402687" cy="5605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272" cy="560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6AC" w:rsidRPr="00126F3E" w:rsidTr="000026AC">
        <w:tc>
          <w:tcPr>
            <w:tcW w:w="551" w:type="dxa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r w:rsidRPr="00126F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78" w:type="dxa"/>
            <w:vAlign w:val="center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6F3E">
              <w:rPr>
                <w:color w:val="000000"/>
                <w:sz w:val="20"/>
                <w:szCs w:val="20"/>
              </w:rPr>
              <w:t>Predictors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thromboembolism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in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atrial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fibrillation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: II.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Echocardiographic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features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patients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at risk. The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Stroke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Prevention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in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Atrial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Fibrillation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Investigators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Annals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Internal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Medicine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>. 1992; 116(1):6-12</w:t>
            </w:r>
          </w:p>
        </w:tc>
      </w:tr>
      <w:tr w:rsidR="000026AC" w:rsidRPr="00126F3E" w:rsidTr="000026AC">
        <w:tc>
          <w:tcPr>
            <w:tcW w:w="551" w:type="dxa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r w:rsidRPr="00126F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678" w:type="dxa"/>
            <w:vAlign w:val="center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6F3E">
              <w:rPr>
                <w:color w:val="000000"/>
                <w:sz w:val="20"/>
                <w:szCs w:val="20"/>
              </w:rPr>
              <w:t>Echocardiographic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predictors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stroke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in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patients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with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atrial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fibrillation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: a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prospective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study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1066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patients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from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clinical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trials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Archives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Internal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Medicine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>. 1998; 158(12):1316-1320</w:t>
            </w:r>
          </w:p>
        </w:tc>
      </w:tr>
      <w:tr w:rsidR="000026AC" w:rsidRPr="00126F3E" w:rsidTr="000026AC">
        <w:tc>
          <w:tcPr>
            <w:tcW w:w="551" w:type="dxa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r w:rsidRPr="00126F3E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678" w:type="dxa"/>
            <w:vAlign w:val="center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6F3E">
              <w:rPr>
                <w:color w:val="000000"/>
                <w:sz w:val="20"/>
                <w:szCs w:val="20"/>
              </w:rPr>
              <w:t>Antonielli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E,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Pizzuti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A,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Palinkas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A,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Tanga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M,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Gruber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N,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Michelassi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C et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Clinical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value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left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atrial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appendage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flow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for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prediction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long-term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sinus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rhythm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maintenance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in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patients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with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nonvalvular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atrial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fibrillation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Journal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the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American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College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Cardiology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>. 2002; 39(9):1443-1449</w:t>
            </w:r>
          </w:p>
        </w:tc>
      </w:tr>
      <w:tr w:rsidR="000026AC" w:rsidRPr="00126F3E" w:rsidTr="000026AC">
        <w:tc>
          <w:tcPr>
            <w:tcW w:w="551" w:type="dxa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r w:rsidRPr="00126F3E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8678" w:type="dxa"/>
            <w:vAlign w:val="center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6F3E">
              <w:rPr>
                <w:color w:val="000000"/>
                <w:sz w:val="20"/>
                <w:szCs w:val="20"/>
              </w:rPr>
              <w:t>Arnar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DO,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Danielsen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R.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Factors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predicting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maintenance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sinus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rhythm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after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direct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current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cardioversion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atrial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fibrillation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flutter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: a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reanalysis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with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recently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acquired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data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Cardiology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>. 1996; 87(3):181-188</w:t>
            </w:r>
          </w:p>
        </w:tc>
      </w:tr>
      <w:tr w:rsidR="000026AC" w:rsidRPr="00126F3E" w:rsidTr="000026AC">
        <w:tc>
          <w:tcPr>
            <w:tcW w:w="551" w:type="dxa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r w:rsidRPr="00126F3E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8678" w:type="dxa"/>
            <w:vAlign w:val="center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6F3E">
              <w:rPr>
                <w:color w:val="000000"/>
                <w:sz w:val="20"/>
                <w:szCs w:val="20"/>
              </w:rPr>
              <w:t>Aronow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WS,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Ahn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C,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Kronzon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I,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Gutstein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H. Risk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factors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for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new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thromboembolic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stroke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in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patients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&gt;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or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= 62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years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age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with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chronic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atrial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fibrillation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American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Journal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Cardiology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>. 1998; 82(1):119-121</w:t>
            </w:r>
          </w:p>
        </w:tc>
      </w:tr>
      <w:tr w:rsidR="000026AC" w:rsidRPr="00126F3E" w:rsidTr="000026AC">
        <w:tc>
          <w:tcPr>
            <w:tcW w:w="551" w:type="dxa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r w:rsidRPr="00126F3E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678" w:type="dxa"/>
            <w:vAlign w:val="center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6F3E">
              <w:rPr>
                <w:color w:val="000000"/>
                <w:sz w:val="20"/>
                <w:szCs w:val="20"/>
              </w:rPr>
              <w:t>Aronow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WS,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Gutstein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H,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Hsieh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FY. Risk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factors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for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thromboembolic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stroke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in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elderly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patients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with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lastRenderedPageBreak/>
              <w:t>chronic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atrial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fibrillation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American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Journal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Cardiology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>. 1989; 63(5):366-367</w:t>
            </w:r>
          </w:p>
        </w:tc>
      </w:tr>
      <w:tr w:rsidR="000026AC" w:rsidRPr="00126F3E" w:rsidTr="000026AC">
        <w:tc>
          <w:tcPr>
            <w:tcW w:w="551" w:type="dxa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r w:rsidRPr="00126F3E">
              <w:rPr>
                <w:color w:val="000000"/>
                <w:sz w:val="20"/>
                <w:szCs w:val="20"/>
              </w:rPr>
              <w:lastRenderedPageBreak/>
              <w:t>65</w:t>
            </w:r>
          </w:p>
        </w:tc>
        <w:tc>
          <w:tcPr>
            <w:tcW w:w="8678" w:type="dxa"/>
            <w:vAlign w:val="center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6F3E">
              <w:rPr>
                <w:color w:val="000000"/>
                <w:sz w:val="20"/>
                <w:szCs w:val="20"/>
              </w:rPr>
              <w:t>Cabin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HS,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Clubb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KS, Hall C,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Perlmutter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RA,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Feinstein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AR. Risk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for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systemic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embolization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atrial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fibrillation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without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mitral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stenosis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American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Journal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Cardiology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>. 1990; 65(16):1112-1116</w:t>
            </w:r>
          </w:p>
        </w:tc>
      </w:tr>
      <w:tr w:rsidR="000026AC" w:rsidRPr="00126F3E" w:rsidTr="000026AC">
        <w:tc>
          <w:tcPr>
            <w:tcW w:w="551" w:type="dxa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r w:rsidRPr="00126F3E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8678" w:type="dxa"/>
            <w:vAlign w:val="center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6F3E">
              <w:rPr>
                <w:color w:val="000000"/>
                <w:sz w:val="20"/>
                <w:szCs w:val="20"/>
              </w:rPr>
              <w:t>Dawn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B, Varma J,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Singh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P,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Longaker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RA,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Stoddard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MF.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Cardiovascular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death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in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patients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with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atrial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fibrillation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is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better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predicted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by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left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atrial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thrombus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spontaneous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echocardiographic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contrast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compared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with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clinical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parameters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Journal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the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American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Society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Echocardiography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: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Official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Publication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the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American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Society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Echocardiography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>. 2005; 18(3):199-205</w:t>
            </w:r>
          </w:p>
        </w:tc>
      </w:tr>
      <w:tr w:rsidR="000026AC" w:rsidRPr="00126F3E" w:rsidTr="000026AC">
        <w:tc>
          <w:tcPr>
            <w:tcW w:w="551" w:type="dxa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r w:rsidRPr="00126F3E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8678" w:type="dxa"/>
            <w:vAlign w:val="center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6F3E">
              <w:rPr>
                <w:color w:val="000000"/>
                <w:sz w:val="20"/>
                <w:szCs w:val="20"/>
              </w:rPr>
              <w:t>Dmochowska-Perz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M,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Loboz-Grudzien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K,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Sokalski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L,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Jazwinska-Tarnawska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E.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Factors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predicting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recurrence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atrial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fibrillation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after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cardioversion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Kardiologia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Polska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>. 2002; 57(12):501-511</w:t>
            </w:r>
          </w:p>
        </w:tc>
      </w:tr>
      <w:tr w:rsidR="000026AC" w:rsidRPr="00126F3E" w:rsidTr="000026AC">
        <w:tc>
          <w:tcPr>
            <w:tcW w:w="551" w:type="dxa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r w:rsidRPr="00126F3E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8678" w:type="dxa"/>
            <w:vAlign w:val="center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6F3E">
              <w:rPr>
                <w:color w:val="000000"/>
                <w:sz w:val="20"/>
                <w:szCs w:val="20"/>
              </w:rPr>
              <w:t>Dogan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A,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Avsar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A,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Ozturk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M.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P-wave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dispersion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for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predicting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maintenance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sinus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rhythm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after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cardioversion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atrial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fibrillation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American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Journal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Cardiology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>. 2004; 93(3):368-371</w:t>
            </w:r>
          </w:p>
        </w:tc>
      </w:tr>
      <w:tr w:rsidR="000026AC" w:rsidRPr="00126F3E" w:rsidTr="000026AC">
        <w:tc>
          <w:tcPr>
            <w:tcW w:w="551" w:type="dxa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r w:rsidRPr="00126F3E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8678" w:type="dxa"/>
            <w:vAlign w:val="center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6F3E">
              <w:rPr>
                <w:color w:val="000000"/>
                <w:sz w:val="20"/>
                <w:szCs w:val="20"/>
              </w:rPr>
              <w:t>Duytschaever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M,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Haerynck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F,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Tavernier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R,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Jordaens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L.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Factors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influencing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long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term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persistence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sinus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rhythm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after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first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electrical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cardioversion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for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atrial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fibrillation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Pacing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Clinical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Electrophysiology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. 1998; 21(1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Pt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2):284-287</w:t>
            </w:r>
          </w:p>
        </w:tc>
      </w:tr>
      <w:tr w:rsidR="000026AC" w:rsidRPr="00126F3E" w:rsidTr="000026AC">
        <w:tc>
          <w:tcPr>
            <w:tcW w:w="551" w:type="dxa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r w:rsidRPr="00126F3E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8678" w:type="dxa"/>
            <w:vAlign w:val="center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6F3E">
              <w:rPr>
                <w:color w:val="000000"/>
                <w:sz w:val="20"/>
                <w:szCs w:val="20"/>
              </w:rPr>
              <w:t>Flaker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GC,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Fletcher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KA,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Rothbart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RM,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Halperin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JL,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Hart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RG.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Clinical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echocardiographic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features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intermittent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atrial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fibrillation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that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predict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recurrent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atrial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fibrillation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Stroke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Prevention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in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Atrial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Fibrillation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(SPAF)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Investigators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American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Journal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Cardiology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>. 1995; 76(5):355-358</w:t>
            </w:r>
          </w:p>
        </w:tc>
      </w:tr>
      <w:tr w:rsidR="000026AC" w:rsidRPr="00126F3E" w:rsidTr="000026AC">
        <w:tc>
          <w:tcPr>
            <w:tcW w:w="551" w:type="dxa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r w:rsidRPr="00126F3E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8678" w:type="dxa"/>
            <w:vAlign w:val="center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6F3E">
              <w:rPr>
                <w:color w:val="000000"/>
                <w:sz w:val="20"/>
                <w:szCs w:val="20"/>
              </w:rPr>
              <w:t>Frick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M,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Frykman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V,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Jensen-Urstad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M,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Ostergren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J,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Rosenqvist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M.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Factors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predicting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success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rate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recurrence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atrial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fibrillation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after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first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electrical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cardioversion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in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patients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with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persistent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atrial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fibrillation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Clinical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Cardiology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>. 2001; 24(3):238-244</w:t>
            </w:r>
          </w:p>
        </w:tc>
      </w:tr>
      <w:tr w:rsidR="000026AC" w:rsidRPr="00126F3E" w:rsidTr="000026AC">
        <w:tc>
          <w:tcPr>
            <w:tcW w:w="551" w:type="dxa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r w:rsidRPr="00126F3E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8678" w:type="dxa"/>
            <w:vAlign w:val="center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r w:rsidRPr="00126F3E">
              <w:rPr>
                <w:color w:val="000000"/>
                <w:sz w:val="20"/>
                <w:szCs w:val="20"/>
              </w:rPr>
              <w:t xml:space="preserve">Kamp O,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Verhorst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PM,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Welling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RC,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Visser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CA.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Importance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left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atrial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appendage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flow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predictor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thromboembolic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events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in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patients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with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atrial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fibrillation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European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Heart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Journal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>. 1999; 20(13):979-985</w:t>
            </w:r>
          </w:p>
        </w:tc>
      </w:tr>
      <w:tr w:rsidR="000026AC" w:rsidRPr="00126F3E" w:rsidTr="000026AC">
        <w:tc>
          <w:tcPr>
            <w:tcW w:w="551" w:type="dxa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r w:rsidRPr="00126F3E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8678" w:type="dxa"/>
            <w:vAlign w:val="center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6F3E">
              <w:rPr>
                <w:color w:val="000000"/>
                <w:sz w:val="20"/>
                <w:szCs w:val="20"/>
              </w:rPr>
              <w:t>Kosior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D,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Szulc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M,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Piatkowski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R,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Rabczenko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D,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Torbicki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A,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Opolski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G.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Factors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determining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long-term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maintenance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sinus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rhythm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after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cardioversion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persistent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atrial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fibrillation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Kardiologia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Polska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>. 2003; 59(8):128-141</w:t>
            </w:r>
          </w:p>
        </w:tc>
      </w:tr>
      <w:tr w:rsidR="000026AC" w:rsidRPr="00126F3E" w:rsidTr="000026AC">
        <w:tc>
          <w:tcPr>
            <w:tcW w:w="551" w:type="dxa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r w:rsidRPr="00126F3E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8678" w:type="dxa"/>
            <w:vAlign w:val="center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6F3E">
              <w:rPr>
                <w:color w:val="000000"/>
                <w:sz w:val="20"/>
                <w:szCs w:val="20"/>
              </w:rPr>
              <w:t>Leung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DY,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Black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IW,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Cranney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GB,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Hopkins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AP,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Walsh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WF.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Prognostic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implications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left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atrial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spontaneous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echo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contrast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in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nonvalvular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atrial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fibrillation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Journal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the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American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College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Cardiology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>. 1994; 24(3):755-762</w:t>
            </w:r>
          </w:p>
        </w:tc>
      </w:tr>
      <w:tr w:rsidR="000026AC" w:rsidRPr="00126F3E" w:rsidTr="000026AC">
        <w:tc>
          <w:tcPr>
            <w:tcW w:w="551" w:type="dxa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r w:rsidRPr="00126F3E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8678" w:type="dxa"/>
            <w:vAlign w:val="center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6F3E">
              <w:rPr>
                <w:color w:val="000000"/>
                <w:sz w:val="20"/>
                <w:szCs w:val="20"/>
              </w:rPr>
              <w:t>Miyazaki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S,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Ito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T,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Suwa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M,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Nakamura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T,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Kobashi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A,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Kitaura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Y.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Role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transesophageal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echocardiography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in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the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prediction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thromboembolism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in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patients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with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chronic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nonvalvular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atrial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fibrillation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Japanese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Circulation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Journal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>. 2001; 65(10):874-878</w:t>
            </w:r>
          </w:p>
        </w:tc>
      </w:tr>
      <w:tr w:rsidR="000026AC" w:rsidRPr="00126F3E" w:rsidTr="000026AC">
        <w:tc>
          <w:tcPr>
            <w:tcW w:w="551" w:type="dxa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r w:rsidRPr="00126F3E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8678" w:type="dxa"/>
            <w:vAlign w:val="center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6F3E">
              <w:rPr>
                <w:color w:val="000000"/>
                <w:sz w:val="20"/>
                <w:szCs w:val="20"/>
              </w:rPr>
              <w:t>Nakagami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H,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Yamamoto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K,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Ikeda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U,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Mitsuhashi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T,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Goto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T,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Shimada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K. Mitral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regurgitation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reduces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the risk of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stroke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in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patients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with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nonrheumatic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atrial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fibrillation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American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Heart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Journal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>. 1998; 136(3):528-532</w:t>
            </w:r>
          </w:p>
        </w:tc>
      </w:tr>
      <w:tr w:rsidR="000026AC" w:rsidRPr="00126F3E" w:rsidTr="000026AC">
        <w:tc>
          <w:tcPr>
            <w:tcW w:w="551" w:type="dxa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r w:rsidRPr="00126F3E"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8678" w:type="dxa"/>
            <w:vAlign w:val="center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6F3E">
              <w:rPr>
                <w:color w:val="000000"/>
                <w:sz w:val="20"/>
                <w:szCs w:val="20"/>
              </w:rPr>
              <w:t>Olshansky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B, Heller EN,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Mitchell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LB,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Chandler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M,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Slater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W,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Green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M et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. Are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transthoracic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echocardiographic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parameters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associated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with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atrial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fibrillation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recurrence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or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stroke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?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Results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from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the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Atrial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Fibrillation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Follow-Up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Investigation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Rhythm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Management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(AFFIRM)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study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Journal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the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American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College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Cardiology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>. 2005; 45(12):2026-2033</w:t>
            </w:r>
          </w:p>
        </w:tc>
      </w:tr>
      <w:tr w:rsidR="000026AC" w:rsidRPr="00126F3E" w:rsidTr="000026AC">
        <w:tc>
          <w:tcPr>
            <w:tcW w:w="551" w:type="dxa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r w:rsidRPr="00126F3E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8678" w:type="dxa"/>
            <w:vAlign w:val="center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6F3E">
              <w:rPr>
                <w:color w:val="000000"/>
                <w:sz w:val="20"/>
                <w:szCs w:val="20"/>
              </w:rPr>
              <w:t>Paraskevaidis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IA,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Dodouras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T,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Tsiapras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D,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Kremastinos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DT.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Prediction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successful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cardioversion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maintenance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sinus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rhythm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in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patients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with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lone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atrial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fibrillation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Chest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>. 2005; 127(2):488-494</w:t>
            </w:r>
          </w:p>
        </w:tc>
      </w:tr>
      <w:tr w:rsidR="000026AC" w:rsidRPr="00126F3E" w:rsidTr="000026AC">
        <w:tc>
          <w:tcPr>
            <w:tcW w:w="551" w:type="dxa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r w:rsidRPr="00126F3E"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8678" w:type="dxa"/>
            <w:vAlign w:val="center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6F3E">
              <w:rPr>
                <w:color w:val="000000"/>
                <w:sz w:val="20"/>
                <w:szCs w:val="20"/>
              </w:rPr>
              <w:t>Roijer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A,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Meurling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CJ,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Eskilsson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J,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Olsson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B.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Left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atrial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appendage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outflow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velocity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index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is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superior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to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conventional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criteria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for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prediction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maintenance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sinus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rhythm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after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cardioversion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echocardiographic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study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in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patients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with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atrial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fibrillation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a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few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months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'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duration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Scandinavian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Cardiovascular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Journal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>. 2001; 35(2):119-124</w:t>
            </w:r>
          </w:p>
        </w:tc>
      </w:tr>
      <w:tr w:rsidR="000026AC" w:rsidRPr="00126F3E" w:rsidTr="000026AC">
        <w:tc>
          <w:tcPr>
            <w:tcW w:w="551" w:type="dxa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r w:rsidRPr="00126F3E">
              <w:rPr>
                <w:color w:val="000000"/>
                <w:sz w:val="20"/>
                <w:szCs w:val="20"/>
              </w:rPr>
              <w:t>404</w:t>
            </w:r>
          </w:p>
        </w:tc>
        <w:tc>
          <w:tcPr>
            <w:tcW w:w="8678" w:type="dxa"/>
            <w:vAlign w:val="center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6F3E">
              <w:rPr>
                <w:color w:val="000000"/>
                <w:sz w:val="20"/>
                <w:szCs w:val="20"/>
              </w:rPr>
              <w:t>Shinokawa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N,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Hirai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T,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Takashima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S,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Kameyama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T,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Nakagawa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K,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Asanoi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H et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. A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transesophageal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echocardiographic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study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on risk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factors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for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stroke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in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elderly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patients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with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atrial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fibrillation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: a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comparison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with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younger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patients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Chest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>. 2001; 120(3):840-846</w:t>
            </w:r>
          </w:p>
        </w:tc>
      </w:tr>
      <w:tr w:rsidR="000026AC" w:rsidRPr="00126F3E" w:rsidTr="000026AC">
        <w:tc>
          <w:tcPr>
            <w:tcW w:w="551" w:type="dxa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r w:rsidRPr="00126F3E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8678" w:type="dxa"/>
            <w:vAlign w:val="center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6F3E">
              <w:rPr>
                <w:color w:val="000000"/>
                <w:sz w:val="20"/>
                <w:szCs w:val="20"/>
              </w:rPr>
              <w:t>Stollberger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C,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Chnupa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P,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Kronik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G,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Brainin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M,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Finsterer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J,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Schneider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B et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Transesophageal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echocardiography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to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assess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embolic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risk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in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patients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with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atrial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fibrillation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. ELAT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Study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Group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Embolism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in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Left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Atrial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Thrombi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Annals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Internal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Medicine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>. 1998; 128(8):630-638</w:t>
            </w:r>
          </w:p>
        </w:tc>
      </w:tr>
      <w:tr w:rsidR="000026AC" w:rsidRPr="00126F3E" w:rsidTr="000026AC">
        <w:tc>
          <w:tcPr>
            <w:tcW w:w="551" w:type="dxa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r w:rsidRPr="00126F3E"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8678" w:type="dxa"/>
            <w:vAlign w:val="center"/>
          </w:tcPr>
          <w:p w:rsidR="000026AC" w:rsidRPr="00126F3E" w:rsidRDefault="000026AC" w:rsidP="000026A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6F3E">
              <w:rPr>
                <w:color w:val="000000"/>
                <w:sz w:val="20"/>
                <w:szCs w:val="20"/>
              </w:rPr>
              <w:t>Tischler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MD, Lee TH,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McAndrew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KA,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Sax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PE,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Sutton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MS, Lee RT.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Clinical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echocardiographic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Doppler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correlates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clinical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instability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with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onset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atrial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fibrillation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American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Journal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6F3E">
              <w:rPr>
                <w:color w:val="000000"/>
                <w:sz w:val="20"/>
                <w:szCs w:val="20"/>
              </w:rPr>
              <w:t>Cardiology</w:t>
            </w:r>
            <w:proofErr w:type="spellEnd"/>
            <w:r w:rsidRPr="00126F3E">
              <w:rPr>
                <w:color w:val="000000"/>
                <w:sz w:val="20"/>
                <w:szCs w:val="20"/>
              </w:rPr>
              <w:t>. 1990; 66(7):721-724</w:t>
            </w:r>
          </w:p>
        </w:tc>
      </w:tr>
      <w:tr w:rsidR="000026AC" w:rsidTr="000026AC">
        <w:tc>
          <w:tcPr>
            <w:tcW w:w="551" w:type="dxa"/>
          </w:tcPr>
          <w:p w:rsidR="000026AC" w:rsidRDefault="000026AC" w:rsidP="000026A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678" w:type="dxa"/>
            <w:vAlign w:val="center"/>
          </w:tcPr>
          <w:p w:rsidR="000026AC" w:rsidRDefault="000026AC" w:rsidP="000026AC">
            <w:pPr>
              <w:rPr>
                <w:rFonts w:ascii="Calibri" w:hAnsi="Calibri"/>
                <w:color w:val="000000"/>
              </w:rPr>
            </w:pPr>
            <w:r w:rsidRPr="00BF59C2">
              <w:rPr>
                <w:noProof/>
                <w:lang w:eastAsia="et-EE"/>
              </w:rPr>
              <w:drawing>
                <wp:inline distT="0" distB="0" distL="0" distR="0" wp14:anchorId="7D1D739B" wp14:editId="6DE903E8">
                  <wp:extent cx="2088729" cy="4314423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916" cy="431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26AC" w:rsidRDefault="000026AC" w:rsidP="000026AC"/>
    <w:p w:rsidR="000026AC" w:rsidRDefault="000026AC" w:rsidP="000026AC">
      <w:pPr>
        <w:rPr>
          <w:b/>
        </w:rPr>
      </w:pPr>
      <w:r w:rsidRPr="00126F3E">
        <w:rPr>
          <w:b/>
        </w:rPr>
        <w:t>Viited ESC 2016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7"/>
        <w:gridCol w:w="8678"/>
      </w:tblGrid>
      <w:tr w:rsidR="000026AC" w:rsidTr="000026AC">
        <w:tc>
          <w:tcPr>
            <w:tcW w:w="534" w:type="dxa"/>
          </w:tcPr>
          <w:p w:rsidR="000026AC" w:rsidRDefault="000026AC" w:rsidP="000026AC">
            <w:r>
              <w:t>339.</w:t>
            </w:r>
          </w:p>
        </w:tc>
        <w:tc>
          <w:tcPr>
            <w:tcW w:w="8678" w:type="dxa"/>
          </w:tcPr>
          <w:p w:rsidR="000026AC" w:rsidRDefault="000026AC" w:rsidP="000026AC">
            <w:proofErr w:type="spellStart"/>
            <w:r>
              <w:t>Donal</w:t>
            </w:r>
            <w:proofErr w:type="spellEnd"/>
            <w:r>
              <w:t xml:space="preserve"> E, </w:t>
            </w:r>
            <w:proofErr w:type="spellStart"/>
            <w:r>
              <w:t>Lip</w:t>
            </w:r>
            <w:proofErr w:type="spellEnd"/>
            <w:r>
              <w:t xml:space="preserve"> GY, </w:t>
            </w:r>
            <w:proofErr w:type="spellStart"/>
            <w:r>
              <w:t>Galderisi</w:t>
            </w:r>
            <w:proofErr w:type="spellEnd"/>
            <w:r>
              <w:t xml:space="preserve"> M, </w:t>
            </w:r>
            <w:proofErr w:type="spellStart"/>
            <w:r>
              <w:t>Goette</w:t>
            </w:r>
            <w:proofErr w:type="spellEnd"/>
            <w:r>
              <w:t xml:space="preserve"> A, </w:t>
            </w:r>
            <w:proofErr w:type="spellStart"/>
            <w:r>
              <w:t>Shah</w:t>
            </w:r>
            <w:proofErr w:type="spellEnd"/>
            <w:r>
              <w:t xml:space="preserve"> D, </w:t>
            </w:r>
            <w:proofErr w:type="spellStart"/>
            <w:r>
              <w:t>Marwan</w:t>
            </w:r>
            <w:proofErr w:type="spellEnd"/>
            <w:r>
              <w:t xml:space="preserve"> M, </w:t>
            </w:r>
            <w:proofErr w:type="spellStart"/>
            <w:r>
              <w:t>Lederlin</w:t>
            </w:r>
            <w:proofErr w:type="spellEnd"/>
            <w:r>
              <w:t xml:space="preserve"> M,</w:t>
            </w:r>
          </w:p>
          <w:p w:rsidR="000026AC" w:rsidRDefault="000026AC" w:rsidP="000026AC">
            <w:proofErr w:type="spellStart"/>
            <w:r>
              <w:t>Mondillo</w:t>
            </w:r>
            <w:proofErr w:type="spellEnd"/>
            <w:r>
              <w:t xml:space="preserve"> S, </w:t>
            </w:r>
            <w:proofErr w:type="spellStart"/>
            <w:r>
              <w:t>Edvardsen</w:t>
            </w:r>
            <w:proofErr w:type="spellEnd"/>
            <w:r>
              <w:t xml:space="preserve"> T, </w:t>
            </w:r>
            <w:proofErr w:type="spellStart"/>
            <w:r>
              <w:t>Sitges</w:t>
            </w:r>
            <w:proofErr w:type="spellEnd"/>
            <w:r>
              <w:t xml:space="preserve"> M, </w:t>
            </w:r>
            <w:proofErr w:type="spellStart"/>
            <w:r>
              <w:t>Grapsa</w:t>
            </w:r>
            <w:proofErr w:type="spellEnd"/>
            <w:r>
              <w:t xml:space="preserve"> J, </w:t>
            </w:r>
            <w:proofErr w:type="spellStart"/>
            <w:r>
              <w:t>Garbi</w:t>
            </w:r>
            <w:proofErr w:type="spellEnd"/>
            <w:r>
              <w:t xml:space="preserve"> M, </w:t>
            </w:r>
            <w:proofErr w:type="spellStart"/>
            <w:r>
              <w:t>Senior</w:t>
            </w:r>
            <w:proofErr w:type="spellEnd"/>
            <w:r>
              <w:t xml:space="preserve"> R, </w:t>
            </w:r>
            <w:proofErr w:type="spellStart"/>
            <w:r>
              <w:t>Gimelli</w:t>
            </w:r>
            <w:proofErr w:type="spellEnd"/>
            <w:r>
              <w:t xml:space="preserve"> A,</w:t>
            </w:r>
          </w:p>
          <w:p w:rsidR="000026AC" w:rsidRDefault="000026AC" w:rsidP="000026AC">
            <w:proofErr w:type="spellStart"/>
            <w:r>
              <w:t>Potpara</w:t>
            </w:r>
            <w:proofErr w:type="spellEnd"/>
            <w:r>
              <w:t xml:space="preserve"> TS, Van </w:t>
            </w:r>
            <w:proofErr w:type="spellStart"/>
            <w:r>
              <w:t>Gelder</w:t>
            </w:r>
            <w:proofErr w:type="spellEnd"/>
            <w:r>
              <w:t xml:space="preserve"> IC, </w:t>
            </w:r>
            <w:proofErr w:type="spellStart"/>
            <w:r>
              <w:t>Gorenek</w:t>
            </w:r>
            <w:proofErr w:type="spellEnd"/>
            <w:r>
              <w:t xml:space="preserve"> B, </w:t>
            </w:r>
            <w:proofErr w:type="spellStart"/>
            <w:r>
              <w:t>Mabo</w:t>
            </w:r>
            <w:proofErr w:type="spellEnd"/>
            <w:r>
              <w:t xml:space="preserve"> P, </w:t>
            </w:r>
            <w:proofErr w:type="spellStart"/>
            <w:r>
              <w:t>Lancellotti</w:t>
            </w:r>
            <w:proofErr w:type="spellEnd"/>
            <w:r>
              <w:t xml:space="preserve"> P, </w:t>
            </w:r>
            <w:proofErr w:type="spellStart"/>
            <w:r>
              <w:t>Kuck</w:t>
            </w:r>
            <w:proofErr w:type="spellEnd"/>
            <w:r>
              <w:t xml:space="preserve"> KH,</w:t>
            </w:r>
          </w:p>
          <w:p w:rsidR="000026AC" w:rsidRDefault="000026AC" w:rsidP="000026AC">
            <w:proofErr w:type="spellStart"/>
            <w:r>
              <w:t>Popescu</w:t>
            </w:r>
            <w:proofErr w:type="spellEnd"/>
            <w:r>
              <w:t xml:space="preserve"> BA, </w:t>
            </w:r>
            <w:proofErr w:type="spellStart"/>
            <w:r>
              <w:t>Hindricks</w:t>
            </w:r>
            <w:proofErr w:type="spellEnd"/>
            <w:r>
              <w:t xml:space="preserve"> G, </w:t>
            </w:r>
            <w:proofErr w:type="spellStart"/>
            <w:r>
              <w:t>Habib</w:t>
            </w:r>
            <w:proofErr w:type="spellEnd"/>
            <w:r>
              <w:t xml:space="preserve"> G, </w:t>
            </w:r>
            <w:proofErr w:type="spellStart"/>
            <w:r>
              <w:t>Cosyns</w:t>
            </w:r>
            <w:proofErr w:type="spellEnd"/>
            <w:r>
              <w:t xml:space="preserve"> B, </w:t>
            </w:r>
            <w:proofErr w:type="spellStart"/>
            <w:r>
              <w:t>Delgado</w:t>
            </w:r>
            <w:proofErr w:type="spellEnd"/>
            <w:r>
              <w:t xml:space="preserve"> V, </w:t>
            </w:r>
            <w:proofErr w:type="spellStart"/>
            <w:r>
              <w:t>Haugaa</w:t>
            </w:r>
            <w:proofErr w:type="spellEnd"/>
            <w:r>
              <w:t xml:space="preserve"> KH,</w:t>
            </w:r>
          </w:p>
          <w:p w:rsidR="000026AC" w:rsidRDefault="000026AC" w:rsidP="000026AC">
            <w:proofErr w:type="spellStart"/>
            <w:r>
              <w:t>Muraru</w:t>
            </w:r>
            <w:proofErr w:type="spellEnd"/>
            <w:r>
              <w:t xml:space="preserve"> D, </w:t>
            </w:r>
            <w:proofErr w:type="spellStart"/>
            <w:r>
              <w:t>Nieman</w:t>
            </w:r>
            <w:proofErr w:type="spellEnd"/>
            <w:r>
              <w:t xml:space="preserve"> K, </w:t>
            </w:r>
            <w:proofErr w:type="spellStart"/>
            <w:r>
              <w:t>Cohen</w:t>
            </w:r>
            <w:proofErr w:type="spellEnd"/>
            <w:r>
              <w:t xml:space="preserve"> A. EACVI/EHRA </w:t>
            </w:r>
            <w:proofErr w:type="spellStart"/>
            <w:r>
              <w:t>Expert</w:t>
            </w:r>
            <w:proofErr w:type="spellEnd"/>
            <w:r>
              <w:t xml:space="preserve"> </w:t>
            </w:r>
            <w:proofErr w:type="spellStart"/>
            <w:r>
              <w:t>Consensus</w:t>
            </w:r>
            <w:proofErr w:type="spellEnd"/>
            <w:r>
              <w:t xml:space="preserve"> Document</w:t>
            </w:r>
          </w:p>
          <w:p w:rsidR="000026AC" w:rsidRDefault="000026AC" w:rsidP="000026AC">
            <w:r>
              <w:t xml:space="preserve">on the </w:t>
            </w:r>
            <w:proofErr w:type="spellStart"/>
            <w:r>
              <w:t>role</w:t>
            </w:r>
            <w:proofErr w:type="spellEnd"/>
            <w:r>
              <w:t xml:space="preserve"> of </w:t>
            </w:r>
            <w:proofErr w:type="spellStart"/>
            <w:r>
              <w:t>multi-modality</w:t>
            </w:r>
            <w:proofErr w:type="spellEnd"/>
            <w:r>
              <w:t xml:space="preserve"> </w:t>
            </w:r>
            <w:proofErr w:type="spellStart"/>
            <w:r>
              <w:t>imaging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the </w:t>
            </w:r>
            <w:proofErr w:type="spellStart"/>
            <w:r>
              <w:t>evaluation</w:t>
            </w:r>
            <w:proofErr w:type="spellEnd"/>
            <w:r>
              <w:t xml:space="preserve"> of </w:t>
            </w:r>
            <w:proofErr w:type="spellStart"/>
            <w:r>
              <w:t>patients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atrial</w:t>
            </w:r>
            <w:proofErr w:type="spellEnd"/>
            <w:r>
              <w:t xml:space="preserve"> </w:t>
            </w:r>
            <w:proofErr w:type="spellStart"/>
            <w:r>
              <w:t>fibrillation</w:t>
            </w:r>
            <w:proofErr w:type="spellEnd"/>
            <w:r>
              <w:t>.</w:t>
            </w:r>
          </w:p>
          <w:p w:rsidR="000026AC" w:rsidRDefault="000026AC" w:rsidP="000026AC">
            <w:proofErr w:type="spellStart"/>
            <w:r>
              <w:t>Eur</w:t>
            </w:r>
            <w:proofErr w:type="spellEnd"/>
            <w:r>
              <w:t xml:space="preserve"> </w:t>
            </w:r>
            <w:proofErr w:type="spellStart"/>
            <w:r>
              <w:t>Heart</w:t>
            </w:r>
            <w:proofErr w:type="spellEnd"/>
            <w:r>
              <w:t xml:space="preserve"> J </w:t>
            </w:r>
            <w:proofErr w:type="spellStart"/>
            <w:r>
              <w:t>Cardiovasc</w:t>
            </w:r>
            <w:proofErr w:type="spellEnd"/>
            <w:r>
              <w:t xml:space="preserve"> Imaging 2016;17:355–383.</w:t>
            </w:r>
          </w:p>
          <w:p w:rsidR="000026AC" w:rsidRDefault="000026AC" w:rsidP="000026AC">
            <w:r w:rsidRPr="00707BA1">
              <w:rPr>
                <w:color w:val="FF0000"/>
              </w:rPr>
              <w:t xml:space="preserve">„The </w:t>
            </w:r>
            <w:proofErr w:type="spellStart"/>
            <w:r w:rsidRPr="00707BA1">
              <w:rPr>
                <w:color w:val="FF0000"/>
              </w:rPr>
              <w:t>absence</w:t>
            </w:r>
            <w:proofErr w:type="spellEnd"/>
            <w:r w:rsidRPr="00707BA1">
              <w:rPr>
                <w:color w:val="FF0000"/>
              </w:rPr>
              <w:t xml:space="preserve"> of </w:t>
            </w:r>
            <w:proofErr w:type="spellStart"/>
            <w:r w:rsidRPr="00707BA1">
              <w:rPr>
                <w:color w:val="FF0000"/>
              </w:rPr>
              <w:t>randomized</w:t>
            </w:r>
            <w:proofErr w:type="spellEnd"/>
            <w:r w:rsidRPr="00707BA1">
              <w:rPr>
                <w:color w:val="FF0000"/>
              </w:rPr>
              <w:t xml:space="preserve"> </w:t>
            </w:r>
            <w:proofErr w:type="spellStart"/>
            <w:r w:rsidRPr="00707BA1">
              <w:rPr>
                <w:color w:val="FF0000"/>
              </w:rPr>
              <w:t>study</w:t>
            </w:r>
            <w:proofErr w:type="spellEnd"/>
            <w:r w:rsidRPr="00707BA1">
              <w:rPr>
                <w:color w:val="FF0000"/>
              </w:rPr>
              <w:t xml:space="preserve"> </w:t>
            </w:r>
            <w:proofErr w:type="spellStart"/>
            <w:r w:rsidRPr="00707BA1">
              <w:rPr>
                <w:color w:val="FF0000"/>
              </w:rPr>
              <w:t>or</w:t>
            </w:r>
            <w:proofErr w:type="spellEnd"/>
            <w:r w:rsidRPr="00707BA1">
              <w:rPr>
                <w:color w:val="FF0000"/>
              </w:rPr>
              <w:t xml:space="preserve"> </w:t>
            </w:r>
            <w:proofErr w:type="spellStart"/>
            <w:r w:rsidRPr="00707BA1">
              <w:rPr>
                <w:color w:val="FF0000"/>
              </w:rPr>
              <w:t>large</w:t>
            </w:r>
            <w:proofErr w:type="spellEnd"/>
            <w:r w:rsidRPr="00707BA1">
              <w:rPr>
                <w:color w:val="FF0000"/>
              </w:rPr>
              <w:t xml:space="preserve"> </w:t>
            </w:r>
            <w:proofErr w:type="spellStart"/>
            <w:r w:rsidRPr="00707BA1">
              <w:rPr>
                <w:color w:val="FF0000"/>
              </w:rPr>
              <w:t>registry</w:t>
            </w:r>
            <w:proofErr w:type="spellEnd"/>
            <w:r w:rsidRPr="00707BA1">
              <w:rPr>
                <w:color w:val="FF0000"/>
              </w:rPr>
              <w:t xml:space="preserve"> </w:t>
            </w:r>
            <w:proofErr w:type="spellStart"/>
            <w:r w:rsidRPr="00707BA1">
              <w:rPr>
                <w:color w:val="FF0000"/>
              </w:rPr>
              <w:t>demonstrating</w:t>
            </w:r>
            <w:proofErr w:type="spellEnd"/>
            <w:r w:rsidRPr="00707BA1">
              <w:rPr>
                <w:color w:val="FF0000"/>
              </w:rPr>
              <w:t xml:space="preserve"> the </w:t>
            </w:r>
            <w:proofErr w:type="spellStart"/>
            <w:r w:rsidRPr="00707BA1">
              <w:rPr>
                <w:color w:val="FF0000"/>
              </w:rPr>
              <w:t>prognostic</w:t>
            </w:r>
            <w:proofErr w:type="spellEnd"/>
            <w:r w:rsidRPr="00707BA1">
              <w:rPr>
                <w:color w:val="FF0000"/>
              </w:rPr>
              <w:t xml:space="preserve"> </w:t>
            </w:r>
            <w:proofErr w:type="spellStart"/>
            <w:r w:rsidRPr="00707BA1">
              <w:rPr>
                <w:color w:val="FF0000"/>
              </w:rPr>
              <w:t>value</w:t>
            </w:r>
            <w:proofErr w:type="spellEnd"/>
            <w:r w:rsidRPr="00707BA1">
              <w:rPr>
                <w:color w:val="FF0000"/>
              </w:rPr>
              <w:t xml:space="preserve"> of </w:t>
            </w:r>
            <w:proofErr w:type="spellStart"/>
            <w:r w:rsidRPr="00707BA1">
              <w:rPr>
                <w:color w:val="FF0000"/>
              </w:rPr>
              <w:t>imaging</w:t>
            </w:r>
            <w:proofErr w:type="spellEnd"/>
            <w:r w:rsidRPr="00707BA1">
              <w:rPr>
                <w:color w:val="FF0000"/>
              </w:rPr>
              <w:t xml:space="preserve"> </w:t>
            </w:r>
            <w:proofErr w:type="spellStart"/>
            <w:r w:rsidRPr="00707BA1">
              <w:rPr>
                <w:color w:val="FF0000"/>
              </w:rPr>
              <w:t>techniques</w:t>
            </w:r>
            <w:proofErr w:type="spellEnd"/>
            <w:r w:rsidRPr="00707BA1">
              <w:rPr>
                <w:color w:val="FF0000"/>
              </w:rPr>
              <w:t xml:space="preserve"> </w:t>
            </w:r>
            <w:proofErr w:type="spellStart"/>
            <w:r w:rsidRPr="00707BA1">
              <w:rPr>
                <w:color w:val="FF0000"/>
              </w:rPr>
              <w:t>in</w:t>
            </w:r>
            <w:proofErr w:type="spellEnd"/>
            <w:r w:rsidRPr="00707BA1">
              <w:rPr>
                <w:color w:val="FF0000"/>
              </w:rPr>
              <w:t xml:space="preserve"> AF </w:t>
            </w:r>
            <w:proofErr w:type="spellStart"/>
            <w:r w:rsidRPr="00707BA1">
              <w:rPr>
                <w:color w:val="FF0000"/>
              </w:rPr>
              <w:t>patients</w:t>
            </w:r>
            <w:proofErr w:type="spellEnd"/>
            <w:r w:rsidRPr="00707BA1">
              <w:rPr>
                <w:color w:val="FF0000"/>
              </w:rPr>
              <w:t xml:space="preserve"> </w:t>
            </w:r>
            <w:proofErr w:type="spellStart"/>
            <w:r w:rsidRPr="00707BA1">
              <w:rPr>
                <w:color w:val="FF0000"/>
              </w:rPr>
              <w:t>is</w:t>
            </w:r>
            <w:proofErr w:type="spellEnd"/>
            <w:r w:rsidRPr="00707BA1">
              <w:rPr>
                <w:color w:val="FF0000"/>
              </w:rPr>
              <w:t xml:space="preserve"> </w:t>
            </w:r>
            <w:proofErr w:type="spellStart"/>
            <w:r w:rsidRPr="00707BA1">
              <w:rPr>
                <w:color w:val="FF0000"/>
              </w:rPr>
              <w:t>nevertheless</w:t>
            </w:r>
            <w:proofErr w:type="spellEnd"/>
            <w:r w:rsidRPr="00707BA1">
              <w:rPr>
                <w:color w:val="FF0000"/>
              </w:rPr>
              <w:t xml:space="preserve"> a real </w:t>
            </w:r>
            <w:proofErr w:type="spellStart"/>
            <w:r w:rsidRPr="00707BA1">
              <w:rPr>
                <w:color w:val="FF0000"/>
              </w:rPr>
              <w:t>weakness</w:t>
            </w:r>
            <w:proofErr w:type="spellEnd"/>
            <w:r w:rsidRPr="00707BA1">
              <w:rPr>
                <w:color w:val="FF0000"/>
              </w:rPr>
              <w:t xml:space="preserve"> </w:t>
            </w:r>
            <w:proofErr w:type="spellStart"/>
            <w:r w:rsidRPr="00707BA1">
              <w:rPr>
                <w:color w:val="FF0000"/>
              </w:rPr>
              <w:t>for</w:t>
            </w:r>
            <w:proofErr w:type="spellEnd"/>
            <w:r w:rsidRPr="00707BA1">
              <w:rPr>
                <w:color w:val="FF0000"/>
              </w:rPr>
              <w:t xml:space="preserve"> </w:t>
            </w:r>
            <w:proofErr w:type="spellStart"/>
            <w:r w:rsidRPr="00707BA1">
              <w:rPr>
                <w:color w:val="FF0000"/>
              </w:rPr>
              <w:t>echocardiography</w:t>
            </w:r>
            <w:proofErr w:type="spellEnd"/>
            <w:r w:rsidRPr="00707BA1">
              <w:rPr>
                <w:color w:val="FF0000"/>
              </w:rPr>
              <w:t xml:space="preserve"> and </w:t>
            </w:r>
            <w:proofErr w:type="spellStart"/>
            <w:r w:rsidRPr="00707BA1">
              <w:rPr>
                <w:color w:val="FF0000"/>
              </w:rPr>
              <w:t>other</w:t>
            </w:r>
            <w:proofErr w:type="spellEnd"/>
            <w:r w:rsidRPr="00707BA1">
              <w:rPr>
                <w:color w:val="FF0000"/>
              </w:rPr>
              <w:t xml:space="preserve"> </w:t>
            </w:r>
            <w:proofErr w:type="spellStart"/>
            <w:r w:rsidRPr="00707BA1">
              <w:rPr>
                <w:color w:val="FF0000"/>
              </w:rPr>
              <w:t>imaging</w:t>
            </w:r>
            <w:proofErr w:type="spellEnd"/>
            <w:r w:rsidRPr="00707BA1">
              <w:rPr>
                <w:color w:val="FF0000"/>
              </w:rPr>
              <w:t xml:space="preserve"> </w:t>
            </w:r>
            <w:proofErr w:type="spellStart"/>
            <w:r w:rsidRPr="00707BA1">
              <w:rPr>
                <w:color w:val="FF0000"/>
              </w:rPr>
              <w:t>techniques</w:t>
            </w:r>
            <w:proofErr w:type="spellEnd"/>
            <w:r w:rsidRPr="00707BA1">
              <w:rPr>
                <w:color w:val="FF0000"/>
              </w:rPr>
              <w:t>.“</w:t>
            </w:r>
          </w:p>
        </w:tc>
      </w:tr>
      <w:tr w:rsidR="000026AC" w:rsidTr="000026AC">
        <w:tc>
          <w:tcPr>
            <w:tcW w:w="534" w:type="dxa"/>
          </w:tcPr>
          <w:p w:rsidR="000026AC" w:rsidRDefault="000026AC" w:rsidP="000026AC">
            <w:r>
              <w:t>340.</w:t>
            </w:r>
          </w:p>
          <w:p w:rsidR="000026AC" w:rsidRDefault="000026AC" w:rsidP="000026AC"/>
        </w:tc>
        <w:tc>
          <w:tcPr>
            <w:tcW w:w="8678" w:type="dxa"/>
          </w:tcPr>
          <w:p w:rsidR="000026AC" w:rsidRDefault="000026AC" w:rsidP="000026AC">
            <w:r>
              <w:t xml:space="preserve">Lang RM, </w:t>
            </w:r>
            <w:proofErr w:type="spellStart"/>
            <w:r>
              <w:t>Badano</w:t>
            </w:r>
            <w:proofErr w:type="spellEnd"/>
            <w:r>
              <w:t xml:space="preserve"> LP, </w:t>
            </w:r>
            <w:proofErr w:type="spellStart"/>
            <w:r>
              <w:t>Mor-Avi</w:t>
            </w:r>
            <w:proofErr w:type="spellEnd"/>
            <w:r>
              <w:t xml:space="preserve"> V, </w:t>
            </w:r>
            <w:proofErr w:type="spellStart"/>
            <w:r>
              <w:t>Afilalo</w:t>
            </w:r>
            <w:proofErr w:type="spellEnd"/>
            <w:r>
              <w:t xml:space="preserve"> J, </w:t>
            </w:r>
            <w:proofErr w:type="spellStart"/>
            <w:r>
              <w:t>Armstrong</w:t>
            </w:r>
            <w:proofErr w:type="spellEnd"/>
            <w:r>
              <w:t xml:space="preserve"> A, </w:t>
            </w:r>
            <w:proofErr w:type="spellStart"/>
            <w:r>
              <w:t>Ernande</w:t>
            </w:r>
            <w:proofErr w:type="spellEnd"/>
            <w:r>
              <w:t xml:space="preserve"> L,</w:t>
            </w:r>
          </w:p>
          <w:p w:rsidR="000026AC" w:rsidRDefault="000026AC" w:rsidP="000026AC">
            <w:proofErr w:type="spellStart"/>
            <w:r>
              <w:t>Flachskampf</w:t>
            </w:r>
            <w:proofErr w:type="spellEnd"/>
            <w:r>
              <w:t xml:space="preserve"> FA, </w:t>
            </w:r>
            <w:proofErr w:type="spellStart"/>
            <w:r>
              <w:t>Foster</w:t>
            </w:r>
            <w:proofErr w:type="spellEnd"/>
            <w:r>
              <w:t xml:space="preserve"> E, </w:t>
            </w:r>
            <w:proofErr w:type="spellStart"/>
            <w:r>
              <w:t>Goldstein</w:t>
            </w:r>
            <w:proofErr w:type="spellEnd"/>
            <w:r>
              <w:t xml:space="preserve"> SA, Kuznetsova T, </w:t>
            </w:r>
            <w:proofErr w:type="spellStart"/>
            <w:r>
              <w:t>Lancellotti</w:t>
            </w:r>
            <w:proofErr w:type="spellEnd"/>
            <w:r>
              <w:t xml:space="preserve"> P, </w:t>
            </w:r>
            <w:proofErr w:type="spellStart"/>
            <w:r>
              <w:t>Muraru</w:t>
            </w:r>
            <w:proofErr w:type="spellEnd"/>
            <w:r>
              <w:t xml:space="preserve"> D,</w:t>
            </w:r>
          </w:p>
          <w:p w:rsidR="000026AC" w:rsidRDefault="000026AC" w:rsidP="000026AC">
            <w:proofErr w:type="spellStart"/>
            <w:r>
              <w:t>Picard</w:t>
            </w:r>
            <w:proofErr w:type="spellEnd"/>
            <w:r>
              <w:t xml:space="preserve"> MH, </w:t>
            </w:r>
            <w:proofErr w:type="spellStart"/>
            <w:r>
              <w:t>Rietzschel</w:t>
            </w:r>
            <w:proofErr w:type="spellEnd"/>
            <w:r>
              <w:t xml:space="preserve"> ER, </w:t>
            </w:r>
            <w:proofErr w:type="spellStart"/>
            <w:r>
              <w:t>Rudski</w:t>
            </w:r>
            <w:proofErr w:type="spellEnd"/>
            <w:r>
              <w:t xml:space="preserve"> L, </w:t>
            </w:r>
            <w:proofErr w:type="spellStart"/>
            <w:r>
              <w:t>Spencer</w:t>
            </w:r>
            <w:proofErr w:type="spellEnd"/>
            <w:r>
              <w:t xml:space="preserve"> KT, </w:t>
            </w:r>
            <w:proofErr w:type="spellStart"/>
            <w:r>
              <w:t>TsangW</w:t>
            </w:r>
            <w:proofErr w:type="spellEnd"/>
            <w:r>
              <w:t xml:space="preserve">, </w:t>
            </w:r>
            <w:proofErr w:type="spellStart"/>
            <w:r>
              <w:t>Voigt</w:t>
            </w:r>
            <w:proofErr w:type="spellEnd"/>
            <w:r>
              <w:t xml:space="preserve"> JU. </w:t>
            </w:r>
            <w:proofErr w:type="spellStart"/>
            <w:r>
              <w:t>Recommendations</w:t>
            </w:r>
            <w:proofErr w:type="spellEnd"/>
          </w:p>
          <w:p w:rsidR="000026AC" w:rsidRDefault="000026AC" w:rsidP="000026AC"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cardiac</w:t>
            </w:r>
            <w:proofErr w:type="spellEnd"/>
            <w:r>
              <w:t xml:space="preserve"> </w:t>
            </w:r>
            <w:proofErr w:type="spellStart"/>
            <w:r>
              <w:t>chamber</w:t>
            </w:r>
            <w:proofErr w:type="spellEnd"/>
            <w:r>
              <w:t xml:space="preserve"> </w:t>
            </w:r>
            <w:proofErr w:type="spellStart"/>
            <w:r>
              <w:t>quantification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echocardiography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adults</w:t>
            </w:r>
            <w:proofErr w:type="spellEnd"/>
            <w:r>
              <w:t xml:space="preserve">: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update</w:t>
            </w:r>
            <w:proofErr w:type="spellEnd"/>
          </w:p>
          <w:p w:rsidR="000026AC" w:rsidRDefault="000026AC" w:rsidP="000026AC">
            <w:proofErr w:type="spellStart"/>
            <w:r>
              <w:t>from</w:t>
            </w:r>
            <w:proofErr w:type="spellEnd"/>
            <w:r>
              <w:t xml:space="preserve"> the </w:t>
            </w:r>
            <w:proofErr w:type="spellStart"/>
            <w:r>
              <w:t>american</w:t>
            </w:r>
            <w:proofErr w:type="spellEnd"/>
            <w:r>
              <w:t xml:space="preserve"> </w:t>
            </w:r>
            <w:proofErr w:type="spellStart"/>
            <w:r>
              <w:t>society</w:t>
            </w:r>
            <w:proofErr w:type="spellEnd"/>
            <w:r>
              <w:t xml:space="preserve"> of </w:t>
            </w:r>
            <w:proofErr w:type="spellStart"/>
            <w:r>
              <w:t>echocardiography</w:t>
            </w:r>
            <w:proofErr w:type="spellEnd"/>
            <w:r>
              <w:t xml:space="preserve"> and the </w:t>
            </w:r>
            <w:proofErr w:type="spellStart"/>
            <w:r>
              <w:t>European</w:t>
            </w:r>
            <w:proofErr w:type="spellEnd"/>
          </w:p>
          <w:p w:rsidR="000026AC" w:rsidRDefault="000026AC" w:rsidP="000026AC">
            <w:proofErr w:type="spellStart"/>
            <w:r>
              <w:t>association</w:t>
            </w:r>
            <w:proofErr w:type="spellEnd"/>
            <w:r>
              <w:t xml:space="preserve"> of </w:t>
            </w:r>
            <w:proofErr w:type="spellStart"/>
            <w:r>
              <w:t>cardiovascular</w:t>
            </w:r>
            <w:proofErr w:type="spellEnd"/>
            <w:r>
              <w:t xml:space="preserve"> </w:t>
            </w:r>
            <w:proofErr w:type="spellStart"/>
            <w:r>
              <w:t>imaging</w:t>
            </w:r>
            <w:proofErr w:type="spellEnd"/>
            <w:r>
              <w:t xml:space="preserve">. </w:t>
            </w:r>
            <w:proofErr w:type="spellStart"/>
            <w:r>
              <w:t>Eur</w:t>
            </w:r>
            <w:proofErr w:type="spellEnd"/>
            <w:r>
              <w:t xml:space="preserve"> </w:t>
            </w:r>
            <w:proofErr w:type="spellStart"/>
            <w:r>
              <w:t>Heart</w:t>
            </w:r>
            <w:proofErr w:type="spellEnd"/>
            <w:r>
              <w:t xml:space="preserve"> J </w:t>
            </w:r>
            <w:proofErr w:type="spellStart"/>
            <w:r>
              <w:t>Cardiovasc</w:t>
            </w:r>
            <w:proofErr w:type="spellEnd"/>
            <w:r>
              <w:t xml:space="preserve"> Imaging 2015;16:</w:t>
            </w:r>
          </w:p>
          <w:p w:rsidR="000026AC" w:rsidRDefault="000026AC" w:rsidP="000026AC">
            <w:r>
              <w:t>233–271.</w:t>
            </w:r>
          </w:p>
        </w:tc>
      </w:tr>
    </w:tbl>
    <w:p w:rsidR="000026AC" w:rsidRPr="00C1289D" w:rsidRDefault="000026AC" w:rsidP="00C1289D">
      <w:pPr>
        <w:autoSpaceDE w:val="0"/>
        <w:autoSpaceDN w:val="0"/>
        <w:adjustRightInd w:val="0"/>
        <w:spacing w:after="0" w:line="240" w:lineRule="auto"/>
        <w:rPr>
          <w:rFonts w:cs="Lato"/>
          <w:color w:val="282828"/>
        </w:rPr>
      </w:pPr>
    </w:p>
    <w:sectPr w:rsidR="000026AC" w:rsidRPr="00C1289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FAA" w:rsidRDefault="00DD5FAA" w:rsidP="00900095">
      <w:pPr>
        <w:spacing w:after="0" w:line="240" w:lineRule="auto"/>
      </w:pPr>
      <w:r>
        <w:separator/>
      </w:r>
    </w:p>
  </w:endnote>
  <w:endnote w:type="continuationSeparator" w:id="0">
    <w:p w:rsidR="00DD5FAA" w:rsidRDefault="00DD5FAA" w:rsidP="00900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ato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FAA" w:rsidRDefault="00DD5FAA" w:rsidP="00900095">
      <w:pPr>
        <w:spacing w:after="0" w:line="240" w:lineRule="auto"/>
      </w:pPr>
      <w:r>
        <w:separator/>
      </w:r>
    </w:p>
  </w:footnote>
  <w:footnote w:type="continuationSeparator" w:id="0">
    <w:p w:rsidR="00DD5FAA" w:rsidRDefault="00DD5FAA" w:rsidP="00900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6AC" w:rsidRDefault="000026AC" w:rsidP="00900095">
    <w:pPr>
      <w:pStyle w:val="Header"/>
      <w:jc w:val="right"/>
    </w:pPr>
    <w:r w:rsidRPr="00900095">
      <w:t>Kokkuvõte töörühmale</w:t>
    </w:r>
    <w:r>
      <w:t xml:space="preserve">, 09.03.2017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0867"/>
    <w:multiLevelType w:val="hybridMultilevel"/>
    <w:tmpl w:val="26EED1F0"/>
    <w:lvl w:ilvl="0" w:tplc="3F5655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682E49"/>
    <w:multiLevelType w:val="hybridMultilevel"/>
    <w:tmpl w:val="BBB0FBE6"/>
    <w:lvl w:ilvl="0" w:tplc="3F5655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AD63FB"/>
    <w:multiLevelType w:val="hybridMultilevel"/>
    <w:tmpl w:val="AE10068E"/>
    <w:lvl w:ilvl="0" w:tplc="3F5655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8034D2"/>
    <w:multiLevelType w:val="hybridMultilevel"/>
    <w:tmpl w:val="D3A26B22"/>
    <w:lvl w:ilvl="0" w:tplc="98D84238">
      <w:start w:val="33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72FDD"/>
    <w:multiLevelType w:val="hybridMultilevel"/>
    <w:tmpl w:val="EC24E08C"/>
    <w:lvl w:ilvl="0" w:tplc="3F5655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F8351D"/>
    <w:multiLevelType w:val="hybridMultilevel"/>
    <w:tmpl w:val="A4FCD6B8"/>
    <w:lvl w:ilvl="0" w:tplc="3F5655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9A05CFC"/>
    <w:multiLevelType w:val="hybridMultilevel"/>
    <w:tmpl w:val="F6F6E042"/>
    <w:lvl w:ilvl="0" w:tplc="3F5655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309"/>
    <w:rsid w:val="000026AC"/>
    <w:rsid w:val="000D462D"/>
    <w:rsid w:val="001E1497"/>
    <w:rsid w:val="0030023C"/>
    <w:rsid w:val="00707BA1"/>
    <w:rsid w:val="0087216A"/>
    <w:rsid w:val="00900095"/>
    <w:rsid w:val="009A3309"/>
    <w:rsid w:val="00A12428"/>
    <w:rsid w:val="00C1289D"/>
    <w:rsid w:val="00C32BD8"/>
    <w:rsid w:val="00DB2E69"/>
    <w:rsid w:val="00DD5FAA"/>
    <w:rsid w:val="00FC1018"/>
    <w:rsid w:val="00FE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0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095"/>
  </w:style>
  <w:style w:type="paragraph" w:styleId="Footer">
    <w:name w:val="footer"/>
    <w:basedOn w:val="Normal"/>
    <w:link w:val="FooterChar"/>
    <w:uiPriority w:val="99"/>
    <w:unhideWhenUsed/>
    <w:rsid w:val="00900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095"/>
  </w:style>
  <w:style w:type="paragraph" w:styleId="ListParagraph">
    <w:name w:val="List Paragraph"/>
    <w:basedOn w:val="Normal"/>
    <w:uiPriority w:val="34"/>
    <w:qFormat/>
    <w:rsid w:val="00C128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2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0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095"/>
  </w:style>
  <w:style w:type="paragraph" w:styleId="Footer">
    <w:name w:val="footer"/>
    <w:basedOn w:val="Normal"/>
    <w:link w:val="FooterChar"/>
    <w:uiPriority w:val="99"/>
    <w:unhideWhenUsed/>
    <w:rsid w:val="00900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095"/>
  </w:style>
  <w:style w:type="paragraph" w:styleId="ListParagraph">
    <w:name w:val="List Paragraph"/>
    <w:basedOn w:val="Normal"/>
    <w:uiPriority w:val="34"/>
    <w:qFormat/>
    <w:rsid w:val="00C128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2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2302</Words>
  <Characters>13352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Alar Irs</dc:creator>
  <cp:lastModifiedBy>Alar Irs</cp:lastModifiedBy>
  <cp:revision>4</cp:revision>
  <dcterms:created xsi:type="dcterms:W3CDTF">2017-03-07T23:56:00Z</dcterms:created>
  <dcterms:modified xsi:type="dcterms:W3CDTF">2017-03-08T00:18:00Z</dcterms:modified>
</cp:coreProperties>
</file>