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95" w:rsidRDefault="0007107C" w:rsidP="00B63E99">
      <w:pPr>
        <w:spacing w:after="120"/>
        <w:rPr>
          <w:rFonts w:ascii="Verdana" w:hAnsi="Verdana"/>
          <w:b/>
          <w:bCs/>
          <w:color w:val="C00000"/>
          <w:sz w:val="18"/>
          <w:szCs w:val="18"/>
        </w:rPr>
      </w:pPr>
      <w:r>
        <w:rPr>
          <w:rFonts w:ascii="Verdana" w:hAnsi="Verdana"/>
          <w:b/>
          <w:bCs/>
          <w:color w:val="C00000"/>
          <w:sz w:val="18"/>
          <w:szCs w:val="18"/>
        </w:rPr>
        <w:t>Rütmijälgimise viis ja kestus KVA diagnoosimisel</w:t>
      </w:r>
    </w:p>
    <w:p w:rsidR="008D0BA4" w:rsidRDefault="002C0E7F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Kliiniline küsimus</w:t>
      </w:r>
      <w:r w:rsidR="00D56EA5" w:rsidRPr="00CA7379">
        <w:rPr>
          <w:rFonts w:ascii="Verdana" w:hAnsi="Verdana"/>
          <w:bCs/>
          <w:color w:val="1F497D"/>
          <w:sz w:val="18"/>
          <w:szCs w:val="18"/>
        </w:rPr>
        <w:t xml:space="preserve">  </w:t>
      </w:r>
    </w:p>
    <w:p w:rsidR="0007107C" w:rsidRDefault="0007107C" w:rsidP="00B63E99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07107C">
        <w:rPr>
          <w:rFonts w:ascii="Verdana" w:hAnsi="Verdana"/>
          <w:bCs/>
          <w:color w:val="1F497D"/>
          <w:sz w:val="18"/>
          <w:szCs w:val="18"/>
        </w:rPr>
        <w:t xml:space="preserve">Kas KVA sümptomitega patsientidel, kel südamekloppimist on harvem kui kord ööpäevas, tuleks KVA diagnoosimiseks kasutada teisi jälgimismeetodeid (&gt;24h </w:t>
      </w:r>
      <w:proofErr w:type="spellStart"/>
      <w:r w:rsidRPr="0007107C">
        <w:rPr>
          <w:rFonts w:ascii="Verdana" w:hAnsi="Verdana"/>
          <w:bCs/>
          <w:color w:val="1F497D"/>
          <w:sz w:val="18"/>
          <w:szCs w:val="18"/>
        </w:rPr>
        <w:t>Holter</w:t>
      </w:r>
      <w:proofErr w:type="spellEnd"/>
      <w:r w:rsidRPr="0007107C">
        <w:rPr>
          <w:rFonts w:ascii="Verdana" w:hAnsi="Verdana"/>
          <w:bCs/>
          <w:color w:val="1F497D"/>
          <w:sz w:val="18"/>
          <w:szCs w:val="18"/>
        </w:rPr>
        <w:t xml:space="preserve">, patsiendi käivitatav EKG salvesti, mobiilimanused jmt) vs 24h </w:t>
      </w:r>
      <w:proofErr w:type="spellStart"/>
      <w:r w:rsidRPr="0007107C">
        <w:rPr>
          <w:rFonts w:ascii="Verdana" w:hAnsi="Verdana"/>
          <w:bCs/>
          <w:color w:val="1F497D"/>
          <w:sz w:val="18"/>
          <w:szCs w:val="18"/>
        </w:rPr>
        <w:t>Holter</w:t>
      </w:r>
      <w:proofErr w:type="spellEnd"/>
      <w:r w:rsidRPr="0007107C">
        <w:rPr>
          <w:rFonts w:ascii="Verdana" w:hAnsi="Verdana"/>
          <w:bCs/>
          <w:color w:val="1F497D"/>
          <w:sz w:val="18"/>
          <w:szCs w:val="18"/>
        </w:rPr>
        <w:t xml:space="preserve"> monitooring?</w:t>
      </w:r>
    </w:p>
    <w:p w:rsidR="008D0BA4" w:rsidRPr="00CA7379" w:rsidRDefault="002C0E7F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b/>
          <w:color w:val="1F497D"/>
          <w:sz w:val="18"/>
          <w:szCs w:val="18"/>
        </w:rPr>
        <w:t>Olulised tulemusnäitajad</w:t>
      </w:r>
      <w:r w:rsidR="008D0BA4" w:rsidRPr="00CA7379">
        <w:rPr>
          <w:rFonts w:ascii="Verdana" w:hAnsi="Verdana"/>
          <w:color w:val="1F497D"/>
          <w:sz w:val="18"/>
          <w:szCs w:val="18"/>
        </w:rPr>
        <w:t xml:space="preserve"> </w:t>
      </w:r>
    </w:p>
    <w:p w:rsidR="002C0E7F" w:rsidRDefault="008D0B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CA7379">
        <w:rPr>
          <w:rFonts w:ascii="Verdana" w:hAnsi="Verdana"/>
          <w:color w:val="1F497D"/>
          <w:sz w:val="18"/>
          <w:szCs w:val="18"/>
        </w:rPr>
        <w:t xml:space="preserve">Surm, ajuinfarkt, trombemboolia, oluline verejooks, elukvaliteet, koljusisene verejooks, südame löögisageduse eesmärkväärtuse (nt ≤100 </w:t>
      </w:r>
      <w:proofErr w:type="spellStart"/>
      <w:r w:rsidRPr="00CA7379">
        <w:rPr>
          <w:rFonts w:ascii="Verdana" w:hAnsi="Verdana"/>
          <w:color w:val="1F497D"/>
          <w:sz w:val="18"/>
          <w:szCs w:val="18"/>
        </w:rPr>
        <w:t>x/min</w:t>
      </w:r>
      <w:proofErr w:type="spellEnd"/>
      <w:r w:rsidRPr="00CA7379">
        <w:rPr>
          <w:rFonts w:ascii="Verdana" w:hAnsi="Verdana"/>
          <w:color w:val="1F497D"/>
          <w:sz w:val="18"/>
          <w:szCs w:val="18"/>
        </w:rPr>
        <w:t>) saavutamine, tõsine kõrvaltoime.</w:t>
      </w:r>
    </w:p>
    <w:p w:rsidR="00874CA4" w:rsidRPr="00D24AAC" w:rsidRDefault="00874CA4" w:rsidP="00B63E99">
      <w:pPr>
        <w:spacing w:after="120"/>
        <w:rPr>
          <w:rFonts w:ascii="Verdana" w:hAnsi="Verdana"/>
          <w:color w:val="1F497D"/>
          <w:sz w:val="18"/>
          <w:szCs w:val="18"/>
        </w:rPr>
      </w:pPr>
      <w:r w:rsidRPr="00D24AAC">
        <w:rPr>
          <w:rFonts w:ascii="Verdana" w:hAnsi="Verdana"/>
          <w:color w:val="1F497D"/>
          <w:sz w:val="18"/>
          <w:szCs w:val="18"/>
        </w:rPr>
        <w:t>Mõõdukalt olulised: hospitaliseerimine, KVA taasteke (sek preventsioonil), ravi katkestama sundiv kõrvaltoime, südamepuudulikkus, aeg KVA esimese taastekkeni, siinusrütmi taastumine (</w:t>
      </w:r>
      <w:proofErr w:type="spellStart"/>
      <w:r w:rsidRPr="00D24AAC">
        <w:rPr>
          <w:rFonts w:ascii="Verdana" w:hAnsi="Verdana"/>
          <w:color w:val="1F497D"/>
          <w:sz w:val="18"/>
          <w:szCs w:val="18"/>
        </w:rPr>
        <w:t>kardioversioonil</w:t>
      </w:r>
      <w:proofErr w:type="spellEnd"/>
      <w:r w:rsidRPr="00D24AAC">
        <w:rPr>
          <w:rFonts w:ascii="Verdana" w:hAnsi="Verdana"/>
          <w:color w:val="1F497D"/>
          <w:sz w:val="18"/>
          <w:szCs w:val="18"/>
        </w:rPr>
        <w:t>), siinusrütmi püsimine 12 kuud.</w:t>
      </w:r>
    </w:p>
    <w:p w:rsidR="00B63E99" w:rsidRDefault="00B63E99" w:rsidP="00B63E99">
      <w:pPr>
        <w:spacing w:after="120"/>
        <w:rPr>
          <w:rFonts w:ascii="Verdana" w:hAnsi="Verdana"/>
          <w:b/>
          <w:bCs/>
          <w:color w:val="1F497D"/>
          <w:sz w:val="18"/>
          <w:szCs w:val="18"/>
        </w:rPr>
      </w:pPr>
      <w:r w:rsidRPr="00CA7379">
        <w:rPr>
          <w:rFonts w:ascii="Verdana" w:hAnsi="Verdana"/>
          <w:b/>
          <w:bCs/>
          <w:color w:val="1F497D"/>
          <w:sz w:val="18"/>
          <w:szCs w:val="18"/>
        </w:rPr>
        <w:t>Kliinilise tõenduse kokkuvõte</w:t>
      </w:r>
    </w:p>
    <w:p w:rsidR="0041227E" w:rsidRDefault="0041227E" w:rsidP="0041227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>Kodade virvendusarütmia p</w:t>
      </w:r>
      <w:r w:rsidR="00D24AAC">
        <w:rPr>
          <w:rFonts w:ascii="Verdana" w:hAnsi="Verdana"/>
          <w:bCs/>
          <w:color w:val="1F497D"/>
          <w:sz w:val="18"/>
          <w:szCs w:val="18"/>
        </w:rPr>
        <w:t xml:space="preserve">õhjustatud kõrget </w:t>
      </w:r>
      <w:proofErr w:type="spellStart"/>
      <w:r w:rsidR="00D24AAC">
        <w:rPr>
          <w:rFonts w:ascii="Verdana" w:hAnsi="Verdana"/>
          <w:bCs/>
          <w:color w:val="1F497D"/>
          <w:sz w:val="18"/>
          <w:szCs w:val="18"/>
        </w:rPr>
        <w:t>trombembool</w:t>
      </w:r>
      <w:r w:rsidRPr="0041227E">
        <w:rPr>
          <w:rFonts w:ascii="Verdana" w:hAnsi="Verdana"/>
          <w:bCs/>
          <w:color w:val="1F497D"/>
          <w:sz w:val="18"/>
          <w:szCs w:val="18"/>
        </w:rPr>
        <w:t>se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insuldi riski arvestades on oluline rütmihäire diagnoosida ka nendel patsientidel, kellel südamekloppimist esineb harv</w:t>
      </w:r>
      <w:r>
        <w:rPr>
          <w:rFonts w:ascii="Verdana" w:hAnsi="Verdana"/>
          <w:bCs/>
          <w:color w:val="1F497D"/>
          <w:sz w:val="18"/>
          <w:szCs w:val="18"/>
        </w:rPr>
        <w:t>a ning 24-tunni rütmimonitooring ei pruugi rütmihäiret näidata</w:t>
      </w:r>
      <w:r w:rsidRPr="0041227E">
        <w:rPr>
          <w:rFonts w:ascii="Verdana" w:hAnsi="Verdana"/>
          <w:bCs/>
          <w:color w:val="1F497D"/>
          <w:sz w:val="18"/>
          <w:szCs w:val="18"/>
        </w:rPr>
        <w:t xml:space="preserve">. </w:t>
      </w:r>
    </w:p>
    <w:p w:rsidR="0041227E" w:rsidRPr="0041227E" w:rsidRDefault="0041227E" w:rsidP="0041227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 xml:space="preserve">Põhiliseks murekohaks on </w:t>
      </w:r>
      <w:proofErr w:type="spellStart"/>
      <w:r w:rsidRPr="0041227E">
        <w:rPr>
          <w:rFonts w:ascii="Verdana" w:hAnsi="Verdana"/>
          <w:bCs/>
          <w:color w:val="1F497D"/>
          <w:sz w:val="18"/>
          <w:szCs w:val="18"/>
        </w:rPr>
        <w:t>krüptogeense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insuldi või TIA (</w:t>
      </w:r>
      <w:proofErr w:type="spellStart"/>
      <w:r w:rsidRPr="0041227E">
        <w:rPr>
          <w:rFonts w:ascii="Verdana" w:hAnsi="Verdana"/>
          <w:bCs/>
          <w:color w:val="1F497D"/>
          <w:sz w:val="18"/>
          <w:szCs w:val="18"/>
        </w:rPr>
        <w:t>transitoorne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ajuisheemia atakk) patsientide rühm, kellel on aju isheemia põhjuseks sageli KVA, kuid rütmihäire avastamine on harvade </w:t>
      </w:r>
      <w:proofErr w:type="spellStart"/>
      <w:r w:rsidRPr="0041227E">
        <w:rPr>
          <w:rFonts w:ascii="Verdana" w:hAnsi="Verdana"/>
          <w:bCs/>
          <w:color w:val="1F497D"/>
          <w:sz w:val="18"/>
          <w:szCs w:val="18"/>
        </w:rPr>
        <w:t>paroksüsmide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tõttu raskendatud.</w:t>
      </w:r>
    </w:p>
    <w:p w:rsidR="0041227E" w:rsidRDefault="0041227E" w:rsidP="0041227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 xml:space="preserve">Küsimust on kajastatud kõikides rahvusvahelistes ravijuhendites, kus üldiselt soovitatakse KVA diagnoosimiseks kasutada esmalt 24-tunni ambulatoorset rütmimonitooringut ning edasi </w:t>
      </w:r>
    </w:p>
    <w:p w:rsidR="0041227E" w:rsidRDefault="0041227E" w:rsidP="0041227E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 xml:space="preserve">patsiendi poolt käivitatavat EKG salvestajat, </w:t>
      </w:r>
    </w:p>
    <w:p w:rsidR="0041227E" w:rsidRDefault="0041227E" w:rsidP="0041227E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>automaatselt rütmihäiret salvestavat (</w:t>
      </w:r>
      <w:proofErr w:type="spellStart"/>
      <w:r w:rsidRPr="0041227E">
        <w:rPr>
          <w:rFonts w:ascii="Verdana" w:hAnsi="Verdana"/>
          <w:bCs/>
          <w:i/>
          <w:color w:val="1F497D"/>
          <w:sz w:val="18"/>
          <w:szCs w:val="18"/>
        </w:rPr>
        <w:t>event</w:t>
      </w:r>
      <w:proofErr w:type="spellEnd"/>
      <w:r w:rsidRPr="0041227E">
        <w:rPr>
          <w:rFonts w:ascii="Verdana" w:hAnsi="Verdana"/>
          <w:bCs/>
          <w:i/>
          <w:color w:val="1F497D"/>
          <w:sz w:val="18"/>
          <w:szCs w:val="18"/>
        </w:rPr>
        <w:t xml:space="preserve"> </w:t>
      </w:r>
      <w:proofErr w:type="spellStart"/>
      <w:r w:rsidRPr="0041227E">
        <w:rPr>
          <w:rFonts w:ascii="Verdana" w:hAnsi="Verdana"/>
          <w:bCs/>
          <w:i/>
          <w:color w:val="1F497D"/>
          <w:sz w:val="18"/>
          <w:szCs w:val="18"/>
        </w:rPr>
        <w:t>recorder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) EKG-monitori või </w:t>
      </w:r>
    </w:p>
    <w:p w:rsidR="0041227E" w:rsidRDefault="0041227E" w:rsidP="0041227E">
      <w:pPr>
        <w:pStyle w:val="ListParagraph"/>
        <w:numPr>
          <w:ilvl w:val="0"/>
          <w:numId w:val="6"/>
        </w:num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 xml:space="preserve">vajadusel </w:t>
      </w:r>
      <w:r w:rsidRPr="00321017">
        <w:rPr>
          <w:rFonts w:ascii="Verdana" w:hAnsi="Verdana"/>
          <w:bCs/>
          <w:i/>
          <w:color w:val="1F497D"/>
          <w:sz w:val="18"/>
          <w:szCs w:val="18"/>
        </w:rPr>
        <w:t xml:space="preserve">loop </w:t>
      </w:r>
      <w:proofErr w:type="spellStart"/>
      <w:r w:rsidRPr="00321017">
        <w:rPr>
          <w:rFonts w:ascii="Verdana" w:hAnsi="Verdana"/>
          <w:bCs/>
          <w:i/>
          <w:color w:val="1F497D"/>
          <w:sz w:val="18"/>
          <w:szCs w:val="18"/>
        </w:rPr>
        <w:t>recorderit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. </w:t>
      </w:r>
    </w:p>
    <w:p w:rsidR="0041227E" w:rsidRPr="0041227E" w:rsidRDefault="0041227E" w:rsidP="0041227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>Kuigi olemas on mitmeid nutise</w:t>
      </w:r>
      <w:r w:rsidR="00321017">
        <w:rPr>
          <w:rFonts w:ascii="Verdana" w:hAnsi="Verdana"/>
          <w:bCs/>
          <w:color w:val="1F497D"/>
          <w:sz w:val="18"/>
          <w:szCs w:val="18"/>
        </w:rPr>
        <w:t>a</w:t>
      </w:r>
      <w:r w:rsidRPr="0041227E">
        <w:rPr>
          <w:rFonts w:ascii="Verdana" w:hAnsi="Verdana"/>
          <w:bCs/>
          <w:color w:val="1F497D"/>
          <w:sz w:val="18"/>
          <w:szCs w:val="18"/>
        </w:rPr>
        <w:t>dmete ja vererõhuaparaatidega seotud rütmi jälgimise võimalusi, siis neid veel ei so</w:t>
      </w:r>
      <w:r>
        <w:rPr>
          <w:rFonts w:ascii="Verdana" w:hAnsi="Verdana"/>
          <w:bCs/>
          <w:color w:val="1F497D"/>
          <w:sz w:val="18"/>
          <w:szCs w:val="18"/>
        </w:rPr>
        <w:t>ovitata ebapiisava valideerituse</w:t>
      </w:r>
      <w:r w:rsidRPr="0041227E">
        <w:rPr>
          <w:rFonts w:ascii="Verdana" w:hAnsi="Verdana"/>
          <w:bCs/>
          <w:color w:val="1F497D"/>
          <w:sz w:val="18"/>
          <w:szCs w:val="18"/>
        </w:rPr>
        <w:t xml:space="preserve"> ning </w:t>
      </w:r>
      <w:r>
        <w:rPr>
          <w:rFonts w:ascii="Verdana" w:hAnsi="Verdana"/>
          <w:bCs/>
          <w:color w:val="1F497D"/>
          <w:sz w:val="18"/>
          <w:szCs w:val="18"/>
        </w:rPr>
        <w:t xml:space="preserve">piiratud </w:t>
      </w:r>
      <w:r w:rsidRPr="0041227E">
        <w:rPr>
          <w:rFonts w:ascii="Verdana" w:hAnsi="Verdana"/>
          <w:bCs/>
          <w:color w:val="1F497D"/>
          <w:sz w:val="18"/>
          <w:szCs w:val="18"/>
        </w:rPr>
        <w:t>kliinilise kogemuse tõttu</w:t>
      </w:r>
      <w:r w:rsidR="00D24AAC">
        <w:rPr>
          <w:rStyle w:val="FootnoteReference"/>
          <w:rFonts w:ascii="Verdana" w:hAnsi="Verdana"/>
          <w:bCs/>
          <w:color w:val="1F497D"/>
          <w:sz w:val="18"/>
          <w:szCs w:val="18"/>
        </w:rPr>
        <w:footnoteReference w:id="1"/>
      </w:r>
      <w:r w:rsidRPr="0041227E">
        <w:rPr>
          <w:rFonts w:ascii="Verdana" w:hAnsi="Verdana"/>
          <w:bCs/>
          <w:color w:val="1F497D"/>
          <w:sz w:val="18"/>
          <w:szCs w:val="18"/>
        </w:rPr>
        <w:t xml:space="preserve">. </w:t>
      </w:r>
    </w:p>
    <w:p w:rsidR="0041227E" w:rsidRDefault="0041227E" w:rsidP="0041227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>Pikendatud EKG-jälgimise piisav kestus ei ole ravijuhistes üheselt määratletud, soovitused varieeruvad 72-tunnis</w:t>
      </w:r>
      <w:r w:rsidR="00321017">
        <w:rPr>
          <w:rFonts w:ascii="Verdana" w:hAnsi="Verdana"/>
          <w:bCs/>
          <w:color w:val="1F497D"/>
          <w:sz w:val="18"/>
          <w:szCs w:val="18"/>
        </w:rPr>
        <w:t>est perioodist kuni nädalateni.</w:t>
      </w:r>
    </w:p>
    <w:p w:rsidR="00321017" w:rsidRDefault="00321017" w:rsidP="00321017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 xml:space="preserve">Kirjanduses on hinnatud põhiliselt </w:t>
      </w:r>
      <w:proofErr w:type="spellStart"/>
      <w:r w:rsidRPr="0041227E">
        <w:rPr>
          <w:rFonts w:ascii="Verdana" w:hAnsi="Verdana"/>
          <w:bCs/>
          <w:color w:val="1F497D"/>
          <w:sz w:val="18"/>
          <w:szCs w:val="18"/>
        </w:rPr>
        <w:t>krüptogeense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insuldi järgselt kodade virvendusarütmia diagnoosimist. </w:t>
      </w:r>
      <w:r>
        <w:rPr>
          <w:rFonts w:ascii="Verdana" w:hAnsi="Verdana"/>
          <w:bCs/>
          <w:color w:val="1F497D"/>
          <w:sz w:val="18"/>
          <w:szCs w:val="18"/>
        </w:rPr>
        <w:t>M</w:t>
      </w:r>
      <w:r w:rsidRPr="0041227E">
        <w:rPr>
          <w:rFonts w:ascii="Verdana" w:hAnsi="Verdana"/>
          <w:bCs/>
          <w:color w:val="1F497D"/>
          <w:sz w:val="18"/>
          <w:szCs w:val="18"/>
        </w:rPr>
        <w:t>etaanalüüsidest ja ülevaa</w:t>
      </w:r>
      <w:r>
        <w:rPr>
          <w:rFonts w:ascii="Verdana" w:hAnsi="Verdana"/>
          <w:bCs/>
          <w:color w:val="1F497D"/>
          <w:sz w:val="18"/>
          <w:szCs w:val="18"/>
        </w:rPr>
        <w:t xml:space="preserve">detest </w:t>
      </w:r>
      <w:r w:rsidRPr="0041227E">
        <w:rPr>
          <w:rFonts w:ascii="Verdana" w:hAnsi="Verdana"/>
          <w:bCs/>
          <w:color w:val="1F497D"/>
          <w:sz w:val="18"/>
          <w:szCs w:val="18"/>
        </w:rPr>
        <w:t>selgub, et enamasti on uuringud teostatud väikesel heterogeensel populatsioonil, mille tõttu ei ole võimalik üheseid järeldusi teha (1,2).</w:t>
      </w:r>
    </w:p>
    <w:p w:rsidR="00321017" w:rsidRDefault="00321017" w:rsidP="0041227E">
      <w:pPr>
        <w:spacing w:after="120"/>
        <w:rPr>
          <w:rFonts w:ascii="Verdana" w:hAnsi="Verdana"/>
          <w:bCs/>
          <w:color w:val="1F497D"/>
          <w:sz w:val="18"/>
          <w:szCs w:val="18"/>
        </w:rPr>
      </w:pPr>
      <w:r w:rsidRPr="0041227E">
        <w:rPr>
          <w:rFonts w:ascii="Verdana" w:hAnsi="Verdana"/>
          <w:bCs/>
          <w:color w:val="1F497D"/>
          <w:sz w:val="18"/>
          <w:szCs w:val="18"/>
        </w:rPr>
        <w:t xml:space="preserve">Samas </w:t>
      </w:r>
      <w:r>
        <w:rPr>
          <w:rFonts w:ascii="Verdana" w:hAnsi="Verdana"/>
          <w:bCs/>
          <w:color w:val="1F497D"/>
          <w:sz w:val="18"/>
          <w:szCs w:val="18"/>
        </w:rPr>
        <w:t xml:space="preserve">on mõned </w:t>
      </w:r>
      <w:proofErr w:type="spellStart"/>
      <w:r w:rsidRPr="0041227E">
        <w:rPr>
          <w:rFonts w:ascii="Verdana" w:hAnsi="Verdana"/>
          <w:bCs/>
          <w:color w:val="1F497D"/>
          <w:sz w:val="18"/>
          <w:szCs w:val="18"/>
        </w:rPr>
        <w:t>randomiseeritud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uuringuid, mille alusel võiks </w:t>
      </w:r>
      <w:proofErr w:type="spellStart"/>
      <w:r w:rsidRPr="0041227E">
        <w:rPr>
          <w:rFonts w:ascii="Verdana" w:hAnsi="Verdana"/>
          <w:bCs/>
          <w:color w:val="1F497D"/>
          <w:sz w:val="18"/>
          <w:szCs w:val="18"/>
        </w:rPr>
        <w:t>krüptogeense</w:t>
      </w:r>
      <w:proofErr w:type="spellEnd"/>
      <w:r w:rsidRPr="0041227E">
        <w:rPr>
          <w:rFonts w:ascii="Verdana" w:hAnsi="Verdana"/>
          <w:bCs/>
          <w:color w:val="1F497D"/>
          <w:sz w:val="18"/>
          <w:szCs w:val="18"/>
        </w:rPr>
        <w:t xml:space="preserve"> insuldiga patsiendid, kellel standardmeetodil KVA ei leita, saada kasu pikemaajalisest ambulatoorsest EKG monitooringust, seda eriti patsiendi vanuse kasvades.</w:t>
      </w:r>
    </w:p>
    <w:p w:rsidR="00321017" w:rsidRPr="00321017" w:rsidRDefault="00321017" w:rsidP="0041227E">
      <w:pPr>
        <w:spacing w:after="120"/>
        <w:rPr>
          <w:rFonts w:ascii="Verdana" w:hAnsi="Verdana"/>
          <w:b/>
          <w:bCs/>
          <w:color w:val="FF0000"/>
          <w:sz w:val="16"/>
          <w:szCs w:val="16"/>
        </w:rPr>
      </w:pPr>
      <w:r w:rsidRPr="00321017">
        <w:rPr>
          <w:rFonts w:ascii="Verdana" w:hAnsi="Verdana"/>
          <w:b/>
          <w:bCs/>
          <w:color w:val="1F497D"/>
          <w:sz w:val="16"/>
          <w:szCs w:val="16"/>
        </w:rPr>
        <w:t xml:space="preserve">KVA leid </w:t>
      </w:r>
      <w:proofErr w:type="spellStart"/>
      <w:r w:rsidRPr="00321017">
        <w:rPr>
          <w:rFonts w:ascii="Verdana" w:hAnsi="Verdana"/>
          <w:b/>
          <w:bCs/>
          <w:color w:val="1F497D"/>
          <w:sz w:val="16"/>
          <w:szCs w:val="16"/>
        </w:rPr>
        <w:t>krüptogeense</w:t>
      </w:r>
      <w:proofErr w:type="spellEnd"/>
      <w:r w:rsidRPr="00321017">
        <w:rPr>
          <w:rFonts w:ascii="Verdana" w:hAnsi="Verdana"/>
          <w:b/>
          <w:bCs/>
          <w:color w:val="1F497D"/>
          <w:sz w:val="16"/>
          <w:szCs w:val="16"/>
        </w:rPr>
        <w:t xml:space="preserve"> insu</w:t>
      </w:r>
      <w:r w:rsidR="00DA43D7">
        <w:rPr>
          <w:rFonts w:ascii="Verdana" w:hAnsi="Verdana"/>
          <w:b/>
          <w:bCs/>
          <w:color w:val="1F497D"/>
          <w:sz w:val="16"/>
          <w:szCs w:val="16"/>
        </w:rPr>
        <w:t>ldi patsientidel, kel esmane EKG</w:t>
      </w:r>
      <w:r w:rsidRPr="00321017">
        <w:rPr>
          <w:rFonts w:ascii="Verdana" w:hAnsi="Verdana"/>
          <w:b/>
          <w:bCs/>
          <w:color w:val="1F497D"/>
          <w:sz w:val="16"/>
          <w:szCs w:val="16"/>
        </w:rPr>
        <w:t xml:space="preserve"> ja 24h monitooring ei näidanud KVA-d</w:t>
      </w:r>
      <w:r w:rsidRPr="00321017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r w:rsidRPr="00321017">
        <w:rPr>
          <w:rStyle w:val="FootnoteReference"/>
          <w:rFonts w:ascii="Verdana" w:hAnsi="Verdana"/>
          <w:b/>
          <w:bCs/>
          <w:color w:val="FF0000"/>
          <w:sz w:val="16"/>
          <w:szCs w:val="16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21017" w:rsidTr="00321017">
        <w:tc>
          <w:tcPr>
            <w:tcW w:w="2303" w:type="dxa"/>
          </w:tcPr>
          <w:p w:rsidR="00321017" w:rsidRDefault="00321017" w:rsidP="0041227E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Kestus</w:t>
            </w:r>
          </w:p>
        </w:tc>
        <w:tc>
          <w:tcPr>
            <w:tcW w:w="2303" w:type="dxa"/>
          </w:tcPr>
          <w:p w:rsidR="00321017" w:rsidRDefault="00321017" w:rsidP="00321017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7 päeva</w:t>
            </w:r>
          </w:p>
        </w:tc>
        <w:tc>
          <w:tcPr>
            <w:tcW w:w="2303" w:type="dxa"/>
          </w:tcPr>
          <w:p w:rsidR="00321017" w:rsidRDefault="00321017" w:rsidP="00321017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30 päeva</w:t>
            </w:r>
          </w:p>
        </w:tc>
        <w:tc>
          <w:tcPr>
            <w:tcW w:w="2303" w:type="dxa"/>
          </w:tcPr>
          <w:p w:rsidR="00321017" w:rsidRDefault="00321017" w:rsidP="00321017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1 aasta (</w:t>
            </w:r>
            <w:proofErr w:type="spellStart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implanteeritav</w:t>
            </w:r>
            <w:proofErr w:type="spellEnd"/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)</w:t>
            </w:r>
          </w:p>
        </w:tc>
      </w:tr>
      <w:tr w:rsidR="00321017" w:rsidTr="00321017">
        <w:tc>
          <w:tcPr>
            <w:tcW w:w="2303" w:type="dxa"/>
          </w:tcPr>
          <w:p w:rsidR="00321017" w:rsidRDefault="00321017" w:rsidP="0041227E">
            <w:pPr>
              <w:spacing w:after="120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KVA leid</w:t>
            </w:r>
          </w:p>
        </w:tc>
        <w:tc>
          <w:tcPr>
            <w:tcW w:w="2303" w:type="dxa"/>
          </w:tcPr>
          <w:p w:rsidR="00321017" w:rsidRDefault="00321017" w:rsidP="00321017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6%</w:t>
            </w:r>
          </w:p>
        </w:tc>
        <w:tc>
          <w:tcPr>
            <w:tcW w:w="2303" w:type="dxa"/>
          </w:tcPr>
          <w:p w:rsidR="00321017" w:rsidRDefault="00321017" w:rsidP="00321017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11-23%</w:t>
            </w:r>
          </w:p>
        </w:tc>
        <w:tc>
          <w:tcPr>
            <w:tcW w:w="2303" w:type="dxa"/>
          </w:tcPr>
          <w:p w:rsidR="00321017" w:rsidRDefault="00321017" w:rsidP="00321017">
            <w:pPr>
              <w:spacing w:after="120"/>
              <w:jc w:val="center"/>
              <w:rPr>
                <w:rFonts w:ascii="Verdana" w:hAnsi="Verdana"/>
                <w:bCs/>
                <w:color w:val="1F497D"/>
                <w:sz w:val="18"/>
                <w:szCs w:val="18"/>
              </w:rPr>
            </w:pPr>
            <w:r>
              <w:rPr>
                <w:rFonts w:ascii="Verdana" w:hAnsi="Verdana"/>
                <w:bCs/>
                <w:color w:val="1F497D"/>
                <w:sz w:val="18"/>
                <w:szCs w:val="18"/>
              </w:rPr>
              <w:t>27-28%</w:t>
            </w:r>
          </w:p>
        </w:tc>
      </w:tr>
    </w:tbl>
    <w:p w:rsidR="00DA43D7" w:rsidRPr="00DA43D7" w:rsidRDefault="00DA43D7" w:rsidP="00DA43D7">
      <w:pPr>
        <w:shd w:val="clear" w:color="auto" w:fill="FFFFFF"/>
        <w:spacing w:after="120"/>
        <w:ind w:right="238"/>
        <w:rPr>
          <w:rFonts w:ascii="Verdana" w:hAnsi="Verdana" w:cs="Arial"/>
          <w:color w:val="1F497D"/>
          <w:sz w:val="18"/>
          <w:szCs w:val="18"/>
        </w:rPr>
      </w:pPr>
      <w:r w:rsidRPr="00DA43D7">
        <w:rPr>
          <w:rFonts w:ascii="Verdana" w:hAnsi="Verdana" w:cs="Arial"/>
          <w:color w:val="1F497D"/>
          <w:sz w:val="18"/>
          <w:szCs w:val="18"/>
        </w:rPr>
        <w:lastRenderedPageBreak/>
        <w:t xml:space="preserve">Ühendkuningriigis teostatud uuringust (n 1⁄4 100)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selgus,et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insuldijärgselt teostatud 7-päevane EKG-monitooring oli efektiivsem kui standardmeetod (18% vs 2%; P &lt; 0.05) ning suurendas oluliselt suukaudsete antikoagulantide kasutamist. </w:t>
      </w:r>
    </w:p>
    <w:p w:rsidR="00DA43D7" w:rsidRPr="00DA43D7" w:rsidRDefault="00DA43D7" w:rsidP="00DA43D7">
      <w:pPr>
        <w:shd w:val="clear" w:color="auto" w:fill="FFFFFF"/>
        <w:spacing w:after="120"/>
        <w:ind w:right="238"/>
        <w:rPr>
          <w:rFonts w:ascii="Verdana" w:hAnsi="Verdana" w:cs="Arial"/>
          <w:color w:val="1F497D"/>
          <w:sz w:val="18"/>
          <w:szCs w:val="18"/>
        </w:rPr>
      </w:pPr>
      <w:r w:rsidRPr="00DA43D7">
        <w:rPr>
          <w:rFonts w:ascii="Verdana" w:hAnsi="Verdana" w:cs="Arial"/>
          <w:color w:val="1F497D"/>
          <w:sz w:val="18"/>
          <w:szCs w:val="18"/>
        </w:rPr>
        <w:t xml:space="preserve">EMBRACE uuringus (n 572), </w:t>
      </w:r>
      <w:r>
        <w:rPr>
          <w:rFonts w:ascii="Verdana" w:hAnsi="Verdana" w:cs="Arial"/>
          <w:color w:val="1F497D"/>
          <w:sz w:val="18"/>
          <w:szCs w:val="18"/>
        </w:rPr>
        <w:t xml:space="preserve">jaotati </w:t>
      </w:r>
      <w:r w:rsidRPr="00DA43D7">
        <w:rPr>
          <w:rFonts w:ascii="Verdana" w:hAnsi="Verdana" w:cs="Arial"/>
          <w:color w:val="1F497D"/>
          <w:sz w:val="18"/>
          <w:szCs w:val="18"/>
        </w:rPr>
        <w:t xml:space="preserve">hiljutise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krüptogeense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insuldiga patsien</w:t>
      </w:r>
      <w:r>
        <w:rPr>
          <w:rFonts w:ascii="Verdana" w:hAnsi="Verdana" w:cs="Arial"/>
          <w:color w:val="1F497D"/>
          <w:sz w:val="18"/>
          <w:szCs w:val="18"/>
        </w:rPr>
        <w:t>did</w:t>
      </w:r>
      <w:r w:rsidRPr="00DA43D7">
        <w:rPr>
          <w:rFonts w:ascii="Verdana" w:hAnsi="Verdana" w:cs="Arial"/>
          <w:color w:val="1F497D"/>
          <w:sz w:val="18"/>
          <w:szCs w:val="18"/>
        </w:rPr>
        <w:t xml:space="preserve">, kellel tavapärasel uuringul KVA ei leitud, 24-tunni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Holteri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ning 30-päevase EKG-d automaatselt registreeriva seadme (vöö) rühma. 30-päevase monitooringu rühmas leiti oluliselt rohkem KVA (16% vs 3%; P &lt; 0.001) ning selle tõttu kahekordistus ka suukaudsete antikoagulantide kasutus. </w:t>
      </w:r>
    </w:p>
    <w:p w:rsidR="00DA43D7" w:rsidRPr="00DA43D7" w:rsidRDefault="00DA43D7" w:rsidP="00DA43D7">
      <w:pPr>
        <w:shd w:val="clear" w:color="auto" w:fill="FFFFFF"/>
        <w:spacing w:after="120"/>
        <w:ind w:right="238"/>
        <w:rPr>
          <w:rFonts w:ascii="Verdana" w:hAnsi="Verdana" w:cs="Arial"/>
          <w:color w:val="1F497D"/>
          <w:sz w:val="18"/>
          <w:szCs w:val="18"/>
        </w:rPr>
      </w:pPr>
      <w:r w:rsidRPr="00DA43D7">
        <w:rPr>
          <w:rFonts w:ascii="Verdana" w:hAnsi="Verdana" w:cs="Arial"/>
          <w:color w:val="1F497D"/>
          <w:sz w:val="18"/>
          <w:szCs w:val="18"/>
        </w:rPr>
        <w:t xml:space="preserve">CRYSTAL AF uuringus (n </w:t>
      </w:r>
      <w:r>
        <w:rPr>
          <w:rFonts w:ascii="Verdana" w:hAnsi="Verdana" w:cs="Arial"/>
          <w:color w:val="1F497D"/>
          <w:sz w:val="18"/>
          <w:szCs w:val="18"/>
        </w:rPr>
        <w:t xml:space="preserve">441)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randomiseeriti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krüptogeense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insuldiga patsiendid pärast rutiinset 24-tunni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EKG-Holterit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implanteeritava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</w:t>
      </w:r>
      <w:r w:rsidRPr="00DA43D7">
        <w:rPr>
          <w:rFonts w:ascii="Verdana" w:hAnsi="Verdana" w:cs="Arial"/>
          <w:i/>
          <w:color w:val="1F497D"/>
          <w:sz w:val="18"/>
          <w:szCs w:val="18"/>
        </w:rPr>
        <w:t xml:space="preserve">loop </w:t>
      </w:r>
      <w:proofErr w:type="spellStart"/>
      <w:r w:rsidRPr="00DA43D7">
        <w:rPr>
          <w:rFonts w:ascii="Verdana" w:hAnsi="Verdana" w:cs="Arial"/>
          <w:i/>
          <w:color w:val="1F497D"/>
          <w:sz w:val="18"/>
          <w:szCs w:val="18"/>
        </w:rPr>
        <w:t>recorder</w:t>
      </w:r>
      <w:r w:rsidRPr="00DA43D7">
        <w:rPr>
          <w:rFonts w:ascii="Verdana" w:hAnsi="Verdana" w:cs="Arial"/>
          <w:color w:val="1F497D"/>
          <w:sz w:val="18"/>
          <w:szCs w:val="18"/>
        </w:rPr>
        <w:t>´i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ja standardkäsitluse rühma. Selgus, et interventsiooni rühmas leiti</w:t>
      </w:r>
      <w:r>
        <w:rPr>
          <w:rFonts w:ascii="Verdana" w:hAnsi="Verdana" w:cs="Arial"/>
          <w:color w:val="1F497D"/>
          <w:sz w:val="18"/>
          <w:szCs w:val="18"/>
        </w:rPr>
        <w:t xml:space="preserve"> 6 kuulise perioodi lõpuks 8.9%</w:t>
      </w:r>
      <w:r w:rsidRPr="00DA43D7">
        <w:rPr>
          <w:rFonts w:ascii="Verdana" w:hAnsi="Verdana" w:cs="Arial"/>
          <w:color w:val="1F497D"/>
          <w:sz w:val="18"/>
          <w:szCs w:val="18"/>
        </w:rPr>
        <w:t xml:space="preserve">-l kodade virvendusarütmia (19 patsienti) võrreldes 1.4%-ga kontrollrühmas (3 patsienti) (HR 6.4; 95% CI, 1.9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to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21.7; P&lt;0.001). 12. kuu lõpuks leiti kodade virvendusarütmia 12.4%-l interventsiooni rühmas</w:t>
      </w:r>
      <w:r>
        <w:rPr>
          <w:rFonts w:ascii="Verdana" w:hAnsi="Verdana" w:cs="Arial"/>
          <w:color w:val="1F497D"/>
          <w:sz w:val="18"/>
          <w:szCs w:val="18"/>
        </w:rPr>
        <w:t xml:space="preserve"> (29 patsienti) võrrelduna 2.0%</w:t>
      </w:r>
      <w:r w:rsidRPr="00DA43D7">
        <w:rPr>
          <w:rFonts w:ascii="Verdana" w:hAnsi="Verdana" w:cs="Arial"/>
          <w:color w:val="1F497D"/>
          <w:sz w:val="18"/>
          <w:szCs w:val="18"/>
        </w:rPr>
        <w:t xml:space="preserve">-ga kontrollrühmas (4 patsienti) (HR 7.3; 95% CI, 2.6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to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20.8; P&lt;0.001). Kokkuvõttes leiti, et valitud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krüptogeense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insuldiga patsientidel võiks olla kasu </w:t>
      </w:r>
      <w:r w:rsidRPr="00D24AAC">
        <w:rPr>
          <w:rFonts w:ascii="Verdana" w:hAnsi="Verdana" w:cs="Arial"/>
          <w:i/>
          <w:color w:val="1F497D"/>
          <w:sz w:val="18"/>
          <w:szCs w:val="18"/>
        </w:rPr>
        <w:t>lo</w:t>
      </w:r>
      <w:r w:rsidR="00D24AAC" w:rsidRPr="00D24AAC">
        <w:rPr>
          <w:rFonts w:ascii="Verdana" w:hAnsi="Verdana" w:cs="Arial"/>
          <w:i/>
          <w:color w:val="1F497D"/>
          <w:sz w:val="18"/>
          <w:szCs w:val="18"/>
        </w:rPr>
        <w:t xml:space="preserve">op </w:t>
      </w:r>
      <w:proofErr w:type="spellStart"/>
      <w:r w:rsidR="00D24AAC" w:rsidRPr="00D24AAC">
        <w:rPr>
          <w:rFonts w:ascii="Verdana" w:hAnsi="Verdana" w:cs="Arial"/>
          <w:i/>
          <w:color w:val="1F497D"/>
          <w:sz w:val="18"/>
          <w:szCs w:val="18"/>
        </w:rPr>
        <w:t>recorder</w:t>
      </w:r>
      <w:r w:rsidR="00D24AAC">
        <w:rPr>
          <w:rFonts w:ascii="Verdana" w:hAnsi="Verdana" w:cs="Arial"/>
          <w:color w:val="1F497D"/>
          <w:sz w:val="18"/>
          <w:szCs w:val="18"/>
        </w:rPr>
        <w:t>`i</w:t>
      </w:r>
      <w:proofErr w:type="spellEnd"/>
      <w:r w:rsidR="00D24AAC">
        <w:rPr>
          <w:rFonts w:ascii="Verdana" w:hAnsi="Verdana" w:cs="Arial"/>
          <w:color w:val="1F497D"/>
          <w:sz w:val="18"/>
          <w:szCs w:val="18"/>
        </w:rPr>
        <w:t xml:space="preserve"> </w:t>
      </w:r>
      <w:proofErr w:type="spellStart"/>
      <w:r w:rsidR="00D24AAC">
        <w:rPr>
          <w:rFonts w:ascii="Verdana" w:hAnsi="Verdana" w:cs="Arial"/>
          <w:color w:val="1F497D"/>
          <w:sz w:val="18"/>
          <w:szCs w:val="18"/>
        </w:rPr>
        <w:t>implanteerimisest</w:t>
      </w:r>
      <w:proofErr w:type="spellEnd"/>
    </w:p>
    <w:p w:rsidR="00DA43D7" w:rsidRPr="00DA43D7" w:rsidRDefault="00DA43D7" w:rsidP="00DA43D7">
      <w:pPr>
        <w:shd w:val="clear" w:color="auto" w:fill="FFFFFF"/>
        <w:spacing w:after="120"/>
        <w:ind w:right="238"/>
        <w:rPr>
          <w:rFonts w:ascii="Verdana" w:hAnsi="Verdana" w:cs="Arial"/>
          <w:color w:val="1F497D"/>
          <w:sz w:val="18"/>
          <w:szCs w:val="18"/>
        </w:rPr>
      </w:pPr>
      <w:r w:rsidRPr="00DA43D7">
        <w:rPr>
          <w:rFonts w:ascii="Verdana" w:hAnsi="Verdana" w:cs="Arial"/>
          <w:color w:val="1F497D"/>
          <w:sz w:val="18"/>
          <w:szCs w:val="18"/>
        </w:rPr>
        <w:t xml:space="preserve">Mitmetes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prospektiivsetes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uuringutes (5,6,8) selgus, et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krüptogeense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insuldiga patsiendid, kellel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standarmeetodil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KVA ei leita, saaksid kasu kauakestvamast (72 tundi ja enam) EKG monitooringust. Ilmnes ka trend, et mida vanema patsiendiga tegu, seda suurem on loodetav kasu (5, 8).</w:t>
      </w:r>
    </w:p>
    <w:p w:rsidR="00DA43D7" w:rsidRPr="00DA43D7" w:rsidRDefault="00DA43D7" w:rsidP="00DA43D7">
      <w:pPr>
        <w:shd w:val="clear" w:color="auto" w:fill="FFFFFF"/>
        <w:spacing w:after="120"/>
        <w:ind w:right="238"/>
        <w:rPr>
          <w:rFonts w:ascii="Verdana" w:hAnsi="Verdana" w:cs="Arial"/>
          <w:color w:val="1F497D"/>
          <w:sz w:val="18"/>
          <w:szCs w:val="18"/>
        </w:rPr>
      </w:pPr>
      <w:r w:rsidRPr="00DA43D7">
        <w:rPr>
          <w:rFonts w:ascii="Verdana" w:hAnsi="Verdana" w:cs="Arial"/>
          <w:color w:val="1F497D"/>
          <w:sz w:val="18"/>
          <w:szCs w:val="18"/>
        </w:rPr>
        <w:t xml:space="preserve">Rootsis käimasolev STROKESTOP uuring, kus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skriinitakse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kõiki teatud piirkonna 75-76-aastaseid inimesi on seni näidanud, et nimetatud vanuserühmas esineb palju diagnoosimata KVA ning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skriinimise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tulemusena avastatud KVA ja sellega kaasnev õigeaegne antikoaguleerimine võib oluliselt vähendada insulti haigestumist (9).</w:t>
      </w:r>
    </w:p>
    <w:p w:rsidR="00321017" w:rsidRDefault="00DA43D7" w:rsidP="00D24AAC">
      <w:pPr>
        <w:shd w:val="clear" w:color="auto" w:fill="FFFFFF"/>
        <w:spacing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DA43D7">
        <w:rPr>
          <w:rFonts w:ascii="Verdana" w:hAnsi="Verdana" w:cs="Arial"/>
          <w:color w:val="1F497D"/>
          <w:sz w:val="18"/>
          <w:szCs w:val="18"/>
        </w:rPr>
        <w:t xml:space="preserve">Konventsionaalse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Holter-monitooringu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võrdluses erinevate kas patsiendi käivitatava või automaatselt rütmihäiret salvestavate EKG-seadmetega on leitud, et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Holter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monitooring on vähem efektiivne harvade ja </w:t>
      </w:r>
      <w:proofErr w:type="spellStart"/>
      <w:r w:rsidRPr="00DA43D7">
        <w:rPr>
          <w:rFonts w:ascii="Verdana" w:hAnsi="Verdana" w:cs="Arial"/>
          <w:color w:val="1F497D"/>
          <w:sz w:val="18"/>
          <w:szCs w:val="18"/>
        </w:rPr>
        <w:t>asümptomaatiliste</w:t>
      </w:r>
      <w:proofErr w:type="spellEnd"/>
      <w:r w:rsidRPr="00DA43D7">
        <w:rPr>
          <w:rFonts w:ascii="Verdana" w:hAnsi="Verdana" w:cs="Arial"/>
          <w:color w:val="1F497D"/>
          <w:sz w:val="18"/>
          <w:szCs w:val="18"/>
        </w:rPr>
        <w:t xml:space="preserve"> KVA episoodide leidmisel (10-17).</w:t>
      </w:r>
    </w:p>
    <w:p w:rsidR="00F30092" w:rsidRPr="00CA7379" w:rsidRDefault="00A92F11" w:rsidP="00B63E99">
      <w:pPr>
        <w:shd w:val="clear" w:color="auto" w:fill="FFFFFF"/>
        <w:spacing w:after="120"/>
        <w:ind w:right="238"/>
        <w:rPr>
          <w:rFonts w:ascii="Verdana" w:hAnsi="Verdana" w:cs="Arial"/>
          <w:b/>
          <w:color w:val="1F497D"/>
          <w:sz w:val="18"/>
          <w:szCs w:val="18"/>
        </w:rPr>
      </w:pPr>
      <w:r w:rsidRPr="00CA7379">
        <w:rPr>
          <w:rFonts w:ascii="Verdana" w:hAnsi="Verdana" w:cs="Arial"/>
          <w:b/>
          <w:color w:val="1F497D"/>
          <w:sz w:val="18"/>
          <w:szCs w:val="18"/>
        </w:rPr>
        <w:t>Teiste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 xml:space="preserve"> ravijuhendite soovitus</w:t>
      </w:r>
      <w:r w:rsidRPr="00CA7379">
        <w:rPr>
          <w:rFonts w:ascii="Verdana" w:hAnsi="Verdana" w:cs="Arial"/>
          <w:b/>
          <w:color w:val="1F497D"/>
          <w:sz w:val="18"/>
          <w:szCs w:val="18"/>
        </w:rPr>
        <w:t>ed s</w:t>
      </w:r>
      <w:r w:rsidR="002C0E7F" w:rsidRPr="00CA7379">
        <w:rPr>
          <w:rFonts w:ascii="Verdana" w:hAnsi="Verdana" w:cs="Arial"/>
          <w:b/>
          <w:color w:val="1F497D"/>
          <w:sz w:val="18"/>
          <w:szCs w:val="18"/>
        </w:rPr>
        <w:t>amal teemal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AHA 2014 juhend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Soovitatakse tavapärasest pikemat või korduvat rütmimonitooringut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asümptomaatilise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avastamiseks. Selleks võib kasutada, kas 12-lülituselist EKG-d, ambulatoorset rütmimonitooringut (näiteks telemeetria,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EKG-Holter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ja EKG-salvestajad) ning samuti võib kasu olla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koormustestist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. Patsiendi aktiveeritavad EKG-salvestajad võivad abistada sümptomite põhjuste selgitamisel, samas kui automaatselt käivituvad rütmihäire-salvestajad võivad talle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tada </w:t>
      </w:r>
      <w:proofErr w:type="spellStart"/>
      <w:r>
        <w:rPr>
          <w:rFonts w:ascii="Verdana" w:hAnsi="Verdana" w:cs="ArialMT"/>
          <w:color w:val="1F497D"/>
          <w:sz w:val="18"/>
          <w:szCs w:val="18"/>
          <w:lang w:eastAsia="en-US"/>
        </w:rPr>
        <w:t>asümptomaatilisi</w:t>
      </w:r>
      <w:proofErr w:type="spellEnd"/>
      <w:r>
        <w:rPr>
          <w:rFonts w:ascii="Verdana" w:hAnsi="Verdana" w:cs="ArialMT"/>
          <w:color w:val="1F497D"/>
          <w:sz w:val="18"/>
          <w:szCs w:val="18"/>
          <w:lang w:eastAsia="en-US"/>
        </w:rPr>
        <w:t xml:space="preserve"> episoode.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Kanada ravijuhend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KVA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sümptomaatikaga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patsientidel tuleks üritada rütmihäire tabada kasutades ambulatoorset EKG-salvestamist (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Holter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monitor, automaatne rütmihäire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salvestja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või loop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recorder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).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Kanada Update 2014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KVA diagnoosimine insuldiga patsientidel: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-Optimaalne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monitoorimise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kestus ega seadme kasutamine ei ole üheselt selge, kõige kuluefektiivsema ning kliiniliselt parema strateegia leidmiseks on vaja teostada täiendavaid uuringuid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- Ägeda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emboolilise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isheemilise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insuldi või TIA-ga patsiendile soovitatakse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paroksüsmaalse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leidmiseks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vähemalt 24-tunni EKG jälgimist.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- Valitud vanemaealistele ägeda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mittelakunaarse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emboolilise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insuldiga patsientidele soovitatakse võimalusel täiendavat (üle 24 tunni) ambulatoorset EKG jälgimist KVA avastamiseks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ESC 2016 ravijuhend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Uuringute põhjal on alust arvata, et pikem EKG monitooring (insuldijärgselt 72 tundi või kauem) suurendab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diagnoosimata KVA tuvastamist.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Paroksüsmaalse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diagnoosimiseks on valideeritud mitmed patsiendi käivitatavad või pikema kasutusajaga nahale kinnitatavate elektroodidega seadmed ning neid võib kliiniliselt kasutada. Uusi tehnoloogilisi võimalusi, nagu nutiseadmetega seotud EKG-elektroode, nutikellasid või KVA algoritmidega va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r</w:t>
      </w: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ustatud vererõhuaparaate ei ole veel piisavalt uuritud ning seetõttu rutiinselt kasutada</w:t>
      </w: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</w:t>
      </w: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ei soovitata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lastRenderedPageBreak/>
        <w:t xml:space="preserve">Kõiki TIA või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isheemilise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insuldiga patsiente soovitatakse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skriinida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suhtes esmalt lühiajalise EKG monitooringuga, millele järgneb vähemalt 72-tunnine monitooring, kui KVA ei õnnestunud tabada. Kauakestvam EKG salvestamine oleks mõistlik kõigil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isheemilise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insuldiga patsientidel, kellel pol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e varasemalt KVA diagnoositud.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Soovitav on rutiinselt kontrollida südamestimulaatoreid ja ICD-sid kõrge kodade sagedusega episoodide (AHRE) suhtes. AHRE leidmisel tuleks enne KVA ravi patsientidele KVA dokumenteerimiseks määrata täiendav EKG monitooring.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NICE ravijuhend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KVA kahtlusega patsientidel, kellel pole õnnestunud rütmihäiret tavapärase EKG salve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stamisega tabada, soovitatakse: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- kasutada ambulatoorset 24-tunni EKG monitooringut, kui arvatav KVA episoodide 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intervall on vähem kui 24 tundi;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- kasutada rütmihäire automaatset salvestajat, kui arvatav KVA episoodide i</w:t>
      </w:r>
      <w:r>
        <w:rPr>
          <w:rFonts w:ascii="Verdana" w:hAnsi="Verdana" w:cs="ArialMT"/>
          <w:color w:val="1F497D"/>
          <w:sz w:val="18"/>
          <w:szCs w:val="18"/>
          <w:lang w:eastAsia="en-US"/>
        </w:rPr>
        <w:t>ntervall on suurem kui 24 tundi.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b/>
          <w:color w:val="1F497D"/>
          <w:sz w:val="18"/>
          <w:szCs w:val="18"/>
          <w:lang w:eastAsia="en-US"/>
        </w:rPr>
        <w:t xml:space="preserve">Soome ravijuhend </w:t>
      </w:r>
    </w:p>
    <w:p w:rsidR="00DA43D7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KVA kahtlusel võib kasutada pikemaajalist EKG salvestamist või rütmihäire automaatset salvestajat.</w:t>
      </w:r>
    </w:p>
    <w:p w:rsidR="008F5E95" w:rsidRPr="00DA43D7" w:rsidRDefault="00DA43D7" w:rsidP="00DA43D7">
      <w:pPr>
        <w:autoSpaceDE w:val="0"/>
        <w:autoSpaceDN w:val="0"/>
        <w:adjustRightInd w:val="0"/>
        <w:spacing w:after="120"/>
        <w:jc w:val="both"/>
        <w:rPr>
          <w:rFonts w:ascii="Verdana" w:hAnsi="Verdana" w:cs="ArialMT"/>
          <w:color w:val="1F497D"/>
          <w:sz w:val="18"/>
          <w:szCs w:val="18"/>
          <w:lang w:eastAsia="en-US"/>
        </w:rPr>
      </w:pPr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Patsiendipoolne pulsi palpeerimine võib olla kasulik </w:t>
      </w:r>
      <w:proofErr w:type="spellStart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>asümptomaatiliste</w:t>
      </w:r>
      <w:proofErr w:type="spellEnd"/>
      <w:r w:rsidRPr="00DA43D7">
        <w:rPr>
          <w:rFonts w:ascii="Verdana" w:hAnsi="Verdana" w:cs="ArialMT"/>
          <w:color w:val="1F497D"/>
          <w:sz w:val="18"/>
          <w:szCs w:val="18"/>
          <w:lang w:eastAsia="en-US"/>
        </w:rPr>
        <w:t xml:space="preserve"> KVA episoodide leidmisel.</w:t>
      </w:r>
    </w:p>
    <w:p w:rsidR="00446C67" w:rsidRPr="008F5E95" w:rsidRDefault="008F5E95" w:rsidP="003B0510">
      <w:pPr>
        <w:autoSpaceDE w:val="0"/>
        <w:autoSpaceDN w:val="0"/>
        <w:adjustRightInd w:val="0"/>
        <w:jc w:val="both"/>
        <w:rPr>
          <w:rFonts w:ascii="Verdana" w:hAnsi="Verdana" w:cs="ArialMT"/>
          <w:b/>
          <w:color w:val="1F497D"/>
          <w:sz w:val="18"/>
          <w:szCs w:val="18"/>
          <w:lang w:eastAsia="en-US"/>
        </w:rPr>
      </w:pPr>
      <w:r w:rsidRPr="008F5E95">
        <w:rPr>
          <w:rFonts w:ascii="Verdana" w:hAnsi="Verdana" w:cs="ArialMT"/>
          <w:b/>
          <w:color w:val="1F497D"/>
          <w:sz w:val="18"/>
          <w:szCs w:val="18"/>
          <w:lang w:eastAsia="en-US"/>
        </w:rPr>
        <w:t>Viited</w:t>
      </w:r>
    </w:p>
    <w:p w:rsidR="00A65437" w:rsidRPr="008F5E95" w:rsidRDefault="00A65437" w:rsidP="00A65437">
      <w:pPr>
        <w:rPr>
          <w:rFonts w:ascii="Verdana" w:hAnsi="Verdana"/>
          <w:i/>
          <w:color w:val="1F497D"/>
          <w:sz w:val="18"/>
          <w:szCs w:val="18"/>
        </w:rPr>
      </w:pP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Kishore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Vail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Majid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et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after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ischemic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transient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ischemic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attack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: a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systematic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review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meta-analysis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2014;45:520-6.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Seet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RC,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Friedman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Rabinstein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AA.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Prolonged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rhythm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the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occult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paroxysmal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ischemic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unknown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cause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Circulation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2011;124:477-86.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Higgins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MacFarlane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PW,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Dawson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et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Noninvasive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cardiac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event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to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after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ischemic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: a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randomized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controlled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2013;44:2525-31.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Sanna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Diener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HC,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Passman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RS, et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Cryptogenic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underlying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N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Engl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 Med 2014;370:2478-86.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Wachter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Weber-Kruger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Seegers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et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Age-dependent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yield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screening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undetected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patients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: the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Find-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study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J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Neurol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2013;260:2042-5.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Grond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M,Jauss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M,Hamann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G,Stark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E,Veltkamp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R,Nabavi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D,Horn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M,Weimar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C, Kohrmann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Wachter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Rosin 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Kirchhof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Improved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silent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using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72-hour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Holter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ECG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patients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with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ischemic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: a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prospective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multicenter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cohort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study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2013;44:3357–3364.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Rizos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Guntner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Jenetzky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E,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Marquardt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Reichardt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C,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Becker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Reinhardt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Hepp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Kirchhof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Aleynichenko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E, Ringleb P,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Hacke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W,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Veltkamp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Continuous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unit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electrocardiographic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versus 24-hour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Holter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electrocardiography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paroxysmal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after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2012;43: 2689 – 2694.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Gladstone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Spring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Dorian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Panzov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V,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Thorpe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KE, Hall J, Vaid H,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O’Donnell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Laupacis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Cote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Sharma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Blakely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Shuaib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Hachinski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V,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Coutts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SB,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Sahlas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Teal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Yip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Spence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JD,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Buck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B,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Verreault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Casaubon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LK, Penn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Selchen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Jin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Howse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Mehdiratta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Boyle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K, Aviv R, Kapral MK,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Mamdani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EMBRACE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Investigators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Coordinators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pa-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tients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with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cryptogenic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N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Engl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 Med 2014;370:2467–2477.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Friberg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Engdahl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Frykman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V,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Svennberg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E, Levin LA,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Rosenqvist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Population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screening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75- and 76-year-old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men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women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silent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(STROKESTOP).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Europace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2013;15:135–140.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Kalschke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G,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Hoffmann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B,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Drewitz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I,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Steinbeck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G,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Naebauer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Goette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Breithardt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G,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Kirchhof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Prospective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multicentre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validation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a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simple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patient-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operated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electrocardiographic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system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the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arrhythmias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elec-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trocardiographic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changes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Europace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2009;11:1362–1368.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Tieleman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RG,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Plantinga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Y,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Rinkes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Bartels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GL,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Posma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Cator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Hofman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C,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Houben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RP.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Validation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clinical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use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a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novel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diagnostic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device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screening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Europace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2014;16:1291 – 1295.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lastRenderedPageBreak/>
        <w:t>Barrett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PM,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Komatireddy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Haaser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Topol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Sheard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Encinas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Fought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Topol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EJ.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Comparison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24-hour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Holter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with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14-day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novel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adhesive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patch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electrocardiographic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Am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 Med 2014;127:95.e11–97.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Lowres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N,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Neubeck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Salkeld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G,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Krass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I,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McLachlan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Redfern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Bennett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Briffa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Bauman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Martinez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C,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Wallenhorst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C, Lau JK,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Brieger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DB,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RW,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Freedman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SB.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Feasibility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cost-effectiveness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prevention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through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community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screening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using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iPhone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ECG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pharmacies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The SEARCH-AF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study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Thromb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Haemost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2014;111:1167–1176.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Quinn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FR,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Gladstone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Screening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undiagnosed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the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com-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munity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Curr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Opin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Cardiol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2014;29:28–35.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Kinlay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S,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Leitch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JW, Neil 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Chapman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BL,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Hardy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DB,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Fletcher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PJ.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Cardiac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event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recorders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yield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more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diagnoses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are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more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cost-effective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than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48-hour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Holter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patients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with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palpitations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- a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controlled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clinical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Annals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Internal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Medicine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>. 1996; 124(1):16-20</w:t>
      </w:r>
    </w:p>
    <w:p w:rsidR="00DA43D7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i/>
          <w:color w:val="1F497D"/>
          <w:sz w:val="18"/>
          <w:szCs w:val="18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Jabaudon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D,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Sztajzel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Sievert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K, Landis T,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Sztajzel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Usefulness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ambulatory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7-day ECG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monitoring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the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atrial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fibrillation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flutter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after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acute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and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transient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ischemic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attack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Stroke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>. 2004; 35(7):1647-1651</w:t>
      </w:r>
    </w:p>
    <w:p w:rsidR="008F5E95" w:rsidRPr="00DA43D7" w:rsidRDefault="00DA43D7" w:rsidP="00DA43D7">
      <w:pPr>
        <w:pStyle w:val="ListParagraph"/>
        <w:numPr>
          <w:ilvl w:val="0"/>
          <w:numId w:val="8"/>
        </w:numPr>
        <w:rPr>
          <w:rFonts w:ascii="Verdana" w:hAnsi="Verdana"/>
          <w:b/>
          <w:i/>
          <w:color w:val="1F497D"/>
          <w:sz w:val="16"/>
          <w:szCs w:val="16"/>
        </w:rPr>
      </w:pP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Reiffel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JA,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Schwarzberg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R,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Murry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M.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Comparison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autotriggered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memory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loop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recorders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versus standard loop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recorders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versus 24-hour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Holter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monitors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for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arrhythmia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detection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.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American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Journal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 xml:space="preserve"> of </w:t>
      </w:r>
      <w:proofErr w:type="spellStart"/>
      <w:r w:rsidRPr="00DA43D7">
        <w:rPr>
          <w:rFonts w:ascii="Verdana" w:hAnsi="Verdana"/>
          <w:i/>
          <w:color w:val="1F497D"/>
          <w:sz w:val="18"/>
          <w:szCs w:val="18"/>
        </w:rPr>
        <w:t>Cardiology</w:t>
      </w:r>
      <w:proofErr w:type="spellEnd"/>
      <w:r w:rsidRPr="00DA43D7">
        <w:rPr>
          <w:rFonts w:ascii="Verdana" w:hAnsi="Verdana"/>
          <w:i/>
          <w:color w:val="1F497D"/>
          <w:sz w:val="18"/>
          <w:szCs w:val="18"/>
        </w:rPr>
        <w:t>. 2005; 95(9):1055-1059</w:t>
      </w: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A65437" w:rsidRPr="00A65437" w:rsidRDefault="00A65437" w:rsidP="00A65437">
      <w:pPr>
        <w:rPr>
          <w:rFonts w:ascii="Verdana" w:hAnsi="Verdana"/>
          <w:b/>
          <w:i/>
          <w:color w:val="1F497D"/>
          <w:sz w:val="16"/>
          <w:szCs w:val="16"/>
        </w:rPr>
      </w:pPr>
    </w:p>
    <w:p w:rsidR="00D2340A" w:rsidRPr="00CA7379" w:rsidRDefault="00D2340A" w:rsidP="00CA7379">
      <w:pPr>
        <w:rPr>
          <w:i/>
          <w:sz w:val="16"/>
          <w:szCs w:val="16"/>
        </w:rPr>
      </w:pPr>
    </w:p>
    <w:sectPr w:rsidR="00D2340A" w:rsidRPr="00CA7379" w:rsidSect="00CA737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16" w:rsidRDefault="00A37B16" w:rsidP="00321017">
      <w:r>
        <w:separator/>
      </w:r>
    </w:p>
  </w:endnote>
  <w:endnote w:type="continuationSeparator" w:id="0">
    <w:p w:rsidR="00A37B16" w:rsidRDefault="00A37B16" w:rsidP="0032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16" w:rsidRDefault="00A37B16" w:rsidP="00321017">
      <w:r>
        <w:separator/>
      </w:r>
    </w:p>
  </w:footnote>
  <w:footnote w:type="continuationSeparator" w:id="0">
    <w:p w:rsidR="00A37B16" w:rsidRDefault="00A37B16" w:rsidP="00321017">
      <w:r>
        <w:continuationSeparator/>
      </w:r>
    </w:p>
  </w:footnote>
  <w:footnote w:id="1">
    <w:p w:rsidR="00D24AAC" w:rsidRPr="00D24AAC" w:rsidRDefault="00D24AAC">
      <w:pPr>
        <w:pStyle w:val="FootnoteText"/>
        <w:rPr>
          <w:color w:val="1F497D"/>
        </w:rPr>
      </w:pPr>
      <w:r w:rsidRPr="00D24AAC">
        <w:rPr>
          <w:rStyle w:val="FootnoteReference"/>
          <w:color w:val="1F497D"/>
        </w:rPr>
        <w:footnoteRef/>
      </w:r>
      <w:r w:rsidRPr="00D24AAC">
        <w:rPr>
          <w:color w:val="1F497D"/>
        </w:rPr>
        <w:t xml:space="preserve"> </w:t>
      </w:r>
      <w:bookmarkStart w:id="0" w:name="_GoBack"/>
      <w:bookmarkEnd w:id="0"/>
      <w:r w:rsidRPr="00D24AAC">
        <w:rPr>
          <w:rFonts w:ascii="Verdana" w:hAnsi="Verdana"/>
          <w:i/>
          <w:color w:val="1F497D"/>
          <w:sz w:val="16"/>
          <w:szCs w:val="16"/>
        </w:rPr>
        <w:t xml:space="preserve">J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Am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Heart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Assoc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2016;5:e004000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doi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>: 10.1161/JAHA.116.004000.</w:t>
      </w:r>
    </w:p>
  </w:footnote>
  <w:footnote w:id="2">
    <w:p w:rsidR="00321017" w:rsidRPr="00D24AAC" w:rsidRDefault="00321017" w:rsidP="00321017">
      <w:pPr>
        <w:pStyle w:val="FootnoteText"/>
        <w:rPr>
          <w:rFonts w:ascii="Verdana" w:hAnsi="Verdana"/>
          <w:i/>
          <w:color w:val="1F497D"/>
          <w:sz w:val="16"/>
          <w:szCs w:val="16"/>
        </w:rPr>
      </w:pPr>
      <w:r w:rsidRPr="00D24AAC">
        <w:rPr>
          <w:rStyle w:val="FootnoteReference"/>
          <w:color w:val="1F497D"/>
        </w:rPr>
        <w:footnoteRef/>
      </w:r>
      <w:r w:rsidRPr="00D24AAC">
        <w:rPr>
          <w:color w:val="1F497D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Tayal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AH,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Tian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M,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Kelly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KM.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detected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by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mobile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cardiac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outpatient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telemetry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in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cryptogenic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TIA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or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stroke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Neurology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2008;71:1696-701.</w:t>
      </w:r>
    </w:p>
    <w:p w:rsidR="00321017" w:rsidRPr="00D24AAC" w:rsidRDefault="00321017" w:rsidP="00321017">
      <w:pPr>
        <w:pStyle w:val="FootnoteText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Etgen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T,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Hochreiter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M,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Mundel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M,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Freudenberger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T.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Insertable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cardiac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event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recorder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in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detection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of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after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cryptogenic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stroke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: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audit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report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Stroke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2013;44:2007-9.</w:t>
      </w:r>
    </w:p>
    <w:p w:rsidR="00321017" w:rsidRPr="00D24AAC" w:rsidRDefault="00321017" w:rsidP="00321017">
      <w:pPr>
        <w:pStyle w:val="FootnoteText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Glotzer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TV, Hellkamp AS,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Zimmerman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J, et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high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rate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episodes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detected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by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pacemaker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diagnostics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predict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death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and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stroke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: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report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of the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Diagnostics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Ancillary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Study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of the MOde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Selection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(MOST).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Circulation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2003;107:1614-9.</w:t>
      </w:r>
    </w:p>
    <w:p w:rsidR="00321017" w:rsidRPr="00D24AAC" w:rsidRDefault="00321017" w:rsidP="00321017">
      <w:pPr>
        <w:pStyle w:val="FootnoteText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Glotzer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TV,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Daoud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EG,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Wyse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DG, et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The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relationship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between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daily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tachyarrhythmia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burden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from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implantable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device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diagnostics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and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stroke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risk: the TRENDS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study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Circ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Arrhythm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Electrophysiol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2009;2:474-80.</w:t>
      </w:r>
    </w:p>
    <w:p w:rsidR="00321017" w:rsidRPr="00D24AAC" w:rsidRDefault="00321017" w:rsidP="00321017">
      <w:pPr>
        <w:pStyle w:val="FootnoteText"/>
        <w:rPr>
          <w:rFonts w:ascii="Verdana" w:hAnsi="Verdana"/>
          <w:i/>
          <w:color w:val="1F497D"/>
          <w:sz w:val="16"/>
          <w:szCs w:val="16"/>
        </w:rPr>
      </w:pP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Healey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JS,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Connolly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SJ,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Gold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MR, et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Subclinical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atrial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fibrillation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and the risk of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stroke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. N </w:t>
      </w:r>
      <w:proofErr w:type="spellStart"/>
      <w:r w:rsidRPr="00D24AAC">
        <w:rPr>
          <w:rFonts w:ascii="Verdana" w:hAnsi="Verdana"/>
          <w:i/>
          <w:color w:val="1F497D"/>
          <w:sz w:val="16"/>
          <w:szCs w:val="16"/>
        </w:rPr>
        <w:t>Engl</w:t>
      </w:r>
      <w:proofErr w:type="spellEnd"/>
      <w:r w:rsidRPr="00D24AAC">
        <w:rPr>
          <w:rFonts w:ascii="Verdana" w:hAnsi="Verdana"/>
          <w:i/>
          <w:color w:val="1F497D"/>
          <w:sz w:val="16"/>
          <w:szCs w:val="16"/>
        </w:rPr>
        <w:t xml:space="preserve"> J Med 2012;366:120-9.</w:t>
      </w:r>
      <w:r w:rsidR="00D24AAC" w:rsidRPr="00D24AAC">
        <w:rPr>
          <w:color w:val="1F497D"/>
        </w:rPr>
        <w:t xml:space="preserve"> </w:t>
      </w:r>
    </w:p>
    <w:p w:rsidR="00D24AAC" w:rsidRDefault="00D24AAC" w:rsidP="0032101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25B"/>
    <w:multiLevelType w:val="hybridMultilevel"/>
    <w:tmpl w:val="0F768F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87658"/>
    <w:multiLevelType w:val="multilevel"/>
    <w:tmpl w:val="D82E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A662C"/>
    <w:multiLevelType w:val="multilevel"/>
    <w:tmpl w:val="DBB2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60555"/>
    <w:multiLevelType w:val="hybridMultilevel"/>
    <w:tmpl w:val="7FF442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628C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EBE09AF"/>
    <w:multiLevelType w:val="hybridMultilevel"/>
    <w:tmpl w:val="815667A8"/>
    <w:lvl w:ilvl="0" w:tplc="3F565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7A7A2E"/>
    <w:multiLevelType w:val="multilevel"/>
    <w:tmpl w:val="0CF0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4F3194"/>
    <w:multiLevelType w:val="hybridMultilevel"/>
    <w:tmpl w:val="EF46E8A6"/>
    <w:lvl w:ilvl="0" w:tplc="D6CCFD1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30"/>
    </w:lvlOverride>
  </w:num>
  <w:num w:numId="4">
    <w:abstractNumId w:val="1"/>
    <w:lvlOverride w:ilvl="0">
      <w:startOverride w:val="31"/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E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0F3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06EC"/>
    <w:rsid w:val="00071076"/>
    <w:rsid w:val="0007107C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338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5ED"/>
    <w:rsid w:val="000A692C"/>
    <w:rsid w:val="000A7B10"/>
    <w:rsid w:val="000A7D46"/>
    <w:rsid w:val="000B0705"/>
    <w:rsid w:val="000B07C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4112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DB1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6F4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6242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454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F3"/>
    <w:rsid w:val="00253F7A"/>
    <w:rsid w:val="002541F9"/>
    <w:rsid w:val="002548FB"/>
    <w:rsid w:val="00255397"/>
    <w:rsid w:val="00255A1C"/>
    <w:rsid w:val="00255A8A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156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437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0E7F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4A75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017"/>
    <w:rsid w:val="003211FC"/>
    <w:rsid w:val="003220DA"/>
    <w:rsid w:val="003221C7"/>
    <w:rsid w:val="003228AA"/>
    <w:rsid w:val="00324819"/>
    <w:rsid w:val="00326F72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857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4FB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510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F53"/>
    <w:rsid w:val="003E0296"/>
    <w:rsid w:val="003E0698"/>
    <w:rsid w:val="003E0FEA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B4B"/>
    <w:rsid w:val="00401BB6"/>
    <w:rsid w:val="0040228C"/>
    <w:rsid w:val="004022B2"/>
    <w:rsid w:val="004024CA"/>
    <w:rsid w:val="004025F9"/>
    <w:rsid w:val="00402CDE"/>
    <w:rsid w:val="00403C2A"/>
    <w:rsid w:val="00403E90"/>
    <w:rsid w:val="00404CCF"/>
    <w:rsid w:val="00405169"/>
    <w:rsid w:val="00405702"/>
    <w:rsid w:val="00407382"/>
    <w:rsid w:val="0041015B"/>
    <w:rsid w:val="0041227E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394"/>
    <w:rsid w:val="004319F0"/>
    <w:rsid w:val="004320AD"/>
    <w:rsid w:val="004321FE"/>
    <w:rsid w:val="004323B4"/>
    <w:rsid w:val="00432AB7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C67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A58"/>
    <w:rsid w:val="0049208E"/>
    <w:rsid w:val="00492EC0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B6B"/>
    <w:rsid w:val="004B4DAE"/>
    <w:rsid w:val="004B5D97"/>
    <w:rsid w:val="004B64E1"/>
    <w:rsid w:val="004B683C"/>
    <w:rsid w:val="004B71F2"/>
    <w:rsid w:val="004B738F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C58"/>
    <w:rsid w:val="004C7FC7"/>
    <w:rsid w:val="004D1135"/>
    <w:rsid w:val="004D1567"/>
    <w:rsid w:val="004D18B5"/>
    <w:rsid w:val="004D20D3"/>
    <w:rsid w:val="004D28B5"/>
    <w:rsid w:val="004D2E78"/>
    <w:rsid w:val="004D5AF9"/>
    <w:rsid w:val="004D5DD3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7C97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6EA5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702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730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5C1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278A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3C3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1969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BB7"/>
    <w:rsid w:val="00714E80"/>
    <w:rsid w:val="007155DA"/>
    <w:rsid w:val="00716388"/>
    <w:rsid w:val="0071686E"/>
    <w:rsid w:val="00717593"/>
    <w:rsid w:val="007175AA"/>
    <w:rsid w:val="007177CF"/>
    <w:rsid w:val="00720399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17D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1AB3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469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C03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6D6F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F48"/>
    <w:rsid w:val="0087352B"/>
    <w:rsid w:val="008738B7"/>
    <w:rsid w:val="00873E4D"/>
    <w:rsid w:val="008741D5"/>
    <w:rsid w:val="00874CA4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C49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D25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0BA4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2E97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601"/>
    <w:rsid w:val="008F1E6B"/>
    <w:rsid w:val="008F22C3"/>
    <w:rsid w:val="008F3879"/>
    <w:rsid w:val="008F3CC6"/>
    <w:rsid w:val="008F3CEB"/>
    <w:rsid w:val="008F3F1A"/>
    <w:rsid w:val="008F48B1"/>
    <w:rsid w:val="008F4FE0"/>
    <w:rsid w:val="008F5E95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208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448D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58F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16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3C3"/>
    <w:rsid w:val="00A57790"/>
    <w:rsid w:val="00A57815"/>
    <w:rsid w:val="00A6076A"/>
    <w:rsid w:val="00A6108C"/>
    <w:rsid w:val="00A61A43"/>
    <w:rsid w:val="00A61B1E"/>
    <w:rsid w:val="00A6201F"/>
    <w:rsid w:val="00A62273"/>
    <w:rsid w:val="00A63619"/>
    <w:rsid w:val="00A63642"/>
    <w:rsid w:val="00A63A22"/>
    <w:rsid w:val="00A64731"/>
    <w:rsid w:val="00A64AB3"/>
    <w:rsid w:val="00A64FF3"/>
    <w:rsid w:val="00A65437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2F11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2DB0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5CFE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32A4"/>
    <w:rsid w:val="00B63E99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BFC"/>
    <w:rsid w:val="00B930D0"/>
    <w:rsid w:val="00B933D3"/>
    <w:rsid w:val="00B9356B"/>
    <w:rsid w:val="00B93A58"/>
    <w:rsid w:val="00B94372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052"/>
    <w:rsid w:val="00BC6430"/>
    <w:rsid w:val="00BC660B"/>
    <w:rsid w:val="00BC695E"/>
    <w:rsid w:val="00BC73A6"/>
    <w:rsid w:val="00BC78EA"/>
    <w:rsid w:val="00BC7A1C"/>
    <w:rsid w:val="00BD1E97"/>
    <w:rsid w:val="00BD20E6"/>
    <w:rsid w:val="00BD2780"/>
    <w:rsid w:val="00BD3021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5B5D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28A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D27"/>
    <w:rsid w:val="00C3326D"/>
    <w:rsid w:val="00C337D7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263B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379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531"/>
    <w:rsid w:val="00CB6A5B"/>
    <w:rsid w:val="00CB6B45"/>
    <w:rsid w:val="00CB6EB5"/>
    <w:rsid w:val="00CB725E"/>
    <w:rsid w:val="00CB7601"/>
    <w:rsid w:val="00CC05E8"/>
    <w:rsid w:val="00CC0C91"/>
    <w:rsid w:val="00CC0DA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5B40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4EB4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40A"/>
    <w:rsid w:val="00D23CD6"/>
    <w:rsid w:val="00D23FC6"/>
    <w:rsid w:val="00D24698"/>
    <w:rsid w:val="00D24AAC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4A3"/>
    <w:rsid w:val="00D3665E"/>
    <w:rsid w:val="00D3681A"/>
    <w:rsid w:val="00D368CA"/>
    <w:rsid w:val="00D36A6A"/>
    <w:rsid w:val="00D36ACA"/>
    <w:rsid w:val="00D37256"/>
    <w:rsid w:val="00D40736"/>
    <w:rsid w:val="00D4093A"/>
    <w:rsid w:val="00D40E68"/>
    <w:rsid w:val="00D41D3A"/>
    <w:rsid w:val="00D42AC7"/>
    <w:rsid w:val="00D4338F"/>
    <w:rsid w:val="00D434D5"/>
    <w:rsid w:val="00D43941"/>
    <w:rsid w:val="00D4469C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6EA5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3D7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B9E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0EE"/>
    <w:rsid w:val="00DE7B8A"/>
    <w:rsid w:val="00DF05F5"/>
    <w:rsid w:val="00DF08CD"/>
    <w:rsid w:val="00DF0A25"/>
    <w:rsid w:val="00DF1331"/>
    <w:rsid w:val="00DF289B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442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DA4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550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0F27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01E"/>
    <w:rsid w:val="00EF54C2"/>
    <w:rsid w:val="00EF5662"/>
    <w:rsid w:val="00EF588D"/>
    <w:rsid w:val="00EF5CF3"/>
    <w:rsid w:val="00EF60FE"/>
    <w:rsid w:val="00EF643F"/>
    <w:rsid w:val="00EF6D38"/>
    <w:rsid w:val="00EF703E"/>
    <w:rsid w:val="00F0025D"/>
    <w:rsid w:val="00F00398"/>
    <w:rsid w:val="00F0085D"/>
    <w:rsid w:val="00F008CB"/>
    <w:rsid w:val="00F00D15"/>
    <w:rsid w:val="00F00DA9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092"/>
    <w:rsid w:val="00F306BE"/>
    <w:rsid w:val="00F3080A"/>
    <w:rsid w:val="00F3103E"/>
    <w:rsid w:val="00F31327"/>
    <w:rsid w:val="00F31C42"/>
    <w:rsid w:val="00F31D8F"/>
    <w:rsid w:val="00F32045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677D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3F"/>
    <w:rsid w:val="00F500A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2D0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4CC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72"/>
    <w:qFormat/>
    <w:rsid w:val="0041227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21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1017"/>
    <w:rPr>
      <w:lang w:eastAsia="et-EE"/>
    </w:rPr>
  </w:style>
  <w:style w:type="character" w:styleId="FootnoteReference">
    <w:name w:val="footnote reference"/>
    <w:basedOn w:val="DefaultParagraphFont"/>
    <w:rsid w:val="00321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abstractlabel">
    <w:name w:val="sub_abstract_label"/>
    <w:rsid w:val="00402CDE"/>
    <w:rPr>
      <w:b/>
      <w:bCs/>
      <w:sz w:val="24"/>
      <w:szCs w:val="24"/>
    </w:rPr>
  </w:style>
  <w:style w:type="table" w:styleId="TableGrid">
    <w:name w:val="Table Grid"/>
    <w:basedOn w:val="TableNormal"/>
    <w:rsid w:val="0040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rm-highlight1">
    <w:name w:val="search-term-highlight1"/>
    <w:rsid w:val="00196F4C"/>
    <w:rPr>
      <w:b/>
      <w:bCs/>
      <w:color w:val="CC0000"/>
    </w:rPr>
  </w:style>
  <w:style w:type="character" w:styleId="HTMLCite">
    <w:name w:val="HTML Cite"/>
    <w:rsid w:val="00C337D7"/>
    <w:rPr>
      <w:i/>
      <w:iCs/>
    </w:rPr>
  </w:style>
  <w:style w:type="character" w:customStyle="1" w:styleId="cit-vol1">
    <w:name w:val="cit-vol1"/>
    <w:rsid w:val="00C337D7"/>
    <w:rPr>
      <w:b w:val="0"/>
      <w:bCs w:val="0"/>
    </w:rPr>
  </w:style>
  <w:style w:type="character" w:customStyle="1" w:styleId="cit-title1">
    <w:name w:val="cit-title1"/>
    <w:basedOn w:val="DefaultParagraphFont"/>
    <w:rsid w:val="00C337D7"/>
  </w:style>
  <w:style w:type="character" w:customStyle="1" w:styleId="cit-authcit-auth-type-author">
    <w:name w:val="cit-auth cit-auth-type-author"/>
    <w:basedOn w:val="DefaultParagraphFont"/>
    <w:rsid w:val="00C337D7"/>
  </w:style>
  <w:style w:type="character" w:customStyle="1" w:styleId="cit-sepcit-sep-separator">
    <w:name w:val="cit-sep cit-sep-separator"/>
    <w:basedOn w:val="DefaultParagraphFont"/>
    <w:rsid w:val="00C337D7"/>
  </w:style>
  <w:style w:type="character" w:customStyle="1" w:styleId="cit-print-date">
    <w:name w:val="cit-print-date"/>
    <w:basedOn w:val="DefaultParagraphFont"/>
    <w:rsid w:val="00C337D7"/>
  </w:style>
  <w:style w:type="character" w:customStyle="1" w:styleId="cit-sepcit-sep-after-article-print-date">
    <w:name w:val="cit-sep cit-sep-after-article-print-date"/>
    <w:basedOn w:val="DefaultParagraphFont"/>
    <w:rsid w:val="00C337D7"/>
  </w:style>
  <w:style w:type="character" w:customStyle="1" w:styleId="cit-sepcit-sep-after-article-vol">
    <w:name w:val="cit-sep cit-sep-after-article-vol"/>
    <w:basedOn w:val="DefaultParagraphFont"/>
    <w:rsid w:val="00C337D7"/>
  </w:style>
  <w:style w:type="character" w:customStyle="1" w:styleId="cit-first-page">
    <w:name w:val="cit-first-page"/>
    <w:basedOn w:val="DefaultParagraphFont"/>
    <w:rsid w:val="00C337D7"/>
  </w:style>
  <w:style w:type="character" w:styleId="Hyperlink">
    <w:name w:val="Hyperlink"/>
    <w:rsid w:val="00BC6052"/>
    <w:rPr>
      <w:color w:val="0000FF"/>
      <w:u w:val="single"/>
    </w:rPr>
  </w:style>
  <w:style w:type="character" w:styleId="Emphasis">
    <w:name w:val="Emphasis"/>
    <w:qFormat/>
    <w:rsid w:val="00BC6052"/>
    <w:rPr>
      <w:i/>
      <w:iCs/>
    </w:rPr>
  </w:style>
  <w:style w:type="paragraph" w:customStyle="1" w:styleId="p1">
    <w:name w:val="p1"/>
    <w:basedOn w:val="Normal"/>
    <w:rsid w:val="00C7263B"/>
    <w:rPr>
      <w:rFonts w:ascii="Times" w:hAnsi="Times"/>
      <w:sz w:val="15"/>
      <w:szCs w:val="15"/>
      <w:lang w:val="en-GB" w:eastAsia="en-GB"/>
    </w:rPr>
  </w:style>
  <w:style w:type="character" w:customStyle="1" w:styleId="apple-converted-space">
    <w:name w:val="apple-converted-space"/>
    <w:rsid w:val="00C7263B"/>
  </w:style>
  <w:style w:type="paragraph" w:styleId="BalloonText">
    <w:name w:val="Balloon Text"/>
    <w:basedOn w:val="Normal"/>
    <w:link w:val="BalloonTextChar"/>
    <w:rsid w:val="009F5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558F"/>
    <w:rPr>
      <w:rFonts w:ascii="Tahoma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72"/>
    <w:qFormat/>
    <w:rsid w:val="0041227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21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1017"/>
    <w:rPr>
      <w:lang w:eastAsia="et-EE"/>
    </w:rPr>
  </w:style>
  <w:style w:type="character" w:styleId="FootnoteReference">
    <w:name w:val="footnote reference"/>
    <w:basedOn w:val="DefaultParagraphFont"/>
    <w:rsid w:val="0032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0559">
              <w:marLeft w:val="0"/>
              <w:marRight w:val="0"/>
              <w:marTop w:val="0"/>
              <w:marBottom w:val="0"/>
              <w:divBdr>
                <w:top w:val="single" w:sz="2" w:space="0" w:color="B8B6B6"/>
                <w:left w:val="single" w:sz="6" w:space="0" w:color="B8B6B6"/>
                <w:bottom w:val="single" w:sz="6" w:space="0" w:color="B8B6B6"/>
                <w:right w:val="single" w:sz="6" w:space="0" w:color="B8B6B6"/>
              </w:divBdr>
              <w:divsChild>
                <w:div w:id="15271389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88029">
                          <w:marLeft w:val="150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0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50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17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10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3AE1234-5945-4C50-8061-B4B43A77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1732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Non-pharmacological treatment</vt:lpstr>
    </vt:vector>
  </TitlesOfParts>
  <Company>Ravimiamet</Company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Non-pharmacological treatment</dc:title>
  <dc:creator>Kasutaja</dc:creator>
  <cp:lastModifiedBy>Alar Irs</cp:lastModifiedBy>
  <cp:revision>4</cp:revision>
  <dcterms:created xsi:type="dcterms:W3CDTF">2017-09-09T18:00:00Z</dcterms:created>
  <dcterms:modified xsi:type="dcterms:W3CDTF">2017-09-09T20:01:00Z</dcterms:modified>
</cp:coreProperties>
</file>