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95" w:rsidRDefault="008F5E95" w:rsidP="00B63E99">
      <w:pPr>
        <w:spacing w:after="120"/>
        <w:rPr>
          <w:rFonts w:ascii="Verdana" w:hAnsi="Verdana"/>
          <w:b/>
          <w:bCs/>
          <w:color w:val="C00000"/>
          <w:sz w:val="18"/>
          <w:szCs w:val="18"/>
        </w:rPr>
      </w:pPr>
      <w:r>
        <w:rPr>
          <w:rFonts w:ascii="Verdana" w:hAnsi="Verdana"/>
          <w:b/>
          <w:bCs/>
          <w:color w:val="C00000"/>
          <w:sz w:val="18"/>
          <w:szCs w:val="18"/>
        </w:rPr>
        <w:t>I</w:t>
      </w:r>
      <w:r w:rsidRPr="008F5E95">
        <w:rPr>
          <w:rFonts w:ascii="Verdana" w:hAnsi="Verdana"/>
          <w:b/>
          <w:bCs/>
          <w:color w:val="C00000"/>
          <w:sz w:val="18"/>
          <w:szCs w:val="18"/>
        </w:rPr>
        <w:t>ntensi</w:t>
      </w:r>
      <w:r>
        <w:rPr>
          <w:rFonts w:ascii="Verdana" w:hAnsi="Verdana"/>
          <w:b/>
          <w:bCs/>
          <w:color w:val="C00000"/>
          <w:sz w:val="18"/>
          <w:szCs w:val="18"/>
        </w:rPr>
        <w:t>ivne</w:t>
      </w:r>
      <w:r w:rsidRPr="008F5E95">
        <w:rPr>
          <w:rFonts w:ascii="Verdana" w:hAnsi="Verdana"/>
          <w:b/>
          <w:bCs/>
          <w:color w:val="C00000"/>
          <w:sz w:val="18"/>
          <w:szCs w:val="18"/>
        </w:rPr>
        <w:t xml:space="preserve"> elustiili</w:t>
      </w:r>
      <w:r>
        <w:rPr>
          <w:rFonts w:ascii="Verdana" w:hAnsi="Verdana"/>
          <w:b/>
          <w:bCs/>
          <w:color w:val="C00000"/>
          <w:sz w:val="18"/>
          <w:szCs w:val="18"/>
        </w:rPr>
        <w:t>/riskifaktoreid</w:t>
      </w:r>
      <w:r w:rsidRPr="008F5E95">
        <w:rPr>
          <w:rFonts w:ascii="Verdana" w:hAnsi="Verdana"/>
          <w:b/>
          <w:bCs/>
          <w:color w:val="C00000"/>
          <w:sz w:val="18"/>
          <w:szCs w:val="18"/>
        </w:rPr>
        <w:t xml:space="preserve"> modifitseeriv</w:t>
      </w:r>
      <w:r>
        <w:rPr>
          <w:rFonts w:ascii="Verdana" w:hAnsi="Verdana"/>
          <w:b/>
          <w:bCs/>
          <w:color w:val="C00000"/>
          <w:sz w:val="18"/>
          <w:szCs w:val="18"/>
        </w:rPr>
        <w:t xml:space="preserve"> individualiseeritud interventsioon kodade virvendusarütmia taastekke vältimiseks</w:t>
      </w:r>
    </w:p>
    <w:p w:rsidR="008D0BA4" w:rsidRDefault="002C0E7F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Kliiniline küsimus</w:t>
      </w:r>
      <w:r w:rsidR="00D56EA5" w:rsidRPr="00CA7379">
        <w:rPr>
          <w:rFonts w:ascii="Verdana" w:hAnsi="Verdana"/>
          <w:bCs/>
          <w:color w:val="1F497D"/>
          <w:sz w:val="18"/>
          <w:szCs w:val="18"/>
        </w:rPr>
        <w:t xml:space="preserve">  </w:t>
      </w:r>
    </w:p>
    <w:p w:rsidR="00D41D3A" w:rsidRPr="00CA7379" w:rsidRDefault="00D41D3A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D41D3A">
        <w:rPr>
          <w:rFonts w:ascii="Verdana" w:hAnsi="Verdana"/>
          <w:bCs/>
          <w:color w:val="1F497D"/>
          <w:sz w:val="18"/>
          <w:szCs w:val="18"/>
        </w:rPr>
        <w:t>Kas sümptomaatilise KVA-ga patsientidel tuleks kasutada intensiivset elustiili modifitseerivat interventsiooni (vs tavapraktika).</w:t>
      </w:r>
    </w:p>
    <w:p w:rsidR="008D0BA4" w:rsidRPr="00CA7379" w:rsidRDefault="002C0E7F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b/>
          <w:color w:val="1F497D"/>
          <w:sz w:val="18"/>
          <w:szCs w:val="18"/>
        </w:rPr>
        <w:t>Olulised tulemusnäitajad</w:t>
      </w:r>
      <w:r w:rsidR="008D0BA4" w:rsidRPr="00CA7379">
        <w:rPr>
          <w:rFonts w:ascii="Verdana" w:hAnsi="Verdana"/>
          <w:color w:val="1F497D"/>
          <w:sz w:val="18"/>
          <w:szCs w:val="18"/>
        </w:rPr>
        <w:t xml:space="preserve"> </w:t>
      </w:r>
    </w:p>
    <w:p w:rsidR="002C0E7F" w:rsidRDefault="008D0B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color w:val="1F497D"/>
          <w:sz w:val="18"/>
          <w:szCs w:val="18"/>
        </w:rPr>
        <w:t xml:space="preserve">Surm, ajuinfarkt, trombemboolia, oluline verejooks, elukvaliteet, koljusisene verejooks, südame löögisageduse eesmärkväärtuse (nt ≤100 </w:t>
      </w:r>
      <w:proofErr w:type="spellStart"/>
      <w:r w:rsidRPr="00CA7379">
        <w:rPr>
          <w:rFonts w:ascii="Verdana" w:hAnsi="Verdana"/>
          <w:color w:val="1F497D"/>
          <w:sz w:val="18"/>
          <w:szCs w:val="18"/>
        </w:rPr>
        <w:t>x/min</w:t>
      </w:r>
      <w:proofErr w:type="spellEnd"/>
      <w:r w:rsidRPr="00CA7379">
        <w:rPr>
          <w:rFonts w:ascii="Verdana" w:hAnsi="Verdana"/>
          <w:color w:val="1F497D"/>
          <w:sz w:val="18"/>
          <w:szCs w:val="18"/>
        </w:rPr>
        <w:t>) saavutamine, tõsine kõrvaltoime.</w:t>
      </w:r>
    </w:p>
    <w:p w:rsidR="00874CA4" w:rsidRPr="00CA7379" w:rsidRDefault="00874C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Mõõdukalt olulised: </w:t>
      </w:r>
      <w:r w:rsidRPr="00874CA4">
        <w:rPr>
          <w:rFonts w:ascii="Verdana" w:hAnsi="Verdana"/>
          <w:color w:val="1F497D"/>
          <w:sz w:val="18"/>
          <w:szCs w:val="18"/>
        </w:rPr>
        <w:t>hospitaliseerimine, KVA taasteke (sek preventsioonil), ravi katkestama sundiv kõrvaltoime, südamepuudulikkus, aeg KVA esimese taastekkeni, siinusrütmi taastumine (</w:t>
      </w:r>
      <w:proofErr w:type="spellStart"/>
      <w:r w:rsidRPr="00874CA4">
        <w:rPr>
          <w:rFonts w:ascii="Verdana" w:hAnsi="Verdana"/>
          <w:color w:val="1F497D"/>
          <w:sz w:val="18"/>
          <w:szCs w:val="18"/>
        </w:rPr>
        <w:t>kardioversioonil</w:t>
      </w:r>
      <w:proofErr w:type="spellEnd"/>
      <w:r>
        <w:rPr>
          <w:rFonts w:ascii="Verdana" w:hAnsi="Verdana"/>
          <w:color w:val="1F497D"/>
          <w:sz w:val="18"/>
          <w:szCs w:val="18"/>
        </w:rPr>
        <w:t>), siinusrütmi püsimine 12 kuud</w:t>
      </w:r>
      <w:r w:rsidRPr="00874CA4">
        <w:rPr>
          <w:rFonts w:ascii="Verdana" w:hAnsi="Verdana"/>
          <w:color w:val="1F497D"/>
          <w:sz w:val="18"/>
          <w:szCs w:val="18"/>
        </w:rPr>
        <w:t>.</w:t>
      </w:r>
      <w:bookmarkStart w:id="0" w:name="_GoBack"/>
      <w:bookmarkEnd w:id="0"/>
    </w:p>
    <w:p w:rsidR="00B63E99" w:rsidRDefault="00B63E99" w:rsidP="00B63E9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Kliinilise tõenduse kokkuvõte</w:t>
      </w:r>
    </w:p>
    <w:p w:rsidR="00874CA4" w:rsidRPr="0098448D" w:rsidRDefault="008F48B1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98448D">
        <w:rPr>
          <w:rFonts w:ascii="Verdana" w:hAnsi="Verdana"/>
          <w:bCs/>
          <w:color w:val="1F497D"/>
          <w:sz w:val="18"/>
          <w:szCs w:val="18"/>
        </w:rPr>
        <w:t xml:space="preserve">On üldtunnustatud, et </w:t>
      </w:r>
      <w:r w:rsidR="004B4B6B" w:rsidRPr="0098448D">
        <w:rPr>
          <w:rFonts w:ascii="Verdana" w:hAnsi="Verdana"/>
          <w:bCs/>
          <w:color w:val="1F497D"/>
          <w:sz w:val="18"/>
          <w:szCs w:val="18"/>
        </w:rPr>
        <w:t xml:space="preserve">tervislik eluviis </w:t>
      </w:r>
      <w:r w:rsidR="0098448D" w:rsidRPr="0098448D">
        <w:rPr>
          <w:rFonts w:ascii="Verdana" w:hAnsi="Verdana"/>
          <w:bCs/>
          <w:color w:val="1F497D"/>
          <w:sz w:val="18"/>
          <w:szCs w:val="18"/>
        </w:rPr>
        <w:t>(KMI &lt;25</w:t>
      </w:r>
      <w:r w:rsidR="0098448D" w:rsidRPr="0098448D">
        <w:rPr>
          <w:rFonts w:ascii="Arial" w:hAnsi="Arial" w:cs="Arial"/>
          <w:bCs/>
          <w:color w:val="1F497D"/>
          <w:sz w:val="18"/>
          <w:szCs w:val="18"/>
        </w:rPr>
        <w:t> </w:t>
      </w:r>
      <w:r w:rsidR="0098448D" w:rsidRPr="0098448D">
        <w:rPr>
          <w:rFonts w:ascii="Verdana" w:hAnsi="Verdana"/>
          <w:bCs/>
          <w:color w:val="1F497D"/>
          <w:sz w:val="18"/>
          <w:szCs w:val="18"/>
        </w:rPr>
        <w:t xml:space="preserve">kg/m2, regulaarne treening </w:t>
      </w:r>
      <w:r w:rsidR="0098448D" w:rsidRPr="0098448D">
        <w:rPr>
          <w:rFonts w:ascii="Verdana" w:hAnsi="Verdana" w:cs="Verdana"/>
          <w:bCs/>
          <w:color w:val="1F497D"/>
          <w:sz w:val="18"/>
          <w:szCs w:val="18"/>
        </w:rPr>
        <w:t>≥</w:t>
      </w:r>
      <w:r w:rsidR="0098448D" w:rsidRPr="0098448D">
        <w:rPr>
          <w:rFonts w:ascii="Verdana" w:hAnsi="Verdana"/>
          <w:bCs/>
          <w:color w:val="1F497D"/>
          <w:sz w:val="18"/>
          <w:szCs w:val="18"/>
        </w:rPr>
        <w:t>20</w:t>
      </w:r>
      <w:r w:rsidR="0098448D" w:rsidRPr="0098448D">
        <w:rPr>
          <w:rFonts w:ascii="Arial" w:hAnsi="Arial" w:cs="Arial"/>
          <w:bCs/>
          <w:color w:val="1F497D"/>
          <w:sz w:val="18"/>
          <w:szCs w:val="18"/>
        </w:rPr>
        <w:t> </w:t>
      </w:r>
      <w:proofErr w:type="spellStart"/>
      <w:r w:rsidR="0098448D" w:rsidRPr="0098448D">
        <w:rPr>
          <w:rFonts w:ascii="Verdana" w:hAnsi="Verdana"/>
          <w:bCs/>
          <w:color w:val="1F497D"/>
          <w:sz w:val="18"/>
          <w:szCs w:val="18"/>
        </w:rPr>
        <w:t>min/p</w:t>
      </w:r>
      <w:proofErr w:type="spellEnd"/>
      <w:r w:rsidR="0098448D" w:rsidRPr="0098448D">
        <w:rPr>
          <w:rFonts w:ascii="Verdana" w:hAnsi="Verdana"/>
          <w:bCs/>
          <w:color w:val="1F497D"/>
          <w:sz w:val="18"/>
          <w:szCs w:val="18"/>
        </w:rPr>
        <w:t>, karskus või vähene alkoholitarbimine (≤2</w:t>
      </w:r>
      <w:r w:rsidR="0098448D" w:rsidRPr="0098448D">
        <w:rPr>
          <w:rFonts w:ascii="Arial" w:hAnsi="Arial" w:cs="Arial"/>
          <w:bCs/>
          <w:color w:val="1F497D"/>
          <w:sz w:val="18"/>
          <w:szCs w:val="18"/>
        </w:rPr>
        <w:t> </w:t>
      </w:r>
      <w:r w:rsidR="0098448D" w:rsidRPr="0098448D">
        <w:rPr>
          <w:rFonts w:ascii="Verdana" w:hAnsi="Verdana" w:cs="Arial"/>
          <w:bCs/>
          <w:color w:val="1F497D"/>
          <w:sz w:val="18"/>
          <w:szCs w:val="18"/>
        </w:rPr>
        <w:t xml:space="preserve">ühiku/p meestel ja </w:t>
      </w:r>
      <w:r w:rsidR="0098448D" w:rsidRPr="0098448D">
        <w:rPr>
          <w:rFonts w:ascii="Verdana" w:hAnsi="Verdana" w:cs="Verdana"/>
          <w:bCs/>
          <w:color w:val="1F497D"/>
          <w:sz w:val="18"/>
          <w:szCs w:val="18"/>
        </w:rPr>
        <w:t>≤</w:t>
      </w:r>
      <w:r w:rsidR="0098448D" w:rsidRPr="0098448D">
        <w:rPr>
          <w:rFonts w:ascii="Verdana" w:hAnsi="Verdana"/>
          <w:bCs/>
          <w:color w:val="1F497D"/>
          <w:sz w:val="18"/>
          <w:szCs w:val="18"/>
        </w:rPr>
        <w:t>1</w:t>
      </w:r>
      <w:r w:rsidR="0098448D" w:rsidRPr="0098448D">
        <w:rPr>
          <w:rFonts w:ascii="Arial" w:hAnsi="Arial" w:cs="Arial"/>
          <w:bCs/>
          <w:color w:val="1F497D"/>
          <w:sz w:val="18"/>
          <w:szCs w:val="18"/>
        </w:rPr>
        <w:t> </w:t>
      </w:r>
      <w:r w:rsidR="0098448D" w:rsidRPr="0098448D">
        <w:rPr>
          <w:rFonts w:ascii="Verdana" w:hAnsi="Verdana" w:cs="Arial"/>
          <w:bCs/>
          <w:color w:val="1F497D"/>
          <w:sz w:val="18"/>
          <w:szCs w:val="18"/>
        </w:rPr>
        <w:t xml:space="preserve">ühiku/p naistel) ning suitsetamisest hoidumine) </w:t>
      </w:r>
      <w:r w:rsidR="004B4B6B" w:rsidRPr="0098448D">
        <w:rPr>
          <w:rFonts w:ascii="Verdana" w:hAnsi="Verdana"/>
          <w:bCs/>
          <w:color w:val="1F497D"/>
          <w:sz w:val="18"/>
          <w:szCs w:val="18"/>
        </w:rPr>
        <w:t>on seotud kodade virvendusarütmia madalama riskiga (</w:t>
      </w:r>
      <w:proofErr w:type="spellStart"/>
      <w:r w:rsidR="004B4B6B" w:rsidRPr="0098448D">
        <w:rPr>
          <w:rFonts w:ascii="Verdana" w:hAnsi="Verdana"/>
          <w:bCs/>
          <w:color w:val="1F497D"/>
          <w:sz w:val="18"/>
          <w:szCs w:val="18"/>
        </w:rPr>
        <w:t>Larsson</w:t>
      </w:r>
      <w:proofErr w:type="spellEnd"/>
      <w:r w:rsidR="004B4B6B" w:rsidRPr="0098448D">
        <w:rPr>
          <w:rFonts w:ascii="Verdana" w:hAnsi="Verdana"/>
          <w:bCs/>
          <w:color w:val="1F497D"/>
          <w:sz w:val="18"/>
          <w:szCs w:val="18"/>
        </w:rPr>
        <w:t xml:space="preserve"> 2016).</w:t>
      </w:r>
    </w:p>
    <w:p w:rsidR="0098448D" w:rsidRPr="0098448D" w:rsidRDefault="0098448D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98448D"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 w:rsidRPr="0098448D">
        <w:rPr>
          <w:rFonts w:ascii="Verdana" w:hAnsi="Verdana"/>
          <w:bCs/>
          <w:color w:val="1F497D"/>
          <w:sz w:val="18"/>
          <w:szCs w:val="18"/>
        </w:rPr>
        <w:t xml:space="preserve"> uuringute andmed </w:t>
      </w:r>
      <w:proofErr w:type="spellStart"/>
      <w:r w:rsidRPr="0098448D">
        <w:rPr>
          <w:rFonts w:ascii="Verdana" w:hAnsi="Verdana"/>
          <w:bCs/>
          <w:color w:val="1F497D"/>
          <w:sz w:val="18"/>
          <w:szCs w:val="18"/>
        </w:rPr>
        <w:t>kardiorespiratoorsele</w:t>
      </w:r>
      <w:proofErr w:type="spellEnd"/>
      <w:r w:rsidRPr="0098448D">
        <w:rPr>
          <w:rFonts w:ascii="Verdana" w:hAnsi="Verdana"/>
          <w:bCs/>
          <w:color w:val="1F497D"/>
          <w:sz w:val="18"/>
          <w:szCs w:val="18"/>
        </w:rPr>
        <w:t xml:space="preserve"> võimekuse parandamise ja kehakaalu langetamise </w:t>
      </w:r>
      <w:r w:rsidR="00134112">
        <w:rPr>
          <w:rFonts w:ascii="Verdana" w:hAnsi="Verdana"/>
          <w:bCs/>
          <w:color w:val="1F497D"/>
          <w:sz w:val="18"/>
          <w:szCs w:val="18"/>
        </w:rPr>
        <w:t xml:space="preserve">soodsa </w:t>
      </w:r>
      <w:r w:rsidRPr="0098448D">
        <w:rPr>
          <w:rFonts w:ascii="Verdana" w:hAnsi="Verdana"/>
          <w:bCs/>
          <w:color w:val="1F497D"/>
          <w:sz w:val="18"/>
          <w:szCs w:val="18"/>
        </w:rPr>
        <w:t>mõju kohta kodade virvendusarütmia tekkele, taastekkele ja tüsistustele puuduvad.</w:t>
      </w:r>
    </w:p>
    <w:p w:rsidR="0098448D" w:rsidRDefault="0098448D" w:rsidP="0098448D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8F48B1">
        <w:rPr>
          <w:rFonts w:ascii="Verdana" w:hAnsi="Verdana"/>
          <w:bCs/>
          <w:color w:val="1F497D"/>
          <w:sz w:val="18"/>
          <w:szCs w:val="18"/>
        </w:rPr>
        <w:t xml:space="preserve">2017 avaldatud </w:t>
      </w:r>
      <w:proofErr w:type="spellStart"/>
      <w:r w:rsidRPr="008F48B1">
        <w:rPr>
          <w:rFonts w:ascii="Verdana" w:hAnsi="Verdana"/>
          <w:bCs/>
          <w:color w:val="1F497D"/>
          <w:sz w:val="18"/>
          <w:szCs w:val="18"/>
        </w:rPr>
        <w:t>Cochrane</w:t>
      </w:r>
      <w:proofErr w:type="spellEnd"/>
      <w:r w:rsidRPr="008F48B1">
        <w:rPr>
          <w:rFonts w:ascii="Verdana" w:hAnsi="Verdana"/>
          <w:bCs/>
          <w:color w:val="1F497D"/>
          <w:sz w:val="18"/>
          <w:szCs w:val="18"/>
        </w:rPr>
        <w:t xml:space="preserve"> ülevaade treeningupõhisest kardioloogilisest taastusravist </w:t>
      </w:r>
      <w:r w:rsidR="00134112">
        <w:rPr>
          <w:rFonts w:ascii="Verdana" w:hAnsi="Verdana"/>
          <w:bCs/>
          <w:color w:val="1F497D"/>
          <w:sz w:val="18"/>
          <w:szCs w:val="18"/>
        </w:rPr>
        <w:t xml:space="preserve">kodade virvendusarütmia puhul </w:t>
      </w:r>
      <w:r w:rsidRPr="008F48B1">
        <w:rPr>
          <w:rFonts w:ascii="Verdana" w:hAnsi="Verdana"/>
          <w:bCs/>
          <w:color w:val="1F497D"/>
          <w:sz w:val="18"/>
          <w:szCs w:val="18"/>
        </w:rPr>
        <w:t>(</w:t>
      </w:r>
      <w:proofErr w:type="spellStart"/>
      <w:r w:rsidRPr="008F48B1">
        <w:rPr>
          <w:rFonts w:ascii="Verdana" w:hAnsi="Verdana"/>
          <w:bCs/>
          <w:color w:val="1F497D"/>
          <w:sz w:val="18"/>
          <w:szCs w:val="18"/>
        </w:rPr>
        <w:t>Risom</w:t>
      </w:r>
      <w:proofErr w:type="spellEnd"/>
      <w:r w:rsidRPr="008F48B1">
        <w:rPr>
          <w:rFonts w:ascii="Verdana" w:hAnsi="Verdana"/>
          <w:bCs/>
          <w:color w:val="1F497D"/>
          <w:sz w:val="18"/>
          <w:szCs w:val="18"/>
        </w:rPr>
        <w:t xml:space="preserve"> 2017) leidis 6 lühikese jälgimisajaga </w:t>
      </w:r>
      <w:proofErr w:type="spellStart"/>
      <w:r w:rsidRPr="008F48B1"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 w:rsidRPr="008F48B1">
        <w:rPr>
          <w:rFonts w:ascii="Verdana" w:hAnsi="Verdana"/>
          <w:bCs/>
          <w:color w:val="1F497D"/>
          <w:sz w:val="18"/>
          <w:szCs w:val="18"/>
        </w:rPr>
        <w:t xml:space="preserve"> uuringut 421 patsiendil. </w:t>
      </w:r>
      <w:proofErr w:type="spellStart"/>
      <w:r w:rsidRPr="008F48B1">
        <w:rPr>
          <w:rFonts w:ascii="Verdana" w:hAnsi="Verdana"/>
          <w:bCs/>
          <w:color w:val="1F497D"/>
          <w:sz w:val="18"/>
          <w:szCs w:val="18"/>
        </w:rPr>
        <w:t>Elulemuskasu</w:t>
      </w:r>
      <w:proofErr w:type="spellEnd"/>
      <w:r w:rsidRPr="008F48B1">
        <w:rPr>
          <w:rFonts w:ascii="Verdana" w:hAnsi="Verdana"/>
          <w:bCs/>
          <w:color w:val="1F497D"/>
          <w:sz w:val="18"/>
          <w:szCs w:val="18"/>
        </w:rPr>
        <w:t xml:space="preserve"> ei näidatud, kuna surmasid peaaegu ei esinenud. Ei näidatud ka erinevust tõsiste kõrvaltoimete ega elukvaliteedi osas. Sekkumine parandas füüsilist võimekust, ent tõenduse kvaliteet oli väga madal.</w:t>
      </w:r>
    </w:p>
    <w:p w:rsidR="0098448D" w:rsidRDefault="0098448D" w:rsidP="00C15B5D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 xml:space="preserve">Vaatlusuuringus </w:t>
      </w:r>
      <w:r w:rsidRPr="0098448D">
        <w:rPr>
          <w:rFonts w:ascii="Verdana" w:hAnsi="Verdana"/>
          <w:bCs/>
          <w:color w:val="1F497D"/>
          <w:sz w:val="18"/>
          <w:szCs w:val="18"/>
        </w:rPr>
        <w:t>(</w:t>
      </w:r>
      <w:r>
        <w:rPr>
          <w:rFonts w:ascii="Verdana" w:hAnsi="Verdana"/>
          <w:bCs/>
          <w:color w:val="1F497D"/>
          <w:sz w:val="18"/>
          <w:szCs w:val="18"/>
        </w:rPr>
        <w:t xml:space="preserve">CARDIO-FIT, </w:t>
      </w:r>
      <w:proofErr w:type="spellStart"/>
      <w:r w:rsidRPr="0098448D">
        <w:rPr>
          <w:rFonts w:ascii="Verdana" w:hAnsi="Verdana"/>
          <w:bCs/>
          <w:color w:val="1F497D"/>
          <w:sz w:val="18"/>
          <w:szCs w:val="18"/>
        </w:rPr>
        <w:t>Pathak</w:t>
      </w:r>
      <w:proofErr w:type="spellEnd"/>
      <w:r w:rsidRPr="0098448D">
        <w:rPr>
          <w:rFonts w:ascii="Verdana" w:hAnsi="Verdana"/>
          <w:bCs/>
          <w:color w:val="1F497D"/>
          <w:sz w:val="18"/>
          <w:szCs w:val="18"/>
        </w:rPr>
        <w:t xml:space="preserve"> </w:t>
      </w:r>
      <w:r>
        <w:rPr>
          <w:rFonts w:ascii="Verdana" w:hAnsi="Verdana"/>
          <w:bCs/>
          <w:color w:val="1F497D"/>
          <w:sz w:val="18"/>
          <w:szCs w:val="18"/>
        </w:rPr>
        <w:t>2015) 1415 järjestikusel kodade virvendusarütmiaga patsiendil (KMI ≥ 27) pakuti kõigile osalemist riskifaktorite mõjutamise ja treeningu programmis</w:t>
      </w:r>
      <w:r w:rsidR="00C15B5D">
        <w:rPr>
          <w:rFonts w:ascii="Verdana" w:hAnsi="Verdana"/>
          <w:bCs/>
          <w:color w:val="1F497D"/>
          <w:sz w:val="18"/>
          <w:szCs w:val="18"/>
        </w:rPr>
        <w:t xml:space="preserve"> (dieet, individualiseeritud koormusega treening, hüpertensiooniravi optimeerimine, </w:t>
      </w:r>
      <w:proofErr w:type="spellStart"/>
      <w:r w:rsidR="00C15B5D">
        <w:rPr>
          <w:rFonts w:ascii="Verdana" w:hAnsi="Verdana"/>
          <w:bCs/>
          <w:color w:val="1F497D"/>
          <w:sz w:val="18"/>
          <w:szCs w:val="18"/>
        </w:rPr>
        <w:t>düslipideemia</w:t>
      </w:r>
      <w:proofErr w:type="spellEnd"/>
      <w:r w:rsidR="00C15B5D">
        <w:rPr>
          <w:rFonts w:ascii="Verdana" w:hAnsi="Verdana"/>
          <w:bCs/>
          <w:color w:val="1F497D"/>
          <w:sz w:val="18"/>
          <w:szCs w:val="18"/>
        </w:rPr>
        <w:t xml:space="preserve"> korrektsioon, glükoosi ainevahetuse, </w:t>
      </w:r>
      <w:proofErr w:type="spellStart"/>
      <w:r w:rsidR="00C15B5D">
        <w:rPr>
          <w:rFonts w:ascii="Verdana" w:hAnsi="Verdana"/>
          <w:bCs/>
          <w:color w:val="1F497D"/>
          <w:sz w:val="18"/>
          <w:szCs w:val="18"/>
        </w:rPr>
        <w:t>uneapnoe</w:t>
      </w:r>
      <w:proofErr w:type="spellEnd"/>
      <w:r w:rsidR="00C15B5D">
        <w:rPr>
          <w:rFonts w:ascii="Verdana" w:hAnsi="Verdana"/>
          <w:bCs/>
          <w:color w:val="1F497D"/>
          <w:sz w:val="18"/>
          <w:szCs w:val="18"/>
        </w:rPr>
        <w:t>, alkoholi ja suitsetamise mõjutamine)</w:t>
      </w:r>
      <w:r>
        <w:rPr>
          <w:rFonts w:ascii="Verdana" w:hAnsi="Verdana"/>
          <w:bCs/>
          <w:color w:val="1F497D"/>
          <w:sz w:val="18"/>
          <w:szCs w:val="18"/>
        </w:rPr>
        <w:t>, 308 nõustus osalema. Hinnati KVA raskust (</w:t>
      </w:r>
      <w:r w:rsidR="00C15B5D" w:rsidRPr="00C15B5D">
        <w:rPr>
          <w:rFonts w:ascii="Verdana" w:hAnsi="Verdana"/>
          <w:bCs/>
          <w:i/>
          <w:color w:val="1F497D"/>
          <w:sz w:val="18"/>
          <w:szCs w:val="18"/>
        </w:rPr>
        <w:t xml:space="preserve">AF </w:t>
      </w:r>
      <w:proofErr w:type="spellStart"/>
      <w:r w:rsidR="00C15B5D" w:rsidRPr="00C15B5D">
        <w:rPr>
          <w:rFonts w:ascii="Verdana" w:hAnsi="Verdana"/>
          <w:bCs/>
          <w:i/>
          <w:color w:val="1F497D"/>
          <w:sz w:val="18"/>
          <w:szCs w:val="18"/>
        </w:rPr>
        <w:t>Severity</w:t>
      </w:r>
      <w:proofErr w:type="spellEnd"/>
      <w:r w:rsidR="00C15B5D" w:rsidRPr="00C15B5D">
        <w:rPr>
          <w:rFonts w:ascii="Verdana" w:hAnsi="Verdana"/>
          <w:bCs/>
          <w:i/>
          <w:color w:val="1F497D"/>
          <w:sz w:val="18"/>
          <w:szCs w:val="18"/>
        </w:rPr>
        <w:t xml:space="preserve"> </w:t>
      </w:r>
      <w:proofErr w:type="spellStart"/>
      <w:r w:rsidR="00C15B5D" w:rsidRPr="00C15B5D">
        <w:rPr>
          <w:rFonts w:ascii="Verdana" w:hAnsi="Verdana"/>
          <w:bCs/>
          <w:i/>
          <w:color w:val="1F497D"/>
          <w:sz w:val="18"/>
          <w:szCs w:val="18"/>
        </w:rPr>
        <w:t>Scale</w:t>
      </w:r>
      <w:proofErr w:type="spellEnd"/>
      <w:r w:rsidR="00C15B5D" w:rsidRPr="00C15B5D">
        <w:rPr>
          <w:rFonts w:ascii="Verdana" w:hAnsi="Verdana"/>
          <w:bCs/>
          <w:i/>
          <w:color w:val="1F497D"/>
          <w:sz w:val="18"/>
          <w:szCs w:val="18"/>
        </w:rPr>
        <w:t xml:space="preserve">, Uni of Toronto, </w:t>
      </w:r>
      <w:proofErr w:type="spellStart"/>
      <w:r w:rsidR="00C15B5D" w:rsidRPr="00C15B5D">
        <w:rPr>
          <w:rFonts w:ascii="Verdana" w:hAnsi="Verdana"/>
          <w:bCs/>
          <w:i/>
          <w:color w:val="1F497D"/>
          <w:sz w:val="18"/>
          <w:szCs w:val="18"/>
        </w:rPr>
        <w:t>Canada</w:t>
      </w:r>
      <w:proofErr w:type="spellEnd"/>
      <w:r w:rsidR="00C15B5D">
        <w:rPr>
          <w:rFonts w:ascii="Verdana" w:hAnsi="Verdana"/>
          <w:bCs/>
          <w:color w:val="1F497D"/>
          <w:sz w:val="18"/>
          <w:szCs w:val="18"/>
        </w:rPr>
        <w:t xml:space="preserve">) ja KVA mitteesinemist 7 ööpäevase monitooringu alusel. Algne </w:t>
      </w:r>
      <w:proofErr w:type="spellStart"/>
      <w:r w:rsidR="00C15B5D">
        <w:rPr>
          <w:rFonts w:ascii="Verdana" w:hAnsi="Verdana"/>
          <w:bCs/>
          <w:color w:val="1F497D"/>
          <w:sz w:val="18"/>
          <w:szCs w:val="18"/>
        </w:rPr>
        <w:t>kardiorepsiratoorne</w:t>
      </w:r>
      <w:proofErr w:type="spellEnd"/>
      <w:r w:rsidR="00C15B5D">
        <w:rPr>
          <w:rFonts w:ascii="Verdana" w:hAnsi="Verdana"/>
          <w:bCs/>
          <w:color w:val="1F497D"/>
          <w:sz w:val="18"/>
          <w:szCs w:val="18"/>
        </w:rPr>
        <w:t xml:space="preserve"> võimekus oli madal 95, adekvaatne 134 ja kõrge 79 patsiendil ning see ennustas kehakaalust sõltumatult ette kodade virvendusarütmia puudumist uuringu lõpul (iga lisa-MET algses koormustaluvuses oli seotud kodade virvendusarütmia taastekke riski 13% vähenemisega (HR 0,87, 95% CI 0,80-0,94, P &lt; 0,001). Uuringu lõpul ei</w:t>
      </w:r>
      <w:r w:rsidR="00296437">
        <w:rPr>
          <w:rFonts w:ascii="Verdana" w:hAnsi="Verdana"/>
          <w:bCs/>
          <w:color w:val="1F497D"/>
          <w:sz w:val="18"/>
          <w:szCs w:val="18"/>
        </w:rPr>
        <w:t xml:space="preserve"> olnud kodade virvendusarü</w:t>
      </w:r>
      <w:r w:rsidR="00C15B5D">
        <w:rPr>
          <w:rFonts w:ascii="Verdana" w:hAnsi="Verdana"/>
          <w:bCs/>
          <w:color w:val="1F497D"/>
          <w:sz w:val="18"/>
          <w:szCs w:val="18"/>
        </w:rPr>
        <w:t xml:space="preserve">tmiat </w:t>
      </w:r>
      <w:r w:rsidR="00C15B5D" w:rsidRPr="00C15B5D">
        <w:rPr>
          <w:rFonts w:ascii="Verdana" w:hAnsi="Verdana"/>
          <w:bCs/>
          <w:color w:val="1F497D"/>
          <w:sz w:val="18"/>
          <w:szCs w:val="18"/>
        </w:rPr>
        <w:t>17%</w:t>
      </w:r>
      <w:r w:rsidR="00C15B5D">
        <w:rPr>
          <w:rFonts w:ascii="Verdana" w:hAnsi="Verdana"/>
          <w:bCs/>
          <w:color w:val="1F497D"/>
          <w:sz w:val="18"/>
          <w:szCs w:val="18"/>
        </w:rPr>
        <w:t xml:space="preserve"> madala, 76% adekvaatse ja 84% kõrge </w:t>
      </w:r>
      <w:proofErr w:type="spellStart"/>
      <w:r w:rsidR="00C15B5D">
        <w:rPr>
          <w:rFonts w:ascii="Verdana" w:hAnsi="Verdana"/>
          <w:bCs/>
          <w:color w:val="1F497D"/>
          <w:sz w:val="18"/>
          <w:szCs w:val="18"/>
        </w:rPr>
        <w:t>kardiorespiratoorse</w:t>
      </w:r>
      <w:proofErr w:type="spellEnd"/>
      <w:r w:rsidR="00C15B5D">
        <w:rPr>
          <w:rFonts w:ascii="Verdana" w:hAnsi="Verdana"/>
          <w:bCs/>
          <w:color w:val="1F497D"/>
          <w:sz w:val="18"/>
          <w:szCs w:val="18"/>
        </w:rPr>
        <w:t xml:space="preserve"> võimekusega patsientidest </w:t>
      </w:r>
      <w:r w:rsidR="00C15B5D" w:rsidRPr="00C15B5D">
        <w:rPr>
          <w:rFonts w:ascii="Verdana" w:hAnsi="Verdana"/>
          <w:bCs/>
          <w:color w:val="1F497D"/>
          <w:sz w:val="18"/>
          <w:szCs w:val="18"/>
        </w:rPr>
        <w:t>(p &lt; 0.001).</w:t>
      </w:r>
      <w:r w:rsidR="00296437">
        <w:rPr>
          <w:rFonts w:ascii="Verdana" w:hAnsi="Verdana"/>
          <w:bCs/>
          <w:color w:val="1F497D"/>
          <w:sz w:val="18"/>
          <w:szCs w:val="18"/>
        </w:rPr>
        <w:t xml:space="preserve"> Võrreldi uuringu jooksul kuni 2 MET-i ning 2 või enam MET-i võimekust parandanud isikute tulemusi: edukamal grupil oli püsivam kaalukaotus, suurem vererõhulangus, lipiidiprofiili suurem muutus, </w:t>
      </w:r>
      <w:r w:rsidR="008F5E95">
        <w:rPr>
          <w:rFonts w:ascii="Verdana" w:hAnsi="Verdana"/>
          <w:bCs/>
          <w:color w:val="1F497D"/>
          <w:sz w:val="18"/>
          <w:szCs w:val="18"/>
        </w:rPr>
        <w:t>parem veresuhk</w:t>
      </w:r>
      <w:r w:rsidR="00296437">
        <w:rPr>
          <w:rFonts w:ascii="Verdana" w:hAnsi="Verdana"/>
          <w:bCs/>
          <w:color w:val="1F497D"/>
          <w:sz w:val="18"/>
          <w:szCs w:val="18"/>
        </w:rPr>
        <w:t xml:space="preserve">rutase, madalam </w:t>
      </w:r>
      <w:proofErr w:type="spellStart"/>
      <w:r w:rsidR="00296437">
        <w:rPr>
          <w:rFonts w:ascii="Verdana" w:hAnsi="Verdana"/>
          <w:bCs/>
          <w:color w:val="1F497D"/>
          <w:sz w:val="18"/>
          <w:szCs w:val="18"/>
        </w:rPr>
        <w:t>hsCRP</w:t>
      </w:r>
      <w:proofErr w:type="spellEnd"/>
      <w:r w:rsidR="00296437">
        <w:rPr>
          <w:rFonts w:ascii="Verdana" w:hAnsi="Verdana"/>
          <w:bCs/>
          <w:color w:val="1F497D"/>
          <w:sz w:val="18"/>
          <w:szCs w:val="18"/>
        </w:rPr>
        <w:t xml:space="preserve">. </w:t>
      </w:r>
      <w:proofErr w:type="spellStart"/>
      <w:r w:rsidR="00296437">
        <w:rPr>
          <w:rFonts w:ascii="Verdana" w:hAnsi="Verdana"/>
          <w:bCs/>
          <w:color w:val="1F497D"/>
          <w:sz w:val="18"/>
          <w:szCs w:val="18"/>
        </w:rPr>
        <w:t>Ablatsiooni</w:t>
      </w:r>
      <w:proofErr w:type="spellEnd"/>
      <w:r w:rsidR="00296437">
        <w:rPr>
          <w:rFonts w:ascii="Verdana" w:hAnsi="Verdana"/>
          <w:bCs/>
          <w:color w:val="1F497D"/>
          <w:sz w:val="18"/>
          <w:szCs w:val="18"/>
        </w:rPr>
        <w:t xml:space="preserve"> ja ravimiteta ilma kodade virvendusarütmiata</w:t>
      </w:r>
      <w:r w:rsidR="008F5E95"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="00296437">
        <w:rPr>
          <w:rFonts w:ascii="Verdana" w:hAnsi="Verdana"/>
          <w:bCs/>
          <w:color w:val="1F497D"/>
          <w:sz w:val="18"/>
          <w:szCs w:val="18"/>
        </w:rPr>
        <w:t xml:space="preserve">patsientide osakaal oli 61% vs 18%, iga juurde saadud MET vähendas arütmia taastekke riski 9% (kohandatult kehakaalule ja algsele võimekusele). Uuringu lõpul oli arütmiast vaba 89% vs 40% vastavalt 2 või enam ning alla 2 MET-i juurde saavutanud patsientidest. </w:t>
      </w:r>
      <w:proofErr w:type="spellStart"/>
      <w:r w:rsidR="00296437">
        <w:rPr>
          <w:rFonts w:ascii="Verdana" w:hAnsi="Verdana"/>
          <w:bCs/>
          <w:color w:val="1F497D"/>
          <w:sz w:val="18"/>
          <w:szCs w:val="18"/>
        </w:rPr>
        <w:t>Kardiorespiratoorse</w:t>
      </w:r>
      <w:proofErr w:type="spellEnd"/>
      <w:r w:rsidR="00296437">
        <w:rPr>
          <w:rFonts w:ascii="Verdana" w:hAnsi="Verdana"/>
          <w:bCs/>
          <w:color w:val="1F497D"/>
          <w:sz w:val="18"/>
          <w:szCs w:val="18"/>
        </w:rPr>
        <w:t xml:space="preserve"> võimekuse paranemine ja kehakaalu langus toimisid sünergistlikult. Vähe kaalu kaotanud ning vähe </w:t>
      </w:r>
      <w:r w:rsidR="00134112">
        <w:rPr>
          <w:rFonts w:ascii="Verdana" w:hAnsi="Verdana"/>
          <w:bCs/>
          <w:color w:val="1F497D"/>
          <w:sz w:val="18"/>
          <w:szCs w:val="18"/>
        </w:rPr>
        <w:t xml:space="preserve">füüsilist </w:t>
      </w:r>
      <w:r w:rsidR="00296437">
        <w:rPr>
          <w:rFonts w:ascii="Verdana" w:hAnsi="Verdana"/>
          <w:bCs/>
          <w:color w:val="1F497D"/>
          <w:sz w:val="18"/>
          <w:szCs w:val="18"/>
        </w:rPr>
        <w:t>võim</w:t>
      </w:r>
      <w:r w:rsidR="00134112">
        <w:rPr>
          <w:rFonts w:ascii="Verdana" w:hAnsi="Verdana"/>
          <w:bCs/>
          <w:color w:val="1F497D"/>
          <w:sz w:val="18"/>
          <w:szCs w:val="18"/>
        </w:rPr>
        <w:t>e</w:t>
      </w:r>
      <w:r w:rsidR="00296437">
        <w:rPr>
          <w:rFonts w:ascii="Verdana" w:hAnsi="Verdana"/>
          <w:bCs/>
          <w:color w:val="1F497D"/>
          <w:sz w:val="18"/>
          <w:szCs w:val="18"/>
        </w:rPr>
        <w:t xml:space="preserve">kust suurendanutest oli uuringu lõpul arütmiavaba </w:t>
      </w:r>
      <w:r w:rsidR="00134112">
        <w:rPr>
          <w:rFonts w:ascii="Verdana" w:hAnsi="Verdana"/>
          <w:bCs/>
          <w:color w:val="1F497D"/>
          <w:sz w:val="18"/>
          <w:szCs w:val="18"/>
        </w:rPr>
        <w:t>34% ning oluliselt kaalu kaotanud ning oluliselt füüsilist võimekust suurendanutest 94% (p &lt; 0,001).</w:t>
      </w:r>
    </w:p>
    <w:p w:rsidR="00134112" w:rsidRDefault="00134112" w:rsidP="00134112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>Sama autor on kohortuuringus (</w:t>
      </w:r>
      <w:r w:rsidRPr="00134112">
        <w:rPr>
          <w:rFonts w:ascii="Verdana" w:hAnsi="Verdana"/>
          <w:bCs/>
          <w:color w:val="1F497D"/>
          <w:sz w:val="18"/>
          <w:szCs w:val="18"/>
        </w:rPr>
        <w:t>ARREST-AF</w:t>
      </w:r>
      <w:r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Pathak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2014</w:t>
      </w:r>
      <w:r w:rsidR="00F30092">
        <w:rPr>
          <w:rFonts w:ascii="Verdana" w:hAnsi="Verdana"/>
          <w:bCs/>
          <w:color w:val="1F497D"/>
          <w:sz w:val="18"/>
          <w:szCs w:val="18"/>
        </w:rPr>
        <w:t>, N = 165</w:t>
      </w:r>
      <w:r>
        <w:rPr>
          <w:rFonts w:ascii="Verdana" w:hAnsi="Verdana"/>
          <w:bCs/>
          <w:color w:val="1F497D"/>
          <w:sz w:val="18"/>
          <w:szCs w:val="18"/>
        </w:rPr>
        <w:t>)</w:t>
      </w:r>
      <w:r w:rsidR="008F5E95">
        <w:rPr>
          <w:rFonts w:ascii="Verdana" w:hAnsi="Verdana"/>
          <w:bCs/>
          <w:color w:val="1F497D"/>
          <w:sz w:val="18"/>
          <w:szCs w:val="18"/>
        </w:rPr>
        <w:t xml:space="preserve"> näidanud, et risk</w:t>
      </w:r>
      <w:r>
        <w:rPr>
          <w:rFonts w:ascii="Verdana" w:hAnsi="Verdana"/>
          <w:bCs/>
          <w:color w:val="1F497D"/>
          <w:sz w:val="18"/>
          <w:szCs w:val="18"/>
        </w:rPr>
        <w:t xml:space="preserve">ifaktorite agressiivne mõjutamine parandab kodade virvendusarütmia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ablatsioonravi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pikaajalist edukust: üksikprotseduuri järel oli arütmiavaba 32,</w:t>
      </w:r>
      <w:r w:rsidRPr="00134112">
        <w:rPr>
          <w:rFonts w:ascii="Verdana" w:hAnsi="Verdana"/>
          <w:bCs/>
          <w:color w:val="1F497D"/>
          <w:sz w:val="18"/>
          <w:szCs w:val="18"/>
        </w:rPr>
        <w:t>9%</w:t>
      </w:r>
      <w:r>
        <w:rPr>
          <w:rFonts w:ascii="Verdana" w:hAnsi="Verdana"/>
          <w:bCs/>
          <w:color w:val="1F497D"/>
          <w:sz w:val="18"/>
          <w:szCs w:val="18"/>
        </w:rPr>
        <w:t xml:space="preserve"> riskifaktorite mõjutamise rühma patsientidest ning </w:t>
      </w:r>
      <w:r w:rsidRPr="00134112">
        <w:rPr>
          <w:rFonts w:ascii="Verdana" w:hAnsi="Verdana"/>
          <w:bCs/>
          <w:color w:val="1F497D"/>
          <w:sz w:val="18"/>
          <w:szCs w:val="18"/>
        </w:rPr>
        <w:t xml:space="preserve">9.7% </w:t>
      </w:r>
      <w:r>
        <w:rPr>
          <w:rFonts w:ascii="Verdana" w:hAnsi="Verdana"/>
          <w:bCs/>
          <w:color w:val="1F497D"/>
          <w:sz w:val="18"/>
          <w:szCs w:val="18"/>
        </w:rPr>
        <w:t xml:space="preserve">võrdlusrühma patsientidest </w:t>
      </w:r>
      <w:r w:rsidRPr="00134112">
        <w:rPr>
          <w:rFonts w:ascii="Verdana" w:hAnsi="Verdana"/>
          <w:bCs/>
          <w:color w:val="1F497D"/>
          <w:sz w:val="18"/>
          <w:szCs w:val="18"/>
        </w:rPr>
        <w:t>(p &lt; 0.001)</w:t>
      </w:r>
      <w:r>
        <w:rPr>
          <w:rFonts w:ascii="Verdana" w:hAnsi="Verdana"/>
          <w:bCs/>
          <w:color w:val="1F497D"/>
          <w:sz w:val="18"/>
          <w:szCs w:val="18"/>
        </w:rPr>
        <w:t xml:space="preserve">, korduvate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ablatsioonide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järgselt </w:t>
      </w:r>
      <w:r w:rsidR="00F30092">
        <w:rPr>
          <w:rFonts w:ascii="Verdana" w:hAnsi="Verdana"/>
          <w:bCs/>
          <w:color w:val="1F497D"/>
          <w:sz w:val="18"/>
          <w:szCs w:val="18"/>
        </w:rPr>
        <w:t xml:space="preserve">vastavalt </w:t>
      </w:r>
      <w:r w:rsidRPr="00134112">
        <w:rPr>
          <w:rFonts w:ascii="Verdana" w:hAnsi="Verdana"/>
          <w:bCs/>
          <w:color w:val="1F497D"/>
          <w:sz w:val="18"/>
          <w:szCs w:val="18"/>
        </w:rPr>
        <w:t xml:space="preserve">87% </w:t>
      </w:r>
      <w:r>
        <w:rPr>
          <w:rFonts w:ascii="Verdana" w:hAnsi="Verdana"/>
          <w:bCs/>
          <w:color w:val="1F497D"/>
          <w:sz w:val="18"/>
          <w:szCs w:val="18"/>
        </w:rPr>
        <w:t xml:space="preserve">ja 17,8% </w:t>
      </w:r>
      <w:r w:rsidRPr="00134112">
        <w:rPr>
          <w:rFonts w:ascii="Verdana" w:hAnsi="Verdana"/>
          <w:bCs/>
          <w:color w:val="1F497D"/>
          <w:sz w:val="18"/>
          <w:szCs w:val="18"/>
        </w:rPr>
        <w:t>(p &lt; 0.001).</w:t>
      </w:r>
    </w:p>
    <w:p w:rsidR="00134112" w:rsidRDefault="005B0337" w:rsidP="00C15B5D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134112">
        <w:rPr>
          <w:noProof/>
        </w:rPr>
        <w:drawing>
          <wp:inline distT="0" distB="0" distL="0" distR="0">
            <wp:extent cx="5758180" cy="308927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B6B" w:rsidRDefault="0098448D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>2016 avaldatud süstemaatiline ülevaade vaatlusuuringutest (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Zhu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2016) hõlmas 6 uuringut 2</w:t>
      </w:r>
      <w:r w:rsidRPr="008F48B1">
        <w:rPr>
          <w:rFonts w:ascii="Verdana" w:hAnsi="Verdana"/>
          <w:bCs/>
          <w:color w:val="1F497D"/>
          <w:sz w:val="18"/>
          <w:szCs w:val="18"/>
        </w:rPr>
        <w:t>05</w:t>
      </w:r>
      <w:r w:rsidRPr="008F48B1">
        <w:rPr>
          <w:rFonts w:ascii="Arial" w:hAnsi="Arial" w:cs="Arial"/>
          <w:bCs/>
          <w:color w:val="1F497D"/>
          <w:sz w:val="18"/>
          <w:szCs w:val="18"/>
        </w:rPr>
        <w:t> </w:t>
      </w:r>
      <w:r w:rsidRPr="008F48B1">
        <w:rPr>
          <w:rFonts w:ascii="Verdana" w:hAnsi="Verdana"/>
          <w:bCs/>
          <w:color w:val="1F497D"/>
          <w:sz w:val="18"/>
          <w:szCs w:val="18"/>
        </w:rPr>
        <w:t xml:space="preserve">094 </w:t>
      </w:r>
      <w:r>
        <w:rPr>
          <w:rFonts w:ascii="Verdana" w:hAnsi="Verdana"/>
          <w:bCs/>
          <w:color w:val="1F497D"/>
          <w:sz w:val="18"/>
          <w:szCs w:val="18"/>
        </w:rPr>
        <w:t>osaleja ja 1</w:t>
      </w:r>
      <w:r w:rsidRPr="008F48B1">
        <w:rPr>
          <w:rFonts w:ascii="Verdana" w:hAnsi="Verdana"/>
          <w:bCs/>
          <w:color w:val="1F497D"/>
          <w:sz w:val="18"/>
          <w:szCs w:val="18"/>
        </w:rPr>
        <w:t>5</w:t>
      </w:r>
      <w:r w:rsidRPr="008F48B1">
        <w:rPr>
          <w:rFonts w:ascii="Arial" w:hAnsi="Arial" w:cs="Arial"/>
          <w:bCs/>
          <w:color w:val="1F497D"/>
          <w:sz w:val="18"/>
          <w:szCs w:val="18"/>
        </w:rPr>
        <w:t> </w:t>
      </w:r>
      <w:r w:rsidRPr="008F48B1">
        <w:rPr>
          <w:rFonts w:ascii="Verdana" w:hAnsi="Verdana"/>
          <w:bCs/>
          <w:color w:val="1F497D"/>
          <w:sz w:val="18"/>
          <w:szCs w:val="18"/>
        </w:rPr>
        <w:t xml:space="preserve">919 </w:t>
      </w:r>
      <w:r>
        <w:rPr>
          <w:rFonts w:ascii="Verdana" w:hAnsi="Verdana"/>
          <w:bCs/>
          <w:color w:val="1F497D"/>
          <w:sz w:val="18"/>
          <w:szCs w:val="18"/>
        </w:rPr>
        <w:t>kodade virvendusarütmia juhuga. Iga</w:t>
      </w:r>
      <w:r w:rsidR="008F5E95"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metaboolne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üh</w:t>
      </w:r>
      <w:r w:rsidR="008F5E95">
        <w:rPr>
          <w:rFonts w:ascii="Verdana" w:hAnsi="Verdana"/>
          <w:bCs/>
          <w:color w:val="1F497D"/>
          <w:sz w:val="18"/>
          <w:szCs w:val="18"/>
        </w:rPr>
        <w:t>ik võimekuse tõ</w:t>
      </w:r>
      <w:r>
        <w:rPr>
          <w:rFonts w:ascii="Verdana" w:hAnsi="Verdana"/>
          <w:bCs/>
          <w:color w:val="1F497D"/>
          <w:sz w:val="18"/>
          <w:szCs w:val="18"/>
        </w:rPr>
        <w:t>us</w:t>
      </w:r>
      <w:r w:rsidR="008F5E95">
        <w:rPr>
          <w:rFonts w:ascii="Verdana" w:hAnsi="Verdana"/>
          <w:bCs/>
          <w:color w:val="1F497D"/>
          <w:sz w:val="18"/>
          <w:szCs w:val="18"/>
        </w:rPr>
        <w:t>u vähendas kodade virvenduse ri</w:t>
      </w:r>
      <w:r>
        <w:rPr>
          <w:rFonts w:ascii="Verdana" w:hAnsi="Verdana"/>
          <w:bCs/>
          <w:color w:val="1F497D"/>
          <w:sz w:val="18"/>
          <w:szCs w:val="18"/>
        </w:rPr>
        <w:t>s</w:t>
      </w:r>
      <w:r w:rsidR="008F5E95">
        <w:rPr>
          <w:rFonts w:ascii="Verdana" w:hAnsi="Verdana"/>
          <w:bCs/>
          <w:color w:val="1F497D"/>
          <w:sz w:val="18"/>
          <w:szCs w:val="18"/>
        </w:rPr>
        <w:t>k</w:t>
      </w:r>
      <w:r>
        <w:rPr>
          <w:rFonts w:ascii="Verdana" w:hAnsi="Verdana"/>
          <w:bCs/>
          <w:color w:val="1F497D"/>
          <w:sz w:val="18"/>
          <w:szCs w:val="18"/>
        </w:rPr>
        <w:t>i 9% (RR 0,91, 95% CI 0,84-1,00, P= 0,05). Kõrgeima ja madalaima füüsilise võimekusega isikute KVA riski erinevus oli 2 korda (RR 0,51,</w:t>
      </w:r>
      <w:r w:rsidRPr="004B4B6B">
        <w:t xml:space="preserve"> </w:t>
      </w:r>
      <w:r>
        <w:rPr>
          <w:rFonts w:ascii="Verdana" w:hAnsi="Verdana"/>
          <w:bCs/>
          <w:color w:val="1F497D"/>
          <w:sz w:val="18"/>
          <w:szCs w:val="18"/>
        </w:rPr>
        <w:t>95% CI 0,28-0,</w:t>
      </w:r>
      <w:r w:rsidRPr="004B4B6B">
        <w:rPr>
          <w:rFonts w:ascii="Verdana" w:hAnsi="Verdana"/>
          <w:bCs/>
          <w:color w:val="1F497D"/>
          <w:sz w:val="18"/>
          <w:szCs w:val="18"/>
        </w:rPr>
        <w:t>91, P = 0.02</w:t>
      </w:r>
      <w:r>
        <w:rPr>
          <w:rFonts w:ascii="Verdana" w:hAnsi="Verdana"/>
          <w:bCs/>
          <w:color w:val="1F497D"/>
          <w:sz w:val="18"/>
          <w:szCs w:val="18"/>
        </w:rPr>
        <w:t>), keskmise ja madalaima</w:t>
      </w:r>
      <w:r w:rsidRPr="004B4B6B">
        <w:t xml:space="preserve"> </w:t>
      </w:r>
      <w:r w:rsidRPr="004B4B6B">
        <w:rPr>
          <w:rFonts w:ascii="Verdana" w:hAnsi="Verdana"/>
          <w:bCs/>
          <w:color w:val="1F497D"/>
          <w:sz w:val="18"/>
          <w:szCs w:val="18"/>
        </w:rPr>
        <w:t>füüsilise võimekusega isikute KVA riski erinevus oli</w:t>
      </w:r>
      <w:r>
        <w:rPr>
          <w:rFonts w:ascii="Verdana" w:hAnsi="Verdana"/>
          <w:bCs/>
          <w:color w:val="1F497D"/>
          <w:sz w:val="18"/>
          <w:szCs w:val="18"/>
        </w:rPr>
        <w:t xml:space="preserve"> 28% (RR 0,72, 95% CI 0,56-0,</w:t>
      </w:r>
      <w:r w:rsidRPr="004B4B6B">
        <w:rPr>
          <w:rFonts w:ascii="Verdana" w:hAnsi="Verdana"/>
          <w:bCs/>
          <w:color w:val="1F497D"/>
          <w:sz w:val="18"/>
          <w:szCs w:val="18"/>
        </w:rPr>
        <w:t>93, P = 0.01).</w:t>
      </w:r>
    </w:p>
    <w:p w:rsidR="008F5E95" w:rsidRPr="00F30092" w:rsidRDefault="008F5E95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</w:p>
    <w:p w:rsidR="00F30092" w:rsidRPr="00CA7379" w:rsidRDefault="00A92F11" w:rsidP="00B63E99">
      <w:pPr>
        <w:shd w:val="clear" w:color="auto" w:fill="FFFFFF"/>
        <w:spacing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  <w:r w:rsidRPr="00CA7379">
        <w:rPr>
          <w:rFonts w:ascii="Verdana" w:hAnsi="Verdana" w:cs="Arial"/>
          <w:b/>
          <w:color w:val="1F497D"/>
          <w:sz w:val="18"/>
          <w:szCs w:val="18"/>
        </w:rPr>
        <w:t>Teiste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 xml:space="preserve"> ravijuhendite soovitus</w:t>
      </w:r>
      <w:r w:rsidRPr="00CA7379">
        <w:rPr>
          <w:rFonts w:ascii="Verdana" w:hAnsi="Verdana" w:cs="Arial"/>
          <w:b/>
          <w:color w:val="1F497D"/>
          <w:sz w:val="18"/>
          <w:szCs w:val="18"/>
        </w:rPr>
        <w:t>ed s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>amal teemal</w:t>
      </w:r>
    </w:p>
    <w:p w:rsidR="00DE70EE" w:rsidRPr="00CA7379" w:rsidRDefault="000706EC" w:rsidP="00D41D3A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AHA 2014</w:t>
      </w:r>
      <w:r w:rsidR="00F802D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A92F11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juhend</w:t>
      </w:r>
      <w:r w:rsidR="00F802D0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F30092">
        <w:rPr>
          <w:rFonts w:ascii="Verdana" w:hAnsi="Verdana" w:cs="ArialMT"/>
          <w:color w:val="1F497D"/>
          <w:sz w:val="18"/>
          <w:szCs w:val="18"/>
          <w:lang w:eastAsia="en-US"/>
        </w:rPr>
        <w:t>ei käsitle.</w:t>
      </w:r>
    </w:p>
    <w:p w:rsidR="000706EC" w:rsidRPr="00CA7379" w:rsidRDefault="00E05442" w:rsidP="00F30092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Kanada ravijuhend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F30092" w:rsidRPr="00A654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annab tugeva soovituse </w:t>
      </w:r>
      <w:r w:rsidR="00A65437" w:rsidRPr="00A65437">
        <w:rPr>
          <w:rFonts w:ascii="Verdana" w:hAnsi="Verdana" w:cs="ArialMT"/>
          <w:color w:val="1F497D"/>
          <w:sz w:val="18"/>
          <w:szCs w:val="18"/>
          <w:lang w:eastAsia="en-US"/>
        </w:rPr>
        <w:t xml:space="preserve">kõrge tõenduse kvaliteediga </w:t>
      </w:r>
      <w:r w:rsidR="00F30092" w:rsidRPr="00A65437">
        <w:rPr>
          <w:rFonts w:ascii="Verdana" w:hAnsi="Verdana" w:cs="ArialMT"/>
          <w:color w:val="1F497D"/>
          <w:sz w:val="18"/>
          <w:szCs w:val="18"/>
          <w:lang w:eastAsia="en-US"/>
        </w:rPr>
        <w:t>riskifaktorite korrigeerimiseks, meetodit täpsustamata.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</w:p>
    <w:p w:rsidR="00B63E99" w:rsidRPr="00CA7379" w:rsidRDefault="002C0E7F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ESC</w:t>
      </w:r>
      <w:r w:rsidR="00A5779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2016</w:t>
      </w: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F30092" w:rsidRPr="00F30092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ülekaalulistel kehakaalu langetamist </w:t>
      </w:r>
      <w:r w:rsidR="00F30092">
        <w:rPr>
          <w:rFonts w:ascii="Verdana" w:hAnsi="Verdana" w:cs="ArialMT"/>
          <w:color w:val="1F497D"/>
          <w:sz w:val="18"/>
          <w:szCs w:val="18"/>
          <w:lang w:eastAsia="en-US"/>
        </w:rPr>
        <w:t>koos teiste KVA riskifaktorite mõjutamisega (</w:t>
      </w:r>
      <w:proofErr w:type="spellStart"/>
      <w:r w:rsidR="00F30092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="00F30092">
        <w:rPr>
          <w:rFonts w:ascii="Verdana" w:hAnsi="Verdana" w:cs="ArialMT"/>
          <w:color w:val="1F497D"/>
          <w:sz w:val="18"/>
          <w:szCs w:val="18"/>
          <w:lang w:eastAsia="en-US"/>
        </w:rPr>
        <w:t xml:space="preserve"> B).</w:t>
      </w:r>
    </w:p>
    <w:p w:rsidR="00B63E99" w:rsidRPr="00CA7379" w:rsidRDefault="002C0E7F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N</w:t>
      </w:r>
      <w:r w:rsidR="00F3677D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ICE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DE70EE" w:rsidRPr="00D41D3A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F3677D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A65437">
        <w:rPr>
          <w:rFonts w:ascii="Verdana" w:hAnsi="Verdana" w:cs="ArialMT"/>
          <w:color w:val="1F497D"/>
          <w:sz w:val="18"/>
          <w:szCs w:val="18"/>
          <w:lang w:eastAsia="en-US"/>
        </w:rPr>
        <w:t>ei anna spetsiifilisi soovitusi.</w:t>
      </w:r>
    </w:p>
    <w:p w:rsidR="003B0510" w:rsidRDefault="00F3677D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Soome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ravijuhend</w:t>
      </w:r>
      <w:r w:rsidR="00A6543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A65437" w:rsidRPr="00A65437">
        <w:rPr>
          <w:rFonts w:ascii="Verdana" w:hAnsi="Verdana" w:cs="ArialMT"/>
          <w:color w:val="1F497D"/>
          <w:sz w:val="18"/>
          <w:szCs w:val="18"/>
          <w:lang w:eastAsia="en-US"/>
        </w:rPr>
        <w:t>ei anna spetsiifilisi soovitusi.</w:t>
      </w:r>
    </w:p>
    <w:p w:rsidR="008F5E95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</w:p>
    <w:p w:rsidR="00446C67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8F5E95">
        <w:rPr>
          <w:rFonts w:ascii="Verdana" w:hAnsi="Verdana" w:cs="ArialMT"/>
          <w:b/>
          <w:color w:val="1F497D"/>
          <w:sz w:val="18"/>
          <w:szCs w:val="18"/>
          <w:lang w:eastAsia="en-US"/>
        </w:rPr>
        <w:t>Viited</w:t>
      </w:r>
    </w:p>
    <w:p w:rsidR="00A65437" w:rsidRPr="008F5E95" w:rsidRDefault="00A65437" w:rsidP="00A65437">
      <w:pPr>
        <w:rPr>
          <w:rFonts w:ascii="Verdana" w:hAnsi="Verdana"/>
          <w:i/>
          <w:color w:val="1F497D"/>
          <w:sz w:val="18"/>
          <w:szCs w:val="18"/>
        </w:rPr>
      </w:pPr>
    </w:p>
    <w:p w:rsidR="00A65437" w:rsidRPr="008F5E95" w:rsidRDefault="00A65437" w:rsidP="008F5E95">
      <w:pPr>
        <w:spacing w:after="120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8F5E95">
        <w:rPr>
          <w:rFonts w:ascii="Verdana" w:hAnsi="Verdana"/>
          <w:i/>
          <w:color w:val="1F497D"/>
          <w:sz w:val="18"/>
          <w:szCs w:val="18"/>
        </w:rPr>
        <w:t>Larsson</w:t>
      </w:r>
      <w:proofErr w:type="spellEnd"/>
      <w:r w:rsidRPr="008F5E95">
        <w:rPr>
          <w:rFonts w:ascii="Verdana" w:hAnsi="Verdana"/>
          <w:i/>
          <w:color w:val="1F497D"/>
          <w:sz w:val="18"/>
          <w:szCs w:val="18"/>
        </w:rPr>
        <w:t xml:space="preserve"> SC</w:t>
      </w:r>
      <w:r w:rsidRPr="008F5E95">
        <w:rPr>
          <w:rFonts w:ascii="Verdana" w:hAnsi="Verdana"/>
          <w:i/>
          <w:color w:val="1F497D"/>
          <w:sz w:val="16"/>
          <w:szCs w:val="16"/>
        </w:rPr>
        <w:t xml:space="preserve"> et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Combined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impact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of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healthy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lifestyle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factors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on risk of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Prospective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study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in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men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and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women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Int J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Cardiol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2016 Jan 15;203:46-9.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doi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10.1016/j.ijcard.2015.10.106.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Epub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2015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Oct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22.</w:t>
      </w:r>
    </w:p>
    <w:p w:rsidR="00A65437" w:rsidRPr="008F5E95" w:rsidRDefault="00A65437" w:rsidP="008F5E95">
      <w:pPr>
        <w:spacing w:after="120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Risom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SS et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Exercise-based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cardiac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rehabilitation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for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adults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with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Cochrane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Database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Syst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Rev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2017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Feb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9;2:CD011197.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doi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>: 10.1002/14651858.CD011197.pub2.</w:t>
      </w:r>
    </w:p>
    <w:p w:rsidR="00A65437" w:rsidRPr="008F5E95" w:rsidRDefault="00A65437" w:rsidP="008F5E95">
      <w:pPr>
        <w:spacing w:after="120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Pathak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RK et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Impact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of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CARDIOrespiratory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FITness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on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Arrhythmia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Recurrence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in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Obese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Individuals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With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The CARDIO-FIT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Study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J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Am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Coll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Cardiol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2015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Sep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1;66(9):985-96.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doi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10.1016/j.jacc.2015.06.488.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Epub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2015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Jun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22.</w:t>
      </w:r>
    </w:p>
    <w:p w:rsidR="00A65437" w:rsidRPr="008F5E95" w:rsidRDefault="00A65437" w:rsidP="008F5E95">
      <w:pPr>
        <w:spacing w:after="120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Pathak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RK et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Aggressive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risk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factor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reduction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study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for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and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implications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for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the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outcome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of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ablation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the ARREST-AF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cohort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study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J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Am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Coll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Cardiol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2014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Dec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2;64(21):2222-31.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doi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10.1016/j.jacc.2014.09.028.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Epub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2014 Nov 24.</w:t>
      </w:r>
    </w:p>
    <w:p w:rsidR="008F5E95" w:rsidRPr="008F5E95" w:rsidRDefault="008F5E95" w:rsidP="008F5E95">
      <w:pPr>
        <w:spacing w:after="120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Zhu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W et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Association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of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Physical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Fitness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With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the Risk of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A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Systematic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Review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and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Meta-Analysis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Clin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Cardiol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. 2016 Jul;39(7):421-8.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doi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: 10.1002/clc.22552.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Epub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2016 </w:t>
      </w:r>
      <w:proofErr w:type="spellStart"/>
      <w:r w:rsidRPr="008F5E95">
        <w:rPr>
          <w:rFonts w:ascii="Verdana" w:hAnsi="Verdana"/>
          <w:i/>
          <w:color w:val="1F497D"/>
          <w:sz w:val="16"/>
          <w:szCs w:val="16"/>
        </w:rPr>
        <w:t>May</w:t>
      </w:r>
      <w:proofErr w:type="spellEnd"/>
      <w:r w:rsidRPr="008F5E95">
        <w:rPr>
          <w:rFonts w:ascii="Verdana" w:hAnsi="Verdana"/>
          <w:i/>
          <w:color w:val="1F497D"/>
          <w:sz w:val="16"/>
          <w:szCs w:val="16"/>
        </w:rPr>
        <w:t xml:space="preserve"> 13.</w:t>
      </w:r>
    </w:p>
    <w:p w:rsidR="008F5E95" w:rsidRPr="008F5E95" w:rsidRDefault="008F5E95" w:rsidP="008F5E95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8F5E95" w:rsidRPr="008F5E95" w:rsidRDefault="008F5E95" w:rsidP="008F5E95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D2340A" w:rsidRPr="00CA7379" w:rsidRDefault="00D2340A" w:rsidP="00CA7379">
      <w:pPr>
        <w:rPr>
          <w:i/>
          <w:sz w:val="16"/>
          <w:szCs w:val="16"/>
        </w:rPr>
      </w:pPr>
    </w:p>
    <w:sectPr w:rsidR="00D2340A" w:rsidRPr="00CA7379" w:rsidSect="00CA737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30"/>
    </w:lvlOverride>
  </w:num>
  <w:num w:numId="4">
    <w:abstractNumId w:val="0"/>
    <w:lvlOverride w:ilvl="0">
      <w:startOverride w:val="3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06EC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338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5ED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4112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DB1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6242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454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F3"/>
    <w:rsid w:val="00253F7A"/>
    <w:rsid w:val="002541F9"/>
    <w:rsid w:val="002548FB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156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6437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E7F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6F72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57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4FB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394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C67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2EC0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B6B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C58"/>
    <w:rsid w:val="004C7FC7"/>
    <w:rsid w:val="004D1135"/>
    <w:rsid w:val="004D1567"/>
    <w:rsid w:val="004D18B5"/>
    <w:rsid w:val="004D20D3"/>
    <w:rsid w:val="004D28B5"/>
    <w:rsid w:val="004D2E78"/>
    <w:rsid w:val="004D5AF9"/>
    <w:rsid w:val="004D5DD3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6EA5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337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702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730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5C1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278A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1969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BB7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17D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1AB3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C03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4CA4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C49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D25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BA4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2E97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8B1"/>
    <w:rsid w:val="008F4FE0"/>
    <w:rsid w:val="008F5E95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208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448D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3C3"/>
    <w:rsid w:val="00A57790"/>
    <w:rsid w:val="00A57815"/>
    <w:rsid w:val="00A6076A"/>
    <w:rsid w:val="00A6108C"/>
    <w:rsid w:val="00A61A43"/>
    <w:rsid w:val="00A61B1E"/>
    <w:rsid w:val="00A6201F"/>
    <w:rsid w:val="00A62273"/>
    <w:rsid w:val="00A63619"/>
    <w:rsid w:val="00A63642"/>
    <w:rsid w:val="00A63A22"/>
    <w:rsid w:val="00A64731"/>
    <w:rsid w:val="00A64AB3"/>
    <w:rsid w:val="00A64FF3"/>
    <w:rsid w:val="00A65437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2F11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2DB0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CFE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32A4"/>
    <w:rsid w:val="00B63E99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BFC"/>
    <w:rsid w:val="00B930D0"/>
    <w:rsid w:val="00B933D3"/>
    <w:rsid w:val="00B9356B"/>
    <w:rsid w:val="00B93A58"/>
    <w:rsid w:val="00B94372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021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5B5D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263B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379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4EB4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40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4A3"/>
    <w:rsid w:val="00D3665E"/>
    <w:rsid w:val="00D3681A"/>
    <w:rsid w:val="00D368CA"/>
    <w:rsid w:val="00D36A6A"/>
    <w:rsid w:val="00D36ACA"/>
    <w:rsid w:val="00D37256"/>
    <w:rsid w:val="00D40736"/>
    <w:rsid w:val="00D4093A"/>
    <w:rsid w:val="00D40E68"/>
    <w:rsid w:val="00D41D3A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6EA5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B9E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0EE"/>
    <w:rsid w:val="00DE7B8A"/>
    <w:rsid w:val="00DF05F5"/>
    <w:rsid w:val="00DF08CD"/>
    <w:rsid w:val="00DF0A25"/>
    <w:rsid w:val="00DF1331"/>
    <w:rsid w:val="00DF289B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442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DA4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550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0F27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01E"/>
    <w:rsid w:val="00EF54C2"/>
    <w:rsid w:val="00EF5662"/>
    <w:rsid w:val="00EF588D"/>
    <w:rsid w:val="00EF5CF3"/>
    <w:rsid w:val="00EF60FE"/>
    <w:rsid w:val="00EF643F"/>
    <w:rsid w:val="00EF6D38"/>
    <w:rsid w:val="00EF703E"/>
    <w:rsid w:val="00F0025D"/>
    <w:rsid w:val="00F00398"/>
    <w:rsid w:val="00F0085D"/>
    <w:rsid w:val="00F008CB"/>
    <w:rsid w:val="00F00D15"/>
    <w:rsid w:val="00F00DA9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092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677D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3F"/>
    <w:rsid w:val="00F500A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2D0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4CC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C59B31-D6CF-42DC-A2DE-E61F0D8A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t-EE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Kontuurtabel">
    <w:name w:val="Table Grid"/>
    <w:basedOn w:val="Normaaltabe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-tsitaat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Liguvaikefont"/>
    <w:rsid w:val="00C337D7"/>
  </w:style>
  <w:style w:type="character" w:customStyle="1" w:styleId="cit-authcit-auth-type-author">
    <w:name w:val="cit-auth cit-auth-type-author"/>
    <w:basedOn w:val="Liguvaikefont"/>
    <w:rsid w:val="00C337D7"/>
  </w:style>
  <w:style w:type="character" w:customStyle="1" w:styleId="cit-sepcit-sep-separator">
    <w:name w:val="cit-sep cit-sep-separator"/>
    <w:basedOn w:val="Liguvaikefont"/>
    <w:rsid w:val="00C337D7"/>
  </w:style>
  <w:style w:type="character" w:customStyle="1" w:styleId="cit-print-date">
    <w:name w:val="cit-print-date"/>
    <w:basedOn w:val="Liguvaikefont"/>
    <w:rsid w:val="00C337D7"/>
  </w:style>
  <w:style w:type="character" w:customStyle="1" w:styleId="cit-sepcit-sep-after-article-print-date">
    <w:name w:val="cit-sep cit-sep-after-article-print-date"/>
    <w:basedOn w:val="Liguvaikefont"/>
    <w:rsid w:val="00C337D7"/>
  </w:style>
  <w:style w:type="character" w:customStyle="1" w:styleId="cit-sepcit-sep-after-article-vol">
    <w:name w:val="cit-sep cit-sep-after-article-vol"/>
    <w:basedOn w:val="Liguvaikefont"/>
    <w:rsid w:val="00C337D7"/>
  </w:style>
  <w:style w:type="character" w:customStyle="1" w:styleId="cit-first-page">
    <w:name w:val="cit-first-page"/>
    <w:basedOn w:val="Liguvaikefont"/>
    <w:rsid w:val="00C337D7"/>
  </w:style>
  <w:style w:type="character" w:styleId="Hperlink">
    <w:name w:val="Hyperlink"/>
    <w:rsid w:val="00BC6052"/>
    <w:rPr>
      <w:color w:val="0000FF"/>
      <w:u w:val="single"/>
    </w:rPr>
  </w:style>
  <w:style w:type="character" w:styleId="Rhutus">
    <w:name w:val="Emphasis"/>
    <w:qFormat/>
    <w:rsid w:val="00BC6052"/>
    <w:rPr>
      <w:i/>
      <w:iCs/>
    </w:rPr>
  </w:style>
  <w:style w:type="paragraph" w:customStyle="1" w:styleId="p1">
    <w:name w:val="p1"/>
    <w:basedOn w:val="Normaallaad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858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>Ravimiamet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subject/>
  <dc:creator>Kasutaja</dc:creator>
  <cp:keywords/>
  <cp:lastModifiedBy>Alar Irs</cp:lastModifiedBy>
  <cp:revision>3</cp:revision>
  <dcterms:created xsi:type="dcterms:W3CDTF">2017-10-29T21:18:00Z</dcterms:created>
  <dcterms:modified xsi:type="dcterms:W3CDTF">2017-10-29T21:18:00Z</dcterms:modified>
</cp:coreProperties>
</file>