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95" w:rsidRDefault="00556A34" w:rsidP="00B63E99">
      <w:pPr>
        <w:spacing w:after="120"/>
        <w:rPr>
          <w:rFonts w:ascii="Verdana" w:hAnsi="Verdana"/>
          <w:b/>
          <w:bCs/>
          <w:color w:val="C00000"/>
          <w:sz w:val="18"/>
          <w:szCs w:val="18"/>
        </w:rPr>
      </w:pPr>
      <w:r>
        <w:rPr>
          <w:rFonts w:ascii="Verdana" w:hAnsi="Verdana"/>
          <w:b/>
          <w:bCs/>
          <w:color w:val="C00000"/>
          <w:sz w:val="18"/>
          <w:szCs w:val="18"/>
        </w:rPr>
        <w:t>Veritsuse</w:t>
      </w:r>
      <w:r w:rsidR="00C12C26">
        <w:rPr>
          <w:rFonts w:ascii="Verdana" w:hAnsi="Verdana"/>
          <w:b/>
          <w:bCs/>
          <w:color w:val="C00000"/>
          <w:sz w:val="18"/>
          <w:szCs w:val="18"/>
        </w:rPr>
        <w:t xml:space="preserve"> riski hindamise meetod</w:t>
      </w:r>
    </w:p>
    <w:p w:rsidR="008D0BA4" w:rsidRDefault="002C0E7F" w:rsidP="00B63E99">
      <w:pPr>
        <w:spacing w:after="120"/>
        <w:rPr>
          <w:rFonts w:ascii="Verdana" w:hAnsi="Verdana"/>
          <w:bCs/>
          <w:color w:val="1F497D"/>
          <w:sz w:val="18"/>
          <w:szCs w:val="18"/>
        </w:rPr>
      </w:pPr>
      <w:r w:rsidRPr="00CA7379">
        <w:rPr>
          <w:rFonts w:ascii="Verdana" w:hAnsi="Verdana"/>
          <w:b/>
          <w:bCs/>
          <w:color w:val="1F497D"/>
          <w:sz w:val="18"/>
          <w:szCs w:val="18"/>
        </w:rPr>
        <w:t>Kliiniline küsimus</w:t>
      </w:r>
      <w:r w:rsidR="00D56EA5" w:rsidRPr="00CA7379">
        <w:rPr>
          <w:rFonts w:ascii="Verdana" w:hAnsi="Verdana"/>
          <w:bCs/>
          <w:color w:val="1F497D"/>
          <w:sz w:val="18"/>
          <w:szCs w:val="18"/>
        </w:rPr>
        <w:t xml:space="preserve">  </w:t>
      </w:r>
    </w:p>
    <w:p w:rsidR="00556A34" w:rsidRDefault="00556A34" w:rsidP="00B63E99">
      <w:pPr>
        <w:spacing w:after="120"/>
        <w:rPr>
          <w:rFonts w:ascii="Verdana" w:hAnsi="Verdana"/>
          <w:bCs/>
          <w:color w:val="1F497D"/>
          <w:sz w:val="18"/>
          <w:szCs w:val="18"/>
        </w:rPr>
      </w:pPr>
      <w:r w:rsidRPr="00556A34">
        <w:rPr>
          <w:rFonts w:ascii="Verdana" w:hAnsi="Verdana"/>
          <w:bCs/>
          <w:color w:val="1F497D"/>
          <w:sz w:val="18"/>
          <w:szCs w:val="18"/>
        </w:rPr>
        <w:t xml:space="preserve">Kas veritsusriski hindamiseks tuleks KVA patsientidel kasutada HASBLED skoori vs kliiniline </w:t>
      </w:r>
      <w:proofErr w:type="spellStart"/>
      <w:r w:rsidRPr="00556A34">
        <w:rPr>
          <w:rFonts w:ascii="Verdana" w:hAnsi="Verdana"/>
          <w:bCs/>
          <w:color w:val="1F497D"/>
          <w:sz w:val="18"/>
          <w:szCs w:val="18"/>
        </w:rPr>
        <w:t>hinnang/vs</w:t>
      </w:r>
      <w:proofErr w:type="spellEnd"/>
      <w:r w:rsidRPr="00556A34">
        <w:rPr>
          <w:rFonts w:ascii="Verdana" w:hAnsi="Verdana"/>
          <w:bCs/>
          <w:color w:val="1F497D"/>
          <w:sz w:val="18"/>
          <w:szCs w:val="18"/>
        </w:rPr>
        <w:t xml:space="preserve"> teised teadaolevad skoorid?</w:t>
      </w:r>
    </w:p>
    <w:p w:rsidR="008D0BA4" w:rsidRPr="00CA7379" w:rsidRDefault="002C0E7F" w:rsidP="00B63E99">
      <w:pPr>
        <w:spacing w:after="120"/>
        <w:rPr>
          <w:rFonts w:ascii="Verdana" w:hAnsi="Verdana"/>
          <w:color w:val="1F497D"/>
          <w:sz w:val="18"/>
          <w:szCs w:val="18"/>
        </w:rPr>
      </w:pPr>
      <w:r w:rsidRPr="00CA7379">
        <w:rPr>
          <w:rFonts w:ascii="Verdana" w:hAnsi="Verdana"/>
          <w:b/>
          <w:color w:val="1F497D"/>
          <w:sz w:val="18"/>
          <w:szCs w:val="18"/>
        </w:rPr>
        <w:t>Olulised tulemusnäitajad</w:t>
      </w:r>
      <w:r w:rsidR="008D0BA4" w:rsidRPr="00CA7379">
        <w:rPr>
          <w:rFonts w:ascii="Verdana" w:hAnsi="Verdana"/>
          <w:color w:val="1F497D"/>
          <w:sz w:val="18"/>
          <w:szCs w:val="18"/>
        </w:rPr>
        <w:t xml:space="preserve"> </w:t>
      </w:r>
    </w:p>
    <w:p w:rsidR="002C0E7F" w:rsidRDefault="008D0BA4" w:rsidP="00B63E99">
      <w:pPr>
        <w:spacing w:after="120"/>
        <w:rPr>
          <w:rFonts w:ascii="Verdana" w:hAnsi="Verdana"/>
          <w:color w:val="1F497D"/>
          <w:sz w:val="18"/>
          <w:szCs w:val="18"/>
        </w:rPr>
      </w:pPr>
      <w:r w:rsidRPr="00CA7379">
        <w:rPr>
          <w:rFonts w:ascii="Verdana" w:hAnsi="Verdana"/>
          <w:color w:val="1F497D"/>
          <w:sz w:val="18"/>
          <w:szCs w:val="18"/>
        </w:rPr>
        <w:t xml:space="preserve">Surm, ajuinfarkt, trombemboolia, oluline verejooks, elukvaliteet, koljusisene verejooks, südame löögisageduse eesmärkväärtuse (nt ≤100 </w:t>
      </w:r>
      <w:proofErr w:type="spellStart"/>
      <w:r w:rsidRPr="00CA7379">
        <w:rPr>
          <w:rFonts w:ascii="Verdana" w:hAnsi="Verdana"/>
          <w:color w:val="1F497D"/>
          <w:sz w:val="18"/>
          <w:szCs w:val="18"/>
        </w:rPr>
        <w:t>x/min</w:t>
      </w:r>
      <w:proofErr w:type="spellEnd"/>
      <w:r w:rsidRPr="00CA7379">
        <w:rPr>
          <w:rFonts w:ascii="Verdana" w:hAnsi="Verdana"/>
          <w:color w:val="1F497D"/>
          <w:sz w:val="18"/>
          <w:szCs w:val="18"/>
        </w:rPr>
        <w:t>) saavutamine, tõsine kõrvaltoime.</w:t>
      </w:r>
    </w:p>
    <w:p w:rsidR="00874CA4" w:rsidRPr="00CA7379" w:rsidRDefault="00874CA4" w:rsidP="00B63E99">
      <w:pPr>
        <w:spacing w:after="120"/>
        <w:rPr>
          <w:rFonts w:ascii="Verdana" w:hAnsi="Verdana"/>
          <w:color w:val="1F497D"/>
          <w:sz w:val="18"/>
          <w:szCs w:val="18"/>
        </w:rPr>
      </w:pPr>
      <w:r>
        <w:rPr>
          <w:rFonts w:ascii="Verdana" w:hAnsi="Verdana"/>
          <w:color w:val="1F497D"/>
          <w:sz w:val="18"/>
          <w:szCs w:val="18"/>
        </w:rPr>
        <w:t xml:space="preserve">Mõõdukalt olulised: </w:t>
      </w:r>
      <w:r w:rsidRPr="00874CA4">
        <w:rPr>
          <w:rFonts w:ascii="Verdana" w:hAnsi="Verdana"/>
          <w:color w:val="1F497D"/>
          <w:sz w:val="18"/>
          <w:szCs w:val="18"/>
        </w:rPr>
        <w:t>hospitaliseerimine, KVA taasteke (sek preventsioonil), ravi katkestama sundiv kõrvaltoime, südamepuudulikkus, aeg KVA esimese taastekkeni, siinusrütmi taastumine (</w:t>
      </w:r>
      <w:proofErr w:type="spellStart"/>
      <w:r w:rsidRPr="00874CA4">
        <w:rPr>
          <w:rFonts w:ascii="Verdana" w:hAnsi="Verdana"/>
          <w:color w:val="1F497D"/>
          <w:sz w:val="18"/>
          <w:szCs w:val="18"/>
        </w:rPr>
        <w:t>kardioversioonil</w:t>
      </w:r>
      <w:proofErr w:type="spellEnd"/>
      <w:r>
        <w:rPr>
          <w:rFonts w:ascii="Verdana" w:hAnsi="Verdana"/>
          <w:color w:val="1F497D"/>
          <w:sz w:val="18"/>
          <w:szCs w:val="18"/>
        </w:rPr>
        <w:t>), siinusrütmi püsimine 12 kuud</w:t>
      </w:r>
      <w:r w:rsidRPr="00874CA4">
        <w:rPr>
          <w:rFonts w:ascii="Verdana" w:hAnsi="Verdana"/>
          <w:color w:val="1F497D"/>
          <w:sz w:val="18"/>
          <w:szCs w:val="18"/>
        </w:rPr>
        <w:t>.</w:t>
      </w:r>
    </w:p>
    <w:p w:rsidR="00B63E99" w:rsidRDefault="00B63E99" w:rsidP="00B63E99">
      <w:pPr>
        <w:spacing w:after="120"/>
        <w:rPr>
          <w:rFonts w:ascii="Verdana" w:hAnsi="Verdana"/>
          <w:b/>
          <w:bCs/>
          <w:color w:val="1F497D"/>
          <w:sz w:val="18"/>
          <w:szCs w:val="18"/>
        </w:rPr>
      </w:pPr>
      <w:r w:rsidRPr="00CA7379">
        <w:rPr>
          <w:rFonts w:ascii="Verdana" w:hAnsi="Verdana"/>
          <w:b/>
          <w:bCs/>
          <w:color w:val="1F497D"/>
          <w:sz w:val="18"/>
          <w:szCs w:val="18"/>
        </w:rPr>
        <w:t>Kliinilise tõenduse kokkuvõte</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Põhil</w:t>
      </w:r>
      <w:r>
        <w:rPr>
          <w:rFonts w:ascii="Verdana" w:hAnsi="Verdana"/>
          <w:bCs/>
          <w:color w:val="1F497D"/>
          <w:sz w:val="18"/>
          <w:szCs w:val="18"/>
        </w:rPr>
        <w:t xml:space="preserve">ine informatsioon tuleneb </w:t>
      </w:r>
      <w:proofErr w:type="spellStart"/>
      <w:r>
        <w:rPr>
          <w:rFonts w:ascii="Verdana" w:hAnsi="Verdana"/>
          <w:bCs/>
          <w:color w:val="1F497D"/>
          <w:sz w:val="18"/>
          <w:szCs w:val="18"/>
        </w:rPr>
        <w:t>NICE-i</w:t>
      </w:r>
      <w:proofErr w:type="spellEnd"/>
      <w:r w:rsidRPr="00E40082">
        <w:rPr>
          <w:rFonts w:ascii="Verdana" w:hAnsi="Verdana"/>
          <w:bCs/>
          <w:color w:val="1F497D"/>
          <w:sz w:val="18"/>
          <w:szCs w:val="18"/>
        </w:rPr>
        <w:t xml:space="preserve"> </w:t>
      </w:r>
      <w:r>
        <w:rPr>
          <w:rFonts w:ascii="Verdana" w:hAnsi="Verdana"/>
          <w:bCs/>
          <w:color w:val="1F497D"/>
          <w:sz w:val="18"/>
          <w:szCs w:val="18"/>
        </w:rPr>
        <w:t>ravijuhendi (2014) koostamise käigus tehtud</w:t>
      </w:r>
      <w:r w:rsidRPr="00E40082">
        <w:rPr>
          <w:rFonts w:ascii="Verdana" w:hAnsi="Verdana"/>
          <w:bCs/>
          <w:color w:val="1F497D"/>
          <w:sz w:val="18"/>
          <w:szCs w:val="18"/>
        </w:rPr>
        <w:t xml:space="preserve"> ülevaatest, mis hõlmas 17 uuringut. Põhiline tulemusnäitaja oli </w:t>
      </w:r>
      <w:proofErr w:type="spellStart"/>
      <w:r w:rsidRPr="00E40082">
        <w:rPr>
          <w:rFonts w:ascii="Verdana" w:hAnsi="Verdana"/>
          <w:bCs/>
          <w:color w:val="1F497D"/>
          <w:sz w:val="18"/>
          <w:szCs w:val="18"/>
        </w:rPr>
        <w:t>riski</w:t>
      </w:r>
      <w:r>
        <w:rPr>
          <w:rFonts w:ascii="Verdana" w:hAnsi="Verdana"/>
          <w:bCs/>
          <w:color w:val="1F497D"/>
          <w:sz w:val="18"/>
          <w:szCs w:val="18"/>
        </w:rPr>
        <w:t>(</w:t>
      </w:r>
      <w:r w:rsidRPr="00E40082">
        <w:rPr>
          <w:rFonts w:ascii="Verdana" w:hAnsi="Verdana"/>
          <w:bCs/>
          <w:color w:val="1F497D"/>
          <w:sz w:val="18"/>
          <w:szCs w:val="18"/>
        </w:rPr>
        <w:t>tiheduste</w:t>
      </w:r>
      <w:proofErr w:type="spellEnd"/>
      <w:r>
        <w:rPr>
          <w:rFonts w:ascii="Verdana" w:hAnsi="Verdana"/>
          <w:bCs/>
          <w:color w:val="1F497D"/>
          <w:sz w:val="18"/>
          <w:szCs w:val="18"/>
        </w:rPr>
        <w:t>) suhe (</w:t>
      </w:r>
      <w:proofErr w:type="spellStart"/>
      <w:r w:rsidRPr="00E40082">
        <w:rPr>
          <w:rFonts w:ascii="Verdana" w:hAnsi="Verdana"/>
          <w:bCs/>
          <w:i/>
          <w:color w:val="1F497D"/>
          <w:sz w:val="18"/>
          <w:szCs w:val="18"/>
        </w:rPr>
        <w:t>hazard</w:t>
      </w:r>
      <w:proofErr w:type="spellEnd"/>
      <w:r w:rsidRPr="00E40082">
        <w:rPr>
          <w:rFonts w:ascii="Verdana" w:hAnsi="Verdana"/>
          <w:bCs/>
          <w:i/>
          <w:color w:val="1F497D"/>
          <w:sz w:val="18"/>
          <w:szCs w:val="18"/>
        </w:rPr>
        <w:t xml:space="preserve"> </w:t>
      </w:r>
      <w:proofErr w:type="spellStart"/>
      <w:r w:rsidRPr="00E40082">
        <w:rPr>
          <w:rFonts w:ascii="Verdana" w:hAnsi="Verdana"/>
          <w:bCs/>
          <w:i/>
          <w:color w:val="1F497D"/>
          <w:sz w:val="18"/>
          <w:szCs w:val="18"/>
        </w:rPr>
        <w:t>ratio</w:t>
      </w:r>
      <w:proofErr w:type="spellEnd"/>
      <w:r w:rsidRPr="00E40082">
        <w:rPr>
          <w:rFonts w:ascii="Verdana" w:hAnsi="Verdana"/>
          <w:bCs/>
          <w:i/>
          <w:color w:val="1F497D"/>
          <w:sz w:val="18"/>
          <w:szCs w:val="18"/>
        </w:rPr>
        <w:t>, HR</w:t>
      </w:r>
      <w:r w:rsidRPr="00E40082">
        <w:rPr>
          <w:rFonts w:ascii="Verdana" w:hAnsi="Verdana"/>
          <w:bCs/>
          <w:color w:val="1F497D"/>
          <w:sz w:val="18"/>
          <w:szCs w:val="18"/>
        </w:rPr>
        <w:t>) oluliseks veritsuseks</w:t>
      </w:r>
      <w:r>
        <w:rPr>
          <w:rFonts w:ascii="Verdana" w:hAnsi="Verdana"/>
          <w:bCs/>
          <w:color w:val="1F497D"/>
          <w:sz w:val="18"/>
          <w:szCs w:val="18"/>
        </w:rPr>
        <w:t>,</w:t>
      </w:r>
      <w:r w:rsidRPr="00E40082">
        <w:rPr>
          <w:rFonts w:ascii="Verdana" w:hAnsi="Verdana"/>
          <w:bCs/>
          <w:color w:val="1F497D"/>
          <w:sz w:val="18"/>
          <w:szCs w:val="18"/>
        </w:rPr>
        <w:t xml:space="preserve"> hinnates erinevate veritsusriski </w:t>
      </w:r>
      <w:proofErr w:type="spellStart"/>
      <w:r w:rsidRPr="00E40082">
        <w:rPr>
          <w:rFonts w:ascii="Verdana" w:hAnsi="Verdana"/>
          <w:bCs/>
          <w:color w:val="1F497D"/>
          <w:sz w:val="18"/>
          <w:szCs w:val="18"/>
        </w:rPr>
        <w:t>skooringute</w:t>
      </w:r>
      <w:proofErr w:type="spellEnd"/>
      <w:r w:rsidRPr="00E40082">
        <w:rPr>
          <w:rFonts w:ascii="Verdana" w:hAnsi="Verdana"/>
          <w:bCs/>
          <w:color w:val="1F497D"/>
          <w:sz w:val="18"/>
          <w:szCs w:val="18"/>
        </w:rPr>
        <w:t xml:space="preserve"> kategooriaid eraldi. Uuringutes toodi välja riskitiheduste suhte media</w:t>
      </w:r>
      <w:r>
        <w:rPr>
          <w:rFonts w:ascii="Verdana" w:hAnsi="Verdana"/>
          <w:bCs/>
          <w:color w:val="1F497D"/>
          <w:sz w:val="18"/>
          <w:szCs w:val="18"/>
        </w:rPr>
        <w:t>a</w:t>
      </w:r>
      <w:r w:rsidRPr="00E40082">
        <w:rPr>
          <w:rFonts w:ascii="Verdana" w:hAnsi="Verdana"/>
          <w:bCs/>
          <w:color w:val="1F497D"/>
          <w:sz w:val="18"/>
          <w:szCs w:val="18"/>
        </w:rPr>
        <w:t>n (</w:t>
      </w:r>
      <w:proofErr w:type="spellStart"/>
      <w:r w:rsidRPr="00E40082">
        <w:rPr>
          <w:rFonts w:ascii="Verdana" w:hAnsi="Verdana"/>
          <w:bCs/>
          <w:i/>
          <w:color w:val="1F497D"/>
          <w:sz w:val="18"/>
          <w:szCs w:val="18"/>
        </w:rPr>
        <w:t>median</w:t>
      </w:r>
      <w:proofErr w:type="spellEnd"/>
      <w:r w:rsidRPr="00E40082">
        <w:rPr>
          <w:rFonts w:ascii="Verdana" w:hAnsi="Verdana"/>
          <w:bCs/>
          <w:i/>
          <w:color w:val="1F497D"/>
          <w:sz w:val="18"/>
          <w:szCs w:val="18"/>
        </w:rPr>
        <w:t xml:space="preserve"> </w:t>
      </w:r>
      <w:proofErr w:type="spellStart"/>
      <w:r w:rsidRPr="00E40082">
        <w:rPr>
          <w:rFonts w:ascii="Verdana" w:hAnsi="Verdana"/>
          <w:bCs/>
          <w:i/>
          <w:color w:val="1F497D"/>
          <w:sz w:val="18"/>
          <w:szCs w:val="18"/>
        </w:rPr>
        <w:t>hazard</w:t>
      </w:r>
      <w:proofErr w:type="spellEnd"/>
      <w:r w:rsidRPr="00E40082">
        <w:rPr>
          <w:rFonts w:ascii="Verdana" w:hAnsi="Verdana"/>
          <w:bCs/>
          <w:i/>
          <w:color w:val="1F497D"/>
          <w:sz w:val="18"/>
          <w:szCs w:val="18"/>
        </w:rPr>
        <w:t xml:space="preserve"> </w:t>
      </w:r>
      <w:proofErr w:type="spellStart"/>
      <w:r w:rsidRPr="00E40082">
        <w:rPr>
          <w:rFonts w:ascii="Verdana" w:hAnsi="Verdana"/>
          <w:bCs/>
          <w:i/>
          <w:color w:val="1F497D"/>
          <w:sz w:val="18"/>
          <w:szCs w:val="18"/>
        </w:rPr>
        <w:t>ratio</w:t>
      </w:r>
      <w:proofErr w:type="spellEnd"/>
      <w:r w:rsidRPr="00E40082">
        <w:rPr>
          <w:rFonts w:ascii="Verdana" w:hAnsi="Verdana"/>
          <w:bCs/>
          <w:color w:val="1F497D"/>
          <w:sz w:val="18"/>
          <w:szCs w:val="18"/>
        </w:rPr>
        <w:t>) ja usaldusvahemik uuringutes, millel oli üle 100 veritsusepisoodi, et väh</w:t>
      </w:r>
      <w:r>
        <w:rPr>
          <w:rFonts w:ascii="Verdana" w:hAnsi="Verdana"/>
          <w:bCs/>
          <w:color w:val="1F497D"/>
          <w:sz w:val="18"/>
          <w:szCs w:val="18"/>
        </w:rPr>
        <w:t>endada nihet (</w:t>
      </w:r>
      <w:proofErr w:type="spellStart"/>
      <w:r w:rsidRPr="00E40082">
        <w:rPr>
          <w:rFonts w:ascii="Verdana" w:hAnsi="Verdana"/>
          <w:bCs/>
          <w:i/>
          <w:color w:val="1F497D"/>
          <w:sz w:val="18"/>
          <w:szCs w:val="18"/>
        </w:rPr>
        <w:t>bias</w:t>
      </w:r>
      <w:proofErr w:type="spellEnd"/>
      <w:r>
        <w:rPr>
          <w:rFonts w:ascii="Verdana" w:hAnsi="Verdana"/>
          <w:bCs/>
          <w:color w:val="1F497D"/>
          <w:sz w:val="18"/>
          <w:szCs w:val="18"/>
        </w:rPr>
        <w:t>) tulemustes</w:t>
      </w:r>
      <w:r w:rsidR="001C3C01">
        <w:rPr>
          <w:rStyle w:val="FootnoteReference"/>
          <w:rFonts w:ascii="Verdana" w:hAnsi="Verdana"/>
          <w:bCs/>
          <w:color w:val="1F497D"/>
          <w:sz w:val="18"/>
          <w:szCs w:val="18"/>
        </w:rPr>
        <w:footnoteReference w:id="1"/>
      </w:r>
      <w:r>
        <w:rPr>
          <w:rFonts w:ascii="Verdana" w:hAnsi="Verdana"/>
          <w:bCs/>
          <w:color w:val="1F497D"/>
          <w:sz w:val="18"/>
          <w:szCs w:val="18"/>
        </w:rPr>
        <w:t>.</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Iga uuringu kohta raporteeriti ROC-kõvera alune pindala</w:t>
      </w:r>
      <w:r>
        <w:rPr>
          <w:rFonts w:ascii="Verdana" w:hAnsi="Verdana"/>
          <w:bCs/>
          <w:color w:val="1F497D"/>
          <w:sz w:val="18"/>
          <w:szCs w:val="18"/>
        </w:rPr>
        <w:t xml:space="preserve"> (</w:t>
      </w:r>
      <w:r w:rsidRPr="00E40082">
        <w:rPr>
          <w:rFonts w:ascii="Verdana" w:hAnsi="Verdana"/>
          <w:bCs/>
          <w:color w:val="1F497D"/>
          <w:sz w:val="18"/>
          <w:szCs w:val="18"/>
        </w:rPr>
        <w:t>c-statistikuna</w:t>
      </w:r>
      <w:r>
        <w:rPr>
          <w:rFonts w:ascii="Verdana" w:hAnsi="Verdana"/>
          <w:bCs/>
          <w:color w:val="1F497D"/>
          <w:sz w:val="18"/>
          <w:szCs w:val="18"/>
        </w:rPr>
        <w:t>)</w:t>
      </w:r>
      <w:r w:rsidRPr="00E40082">
        <w:rPr>
          <w:rFonts w:ascii="Verdana" w:hAnsi="Verdana"/>
          <w:bCs/>
          <w:color w:val="1F497D"/>
          <w:sz w:val="18"/>
          <w:szCs w:val="18"/>
        </w:rPr>
        <w:t>. ROC-kõvera alune pindala kirjeldab antud kontekstis testi prognostilist täpsust eristada erinevates kategooriates olevate patsientide olulise v</w:t>
      </w:r>
      <w:r>
        <w:rPr>
          <w:rFonts w:ascii="Verdana" w:hAnsi="Verdana"/>
          <w:bCs/>
          <w:color w:val="1F497D"/>
          <w:sz w:val="18"/>
          <w:szCs w:val="18"/>
        </w:rPr>
        <w:t xml:space="preserve">eritsusriski tekke tõenäosust. </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 xml:space="preserve">NICE </w:t>
      </w:r>
      <w:r>
        <w:rPr>
          <w:rFonts w:ascii="Verdana" w:hAnsi="Verdana"/>
          <w:bCs/>
          <w:color w:val="1F497D"/>
          <w:sz w:val="18"/>
          <w:szCs w:val="18"/>
        </w:rPr>
        <w:t>kasutas</w:t>
      </w:r>
      <w:r w:rsidRPr="00E40082">
        <w:rPr>
          <w:rFonts w:ascii="Verdana" w:hAnsi="Verdana"/>
          <w:bCs/>
          <w:color w:val="1F497D"/>
          <w:sz w:val="18"/>
          <w:szCs w:val="18"/>
        </w:rPr>
        <w:t xml:space="preserve"> järgneva</w:t>
      </w:r>
      <w:r>
        <w:rPr>
          <w:rFonts w:ascii="Verdana" w:hAnsi="Verdana"/>
          <w:bCs/>
          <w:color w:val="1F497D"/>
          <w:sz w:val="18"/>
          <w:szCs w:val="18"/>
        </w:rPr>
        <w:t>i</w:t>
      </w:r>
      <w:r w:rsidRPr="00E40082">
        <w:rPr>
          <w:rFonts w:ascii="Verdana" w:hAnsi="Verdana"/>
          <w:bCs/>
          <w:color w:val="1F497D"/>
          <w:sz w:val="18"/>
          <w:szCs w:val="18"/>
        </w:rPr>
        <w:t>d kriteerium</w:t>
      </w:r>
      <w:r>
        <w:rPr>
          <w:rFonts w:ascii="Verdana" w:hAnsi="Verdana"/>
          <w:bCs/>
          <w:color w:val="1F497D"/>
          <w:sz w:val="18"/>
          <w:szCs w:val="18"/>
        </w:rPr>
        <w:t>e</w:t>
      </w:r>
      <w:r w:rsidRPr="00E40082">
        <w:rPr>
          <w:rFonts w:ascii="Verdana" w:hAnsi="Verdana"/>
          <w:bCs/>
          <w:color w:val="1F497D"/>
          <w:sz w:val="18"/>
          <w:szCs w:val="18"/>
        </w:rPr>
        <w:t xml:space="preserve"> ROC-kõvera aluse pindala kohta:</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&lt;0,5 – halvem kui juhus</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 xml:space="preserve">0,5-0,6 – </w:t>
      </w:r>
      <w:r>
        <w:rPr>
          <w:rFonts w:ascii="Verdana" w:hAnsi="Verdana"/>
          <w:bCs/>
          <w:color w:val="1F497D"/>
          <w:sz w:val="18"/>
          <w:szCs w:val="18"/>
        </w:rPr>
        <w:t>kehv</w:t>
      </w:r>
      <w:r w:rsidRPr="00E40082">
        <w:rPr>
          <w:rFonts w:ascii="Verdana" w:hAnsi="Verdana"/>
          <w:bCs/>
          <w:color w:val="1F497D"/>
          <w:sz w:val="18"/>
          <w:szCs w:val="18"/>
        </w:rPr>
        <w:t xml:space="preserve"> test</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0,61-0,7 – puudulik test</w:t>
      </w:r>
    </w:p>
    <w:p w:rsidR="00E40082" w:rsidRPr="00E40082" w:rsidRDefault="00E40082" w:rsidP="00E40082">
      <w:pPr>
        <w:spacing w:after="120"/>
        <w:rPr>
          <w:rFonts w:ascii="Verdana" w:hAnsi="Verdana"/>
          <w:bCs/>
          <w:color w:val="1F497D"/>
          <w:sz w:val="18"/>
          <w:szCs w:val="18"/>
        </w:rPr>
      </w:pPr>
      <w:r>
        <w:rPr>
          <w:rFonts w:ascii="Verdana" w:hAnsi="Verdana"/>
          <w:bCs/>
          <w:color w:val="1F497D"/>
          <w:sz w:val="18"/>
          <w:szCs w:val="18"/>
        </w:rPr>
        <w:t xml:space="preserve">0,71-0,80 </w:t>
      </w:r>
      <w:r w:rsidRPr="00E40082">
        <w:rPr>
          <w:rFonts w:ascii="Verdana" w:hAnsi="Verdana"/>
          <w:bCs/>
          <w:color w:val="1F497D"/>
          <w:sz w:val="18"/>
          <w:szCs w:val="18"/>
        </w:rPr>
        <w:t>- rahuldav test</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0,81 – 0,90 – hea test</w:t>
      </w:r>
    </w:p>
    <w:p w:rsid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0,91-1,0 – väga hea või perfektne test</w:t>
      </w:r>
    </w:p>
    <w:p w:rsidR="009A161D" w:rsidRPr="00E40082" w:rsidRDefault="009A161D" w:rsidP="00E40082">
      <w:pPr>
        <w:spacing w:after="120"/>
        <w:rPr>
          <w:rFonts w:ascii="Verdana" w:hAnsi="Verdana"/>
          <w:bCs/>
          <w:color w:val="1F497D"/>
          <w:sz w:val="18"/>
          <w:szCs w:val="18"/>
        </w:rPr>
      </w:pPr>
      <w:r w:rsidRPr="009A161D">
        <w:rPr>
          <w:noProof/>
        </w:rPr>
        <w:drawing>
          <wp:inline distT="0" distB="0" distL="0" distR="0" wp14:anchorId="1FF5634C" wp14:editId="23EF289D">
            <wp:extent cx="3985774" cy="226874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87025" cy="2269459"/>
                    </a:xfrm>
                    <a:prstGeom prst="rect">
                      <a:avLst/>
                    </a:prstGeom>
                  </pic:spPr>
                </pic:pic>
              </a:graphicData>
            </a:graphic>
          </wp:inline>
        </w:drawing>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 xml:space="preserve">Keskmise kvaliteediga tõendus 6-st uuringust </w:t>
      </w:r>
      <w:r>
        <w:rPr>
          <w:rFonts w:ascii="Verdana" w:hAnsi="Verdana"/>
          <w:bCs/>
          <w:color w:val="1F497D"/>
          <w:sz w:val="18"/>
          <w:szCs w:val="18"/>
        </w:rPr>
        <w:t>näitas</w:t>
      </w:r>
      <w:r w:rsidRPr="00E40082">
        <w:rPr>
          <w:rFonts w:ascii="Verdana" w:hAnsi="Verdana"/>
          <w:bCs/>
          <w:color w:val="1F497D"/>
          <w:sz w:val="18"/>
          <w:szCs w:val="18"/>
        </w:rPr>
        <w:t xml:space="preserve"> c-statistikut HAS-BLED skoorile vahemikus 0,6-0,795, mis jääb puuduliku ja rahuldava kvaliteediga testi hulka. </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 xml:space="preserve">Hea kvaliteediga tõendus ühest uuringust </w:t>
      </w:r>
      <w:r>
        <w:rPr>
          <w:rFonts w:ascii="Verdana" w:hAnsi="Verdana"/>
          <w:bCs/>
          <w:color w:val="1F497D"/>
          <w:sz w:val="18"/>
          <w:szCs w:val="18"/>
        </w:rPr>
        <w:t>näitas</w:t>
      </w:r>
      <w:r w:rsidRPr="00E40082">
        <w:rPr>
          <w:rFonts w:ascii="Verdana" w:hAnsi="Verdana"/>
          <w:bCs/>
          <w:color w:val="1F497D"/>
          <w:sz w:val="18"/>
          <w:szCs w:val="18"/>
        </w:rPr>
        <w:t xml:space="preserve"> C-statistiku</w:t>
      </w:r>
      <w:r>
        <w:rPr>
          <w:rFonts w:ascii="Verdana" w:hAnsi="Verdana"/>
          <w:bCs/>
          <w:color w:val="1F497D"/>
          <w:sz w:val="18"/>
          <w:szCs w:val="18"/>
        </w:rPr>
        <w:t>t</w:t>
      </w:r>
      <w:r w:rsidRPr="00E40082">
        <w:rPr>
          <w:rFonts w:ascii="Verdana" w:hAnsi="Verdana"/>
          <w:bCs/>
          <w:color w:val="1F497D"/>
          <w:sz w:val="18"/>
          <w:szCs w:val="18"/>
        </w:rPr>
        <w:t xml:space="preserve"> ATRIA skoorile 0,6.</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lastRenderedPageBreak/>
        <w:t>K</w:t>
      </w:r>
      <w:r>
        <w:rPr>
          <w:rFonts w:ascii="Verdana" w:hAnsi="Verdana"/>
          <w:bCs/>
          <w:color w:val="1F497D"/>
          <w:sz w:val="18"/>
          <w:szCs w:val="18"/>
        </w:rPr>
        <w:t>eskmise kvaliteediga tõendus</w:t>
      </w:r>
      <w:r w:rsidRPr="00E40082">
        <w:rPr>
          <w:rFonts w:ascii="Verdana" w:hAnsi="Verdana"/>
          <w:bCs/>
          <w:color w:val="1F497D"/>
          <w:sz w:val="18"/>
          <w:szCs w:val="18"/>
        </w:rPr>
        <w:t xml:space="preserve"> 4-st uuringust </w:t>
      </w:r>
      <w:r>
        <w:rPr>
          <w:rFonts w:ascii="Verdana" w:hAnsi="Verdana"/>
          <w:bCs/>
          <w:color w:val="1F497D"/>
          <w:sz w:val="18"/>
          <w:szCs w:val="18"/>
        </w:rPr>
        <w:t>näitas</w:t>
      </w:r>
      <w:r w:rsidRPr="00E40082">
        <w:rPr>
          <w:rFonts w:ascii="Verdana" w:hAnsi="Verdana"/>
          <w:bCs/>
          <w:color w:val="1F497D"/>
          <w:sz w:val="18"/>
          <w:szCs w:val="18"/>
        </w:rPr>
        <w:t xml:space="preserve"> C-statistiku HEMORR2HAGES skoori kohta vahemikus 0,59-0,782.</w:t>
      </w:r>
    </w:p>
    <w:p w:rsidR="00E40082" w:rsidRPr="00E40082" w:rsidRDefault="00E40082" w:rsidP="00E40082">
      <w:pPr>
        <w:spacing w:after="120"/>
        <w:rPr>
          <w:rFonts w:ascii="Verdana" w:hAnsi="Verdana"/>
          <w:bCs/>
          <w:color w:val="1F497D"/>
          <w:sz w:val="18"/>
          <w:szCs w:val="18"/>
        </w:rPr>
      </w:pPr>
      <w:r w:rsidRPr="00E40082">
        <w:rPr>
          <w:rFonts w:ascii="Verdana" w:hAnsi="Verdana"/>
          <w:bCs/>
          <w:color w:val="1F497D"/>
          <w:sz w:val="18"/>
          <w:szCs w:val="18"/>
        </w:rPr>
        <w:t>Hea kvaliteediga tõendus 2-st uuringust raporteeris C-statistiku CHAD2 skoorile 0,51-0,59.</w:t>
      </w:r>
    </w:p>
    <w:p w:rsidR="008F5E95" w:rsidRDefault="00E40082" w:rsidP="00B63E99">
      <w:pPr>
        <w:spacing w:after="120"/>
        <w:rPr>
          <w:rFonts w:ascii="Verdana" w:hAnsi="Verdana"/>
          <w:bCs/>
          <w:color w:val="1F497D"/>
          <w:sz w:val="18"/>
          <w:szCs w:val="18"/>
        </w:rPr>
      </w:pPr>
      <w:r w:rsidRPr="00E40082">
        <w:rPr>
          <w:rFonts w:ascii="Verdana" w:hAnsi="Verdana"/>
          <w:bCs/>
          <w:color w:val="1F497D"/>
          <w:sz w:val="18"/>
          <w:szCs w:val="18"/>
        </w:rPr>
        <w:t>Mediaan riskitiheduste suhe (</w:t>
      </w:r>
      <w:proofErr w:type="spellStart"/>
      <w:r w:rsidRPr="00E40082">
        <w:rPr>
          <w:rFonts w:ascii="Verdana" w:hAnsi="Verdana"/>
          <w:bCs/>
          <w:i/>
          <w:color w:val="1F497D"/>
          <w:sz w:val="18"/>
          <w:szCs w:val="18"/>
        </w:rPr>
        <w:t>median</w:t>
      </w:r>
      <w:proofErr w:type="spellEnd"/>
      <w:r w:rsidRPr="00E40082">
        <w:rPr>
          <w:rFonts w:ascii="Verdana" w:hAnsi="Verdana"/>
          <w:bCs/>
          <w:i/>
          <w:color w:val="1F497D"/>
          <w:sz w:val="18"/>
          <w:szCs w:val="18"/>
        </w:rPr>
        <w:t xml:space="preserve"> </w:t>
      </w:r>
      <w:proofErr w:type="spellStart"/>
      <w:r w:rsidRPr="00E40082">
        <w:rPr>
          <w:rFonts w:ascii="Verdana" w:hAnsi="Verdana"/>
          <w:bCs/>
          <w:i/>
          <w:color w:val="1F497D"/>
          <w:sz w:val="18"/>
          <w:szCs w:val="18"/>
        </w:rPr>
        <w:t>hazard</w:t>
      </w:r>
      <w:proofErr w:type="spellEnd"/>
      <w:r w:rsidRPr="00E40082">
        <w:rPr>
          <w:rFonts w:ascii="Verdana" w:hAnsi="Verdana"/>
          <w:bCs/>
          <w:i/>
          <w:color w:val="1F497D"/>
          <w:sz w:val="18"/>
          <w:szCs w:val="18"/>
        </w:rPr>
        <w:t xml:space="preserve"> </w:t>
      </w:r>
      <w:proofErr w:type="spellStart"/>
      <w:r w:rsidRPr="00E40082">
        <w:rPr>
          <w:rFonts w:ascii="Verdana" w:hAnsi="Verdana"/>
          <w:bCs/>
          <w:i/>
          <w:color w:val="1F497D"/>
          <w:sz w:val="18"/>
          <w:szCs w:val="18"/>
        </w:rPr>
        <w:t>ratio</w:t>
      </w:r>
      <w:proofErr w:type="spellEnd"/>
      <w:r w:rsidRPr="00E40082">
        <w:rPr>
          <w:rFonts w:ascii="Verdana" w:hAnsi="Verdana"/>
          <w:bCs/>
          <w:color w:val="1F497D"/>
          <w:sz w:val="18"/>
          <w:szCs w:val="18"/>
        </w:rPr>
        <w:t>) veritsuseks võ</w:t>
      </w:r>
      <w:r>
        <w:rPr>
          <w:rFonts w:ascii="Verdana" w:hAnsi="Verdana"/>
          <w:bCs/>
          <w:color w:val="1F497D"/>
          <w:sz w:val="18"/>
          <w:szCs w:val="18"/>
        </w:rPr>
        <w:t>rreldes kõrge riski kategooriat</w:t>
      </w:r>
      <w:r w:rsidRPr="00E40082">
        <w:rPr>
          <w:rFonts w:ascii="Verdana" w:hAnsi="Verdana"/>
          <w:bCs/>
          <w:color w:val="1F497D"/>
          <w:sz w:val="18"/>
          <w:szCs w:val="18"/>
        </w:rPr>
        <w:t xml:space="preserve"> madala riski kategooriaga oli 3,57 HAS-BLEDi korral (keskmine tõenduse kvaliteet), 2,90 HEMORR2HAGES skoori kohta (madal tõenduse kvaliteet) ja 2,48 ATRIA skoori kohta (hea tõenduse kvaliteet). Need võrdlused olid tehtud ühe uuringupatsientide grupi kohta ja leidsid, et HAS-BLED skoor oli kõige parem eristamaks </w:t>
      </w:r>
      <w:r>
        <w:rPr>
          <w:rFonts w:ascii="Verdana" w:hAnsi="Verdana"/>
          <w:bCs/>
          <w:color w:val="1F497D"/>
          <w:sz w:val="18"/>
          <w:szCs w:val="18"/>
        </w:rPr>
        <w:t xml:space="preserve">erineva </w:t>
      </w:r>
      <w:r w:rsidRPr="00E40082">
        <w:rPr>
          <w:rFonts w:ascii="Verdana" w:hAnsi="Verdana"/>
          <w:bCs/>
          <w:color w:val="1F497D"/>
          <w:sz w:val="18"/>
          <w:szCs w:val="18"/>
        </w:rPr>
        <w:t>riski</w:t>
      </w:r>
      <w:r>
        <w:rPr>
          <w:rFonts w:ascii="Verdana" w:hAnsi="Verdana"/>
          <w:bCs/>
          <w:color w:val="1F497D"/>
          <w:sz w:val="18"/>
          <w:szCs w:val="18"/>
        </w:rPr>
        <w:t xml:space="preserve"> grupp</w:t>
      </w:r>
      <w:r w:rsidRPr="00E40082">
        <w:rPr>
          <w:rFonts w:ascii="Verdana" w:hAnsi="Verdana"/>
          <w:bCs/>
          <w:color w:val="1F497D"/>
          <w:sz w:val="18"/>
          <w:szCs w:val="18"/>
        </w:rPr>
        <w:t>e.</w:t>
      </w:r>
    </w:p>
    <w:p w:rsidR="00F30092" w:rsidRPr="00CA7379" w:rsidRDefault="00A92F11" w:rsidP="00B63E99">
      <w:pPr>
        <w:shd w:val="clear" w:color="auto" w:fill="FFFFFF"/>
        <w:spacing w:after="120"/>
        <w:ind w:right="238"/>
        <w:rPr>
          <w:rFonts w:ascii="Verdana" w:hAnsi="Verdana" w:cs="Arial"/>
          <w:b/>
          <w:color w:val="1F497D"/>
          <w:sz w:val="18"/>
          <w:szCs w:val="18"/>
        </w:rPr>
      </w:pPr>
      <w:r w:rsidRPr="00CA7379">
        <w:rPr>
          <w:rFonts w:ascii="Verdana" w:hAnsi="Verdana" w:cs="Arial"/>
          <w:b/>
          <w:color w:val="1F497D"/>
          <w:sz w:val="18"/>
          <w:szCs w:val="18"/>
        </w:rPr>
        <w:t>Teiste</w:t>
      </w:r>
      <w:r w:rsidR="002C0E7F" w:rsidRPr="00CA7379">
        <w:rPr>
          <w:rFonts w:ascii="Verdana" w:hAnsi="Verdana" w:cs="Arial"/>
          <w:b/>
          <w:color w:val="1F497D"/>
          <w:sz w:val="18"/>
          <w:szCs w:val="18"/>
        </w:rPr>
        <w:t xml:space="preserve"> ravijuhendite soovitus</w:t>
      </w:r>
      <w:r w:rsidRPr="00CA7379">
        <w:rPr>
          <w:rFonts w:ascii="Verdana" w:hAnsi="Verdana" w:cs="Arial"/>
          <w:b/>
          <w:color w:val="1F497D"/>
          <w:sz w:val="18"/>
          <w:szCs w:val="18"/>
        </w:rPr>
        <w:t>ed s</w:t>
      </w:r>
      <w:r w:rsidR="002C0E7F" w:rsidRPr="00CA7379">
        <w:rPr>
          <w:rFonts w:ascii="Verdana" w:hAnsi="Verdana" w:cs="Arial"/>
          <w:b/>
          <w:color w:val="1F497D"/>
          <w:sz w:val="18"/>
          <w:szCs w:val="18"/>
        </w:rPr>
        <w:t>amal teemal</w:t>
      </w:r>
    </w:p>
    <w:p w:rsidR="00DE70EE" w:rsidRPr="00CA7379" w:rsidRDefault="000706EC" w:rsidP="00D41D3A">
      <w:pPr>
        <w:shd w:val="clear" w:color="auto" w:fill="FFFFFF"/>
        <w:spacing w:after="120"/>
        <w:ind w:right="238"/>
        <w:jc w:val="both"/>
        <w:rPr>
          <w:rFonts w:ascii="Verdana" w:hAnsi="Verdana" w:cs="ArialMT"/>
          <w:color w:val="1F497D"/>
          <w:sz w:val="18"/>
          <w:szCs w:val="18"/>
          <w:lang w:eastAsia="en-US"/>
        </w:rPr>
      </w:pPr>
      <w:r w:rsidRPr="00CA7379">
        <w:rPr>
          <w:rFonts w:ascii="Verdana" w:hAnsi="Verdana" w:cs="ArialMT"/>
          <w:b/>
          <w:color w:val="1F497D"/>
          <w:sz w:val="18"/>
          <w:szCs w:val="18"/>
          <w:lang w:eastAsia="en-US"/>
        </w:rPr>
        <w:t>AHA 2014</w:t>
      </w:r>
      <w:r w:rsidR="00F802D0" w:rsidRPr="00CA7379">
        <w:rPr>
          <w:rFonts w:ascii="Verdana" w:hAnsi="Verdana" w:cs="ArialMT"/>
          <w:b/>
          <w:color w:val="1F497D"/>
          <w:sz w:val="18"/>
          <w:szCs w:val="18"/>
          <w:lang w:eastAsia="en-US"/>
        </w:rPr>
        <w:t xml:space="preserve"> </w:t>
      </w:r>
      <w:r w:rsidR="00A92F11" w:rsidRPr="00CA7379">
        <w:rPr>
          <w:rFonts w:ascii="Verdana" w:hAnsi="Verdana" w:cs="ArialMT"/>
          <w:b/>
          <w:color w:val="1F497D"/>
          <w:sz w:val="18"/>
          <w:szCs w:val="18"/>
          <w:lang w:eastAsia="en-US"/>
        </w:rPr>
        <w:t>juhend</w:t>
      </w:r>
      <w:r w:rsidR="00F802D0" w:rsidRPr="00CA7379">
        <w:rPr>
          <w:rFonts w:ascii="Verdana" w:hAnsi="Verdana" w:cs="ArialMT"/>
          <w:color w:val="1F497D"/>
          <w:sz w:val="18"/>
          <w:szCs w:val="18"/>
          <w:lang w:eastAsia="en-US"/>
        </w:rPr>
        <w:t xml:space="preserve"> </w:t>
      </w:r>
      <w:r w:rsidR="00E40082">
        <w:rPr>
          <w:rFonts w:ascii="Verdana" w:hAnsi="Verdana" w:cs="ArialMT"/>
          <w:color w:val="1F497D"/>
          <w:sz w:val="18"/>
          <w:szCs w:val="18"/>
          <w:lang w:eastAsia="en-US"/>
        </w:rPr>
        <w:t>m</w:t>
      </w:r>
      <w:r w:rsidR="00E40082" w:rsidRPr="00E40082">
        <w:rPr>
          <w:rFonts w:ascii="Verdana" w:hAnsi="Verdana" w:cs="ArialMT"/>
          <w:color w:val="1F497D"/>
          <w:sz w:val="18"/>
          <w:szCs w:val="18"/>
          <w:lang w:eastAsia="en-US"/>
        </w:rPr>
        <w:t xml:space="preserve">ainib erinevad </w:t>
      </w:r>
      <w:proofErr w:type="spellStart"/>
      <w:r w:rsidR="00E40082" w:rsidRPr="00E40082">
        <w:rPr>
          <w:rFonts w:ascii="Verdana" w:hAnsi="Verdana" w:cs="ArialMT"/>
          <w:color w:val="1F497D"/>
          <w:sz w:val="18"/>
          <w:szCs w:val="18"/>
          <w:lang w:eastAsia="en-US"/>
        </w:rPr>
        <w:t>riskiskooringu</w:t>
      </w:r>
      <w:proofErr w:type="spellEnd"/>
      <w:r w:rsidR="00E40082" w:rsidRPr="00E40082">
        <w:rPr>
          <w:rFonts w:ascii="Verdana" w:hAnsi="Verdana" w:cs="ArialMT"/>
          <w:color w:val="1F497D"/>
          <w:sz w:val="18"/>
          <w:szCs w:val="18"/>
          <w:lang w:eastAsia="en-US"/>
        </w:rPr>
        <w:t xml:space="preserve"> võimalused (HAS-BLED, HAEMORR2HAGES ja ATRIA), kuid kuna nende prognostiline täpsus on halb (kõigil C-indeks &lt; 0,70), siis ei anna soovitusi </w:t>
      </w:r>
      <w:r w:rsidR="00E40082">
        <w:rPr>
          <w:rFonts w:ascii="Verdana" w:hAnsi="Verdana" w:cs="ArialMT"/>
          <w:color w:val="1F497D"/>
          <w:sz w:val="18"/>
          <w:szCs w:val="18"/>
          <w:lang w:eastAsia="en-US"/>
        </w:rPr>
        <w:t>nende kasutamiseks.</w:t>
      </w:r>
    </w:p>
    <w:p w:rsidR="000706EC" w:rsidRPr="00CA7379" w:rsidRDefault="00E05442" w:rsidP="00F30092">
      <w:pPr>
        <w:shd w:val="clear" w:color="auto" w:fill="FFFFFF"/>
        <w:spacing w:after="120"/>
        <w:ind w:right="238"/>
        <w:jc w:val="both"/>
        <w:rPr>
          <w:rFonts w:ascii="Verdana" w:hAnsi="Verdana" w:cs="ArialMT"/>
          <w:color w:val="1F497D"/>
          <w:sz w:val="18"/>
          <w:szCs w:val="18"/>
          <w:lang w:eastAsia="en-US"/>
        </w:rPr>
      </w:pPr>
      <w:r w:rsidRPr="00CA7379">
        <w:rPr>
          <w:rFonts w:ascii="Verdana" w:hAnsi="Verdana" w:cs="ArialMT"/>
          <w:b/>
          <w:color w:val="1F497D"/>
          <w:sz w:val="18"/>
          <w:szCs w:val="18"/>
          <w:lang w:eastAsia="en-US"/>
        </w:rPr>
        <w:t>Kanada ravijuhend</w:t>
      </w:r>
      <w:r w:rsidR="00F30092">
        <w:rPr>
          <w:rFonts w:ascii="Verdana" w:hAnsi="Verdana" w:cs="ArialMT"/>
          <w:b/>
          <w:color w:val="1F497D"/>
          <w:sz w:val="18"/>
          <w:szCs w:val="18"/>
          <w:lang w:eastAsia="en-US"/>
        </w:rPr>
        <w:t xml:space="preserve"> </w:t>
      </w:r>
      <w:r w:rsidR="00E40082">
        <w:rPr>
          <w:rFonts w:ascii="Verdana" w:hAnsi="Verdana" w:cs="ArialMT"/>
          <w:color w:val="1F497D"/>
          <w:sz w:val="18"/>
          <w:szCs w:val="18"/>
          <w:lang w:eastAsia="en-US"/>
        </w:rPr>
        <w:t>m</w:t>
      </w:r>
      <w:r w:rsidR="00E40082" w:rsidRPr="00E40082">
        <w:rPr>
          <w:rFonts w:ascii="Verdana" w:hAnsi="Verdana" w:cs="ArialMT"/>
          <w:color w:val="1F497D"/>
          <w:sz w:val="18"/>
          <w:szCs w:val="18"/>
          <w:lang w:eastAsia="en-US"/>
        </w:rPr>
        <w:t xml:space="preserve">ainib erinevad </w:t>
      </w:r>
      <w:proofErr w:type="spellStart"/>
      <w:r w:rsidR="00E40082" w:rsidRPr="00E40082">
        <w:rPr>
          <w:rFonts w:ascii="Verdana" w:hAnsi="Verdana" w:cs="ArialMT"/>
          <w:color w:val="1F497D"/>
          <w:sz w:val="18"/>
          <w:szCs w:val="18"/>
          <w:lang w:eastAsia="en-US"/>
        </w:rPr>
        <w:t>riskiskooringu</w:t>
      </w:r>
      <w:proofErr w:type="spellEnd"/>
      <w:r w:rsidR="00E40082" w:rsidRPr="00E40082">
        <w:rPr>
          <w:rFonts w:ascii="Verdana" w:hAnsi="Verdana" w:cs="ArialMT"/>
          <w:color w:val="1F497D"/>
          <w:sz w:val="18"/>
          <w:szCs w:val="18"/>
          <w:lang w:eastAsia="en-US"/>
        </w:rPr>
        <w:t xml:space="preserve"> võimalused (HAS-BLED, HAEMORR2HAGES ja ATRIA), kuid soovitab nendest kasutada praktilistel </w:t>
      </w:r>
      <w:r w:rsidR="00E40082">
        <w:rPr>
          <w:rFonts w:ascii="Verdana" w:hAnsi="Verdana" w:cs="ArialMT"/>
          <w:color w:val="1F497D"/>
          <w:sz w:val="18"/>
          <w:szCs w:val="18"/>
          <w:lang w:eastAsia="en-US"/>
        </w:rPr>
        <w:t>kaalutlustel HAS-BLED skoori</w:t>
      </w:r>
      <w:r w:rsidR="00E40082" w:rsidRPr="00E40082">
        <w:rPr>
          <w:rFonts w:ascii="Verdana" w:hAnsi="Verdana" w:cs="ArialMT"/>
          <w:color w:val="1F497D"/>
          <w:sz w:val="18"/>
          <w:szCs w:val="18"/>
          <w:lang w:eastAsia="en-US"/>
        </w:rPr>
        <w:t>, kuna see on paremini valideeritud (ka vanemaealistel) kui ATRIA ja on kliinilises rutiinis</w:t>
      </w:r>
      <w:r w:rsidR="00E40082">
        <w:rPr>
          <w:rFonts w:ascii="Verdana" w:hAnsi="Verdana" w:cs="ArialMT"/>
          <w:color w:val="1F497D"/>
          <w:sz w:val="18"/>
          <w:szCs w:val="18"/>
          <w:lang w:eastAsia="en-US"/>
        </w:rPr>
        <w:t xml:space="preserve"> oluliselt lihtsamini kasutatav kui HAEMORR2HAGES</w:t>
      </w:r>
      <w:r w:rsidR="00E40082" w:rsidRPr="00E40082">
        <w:rPr>
          <w:rFonts w:ascii="Verdana" w:hAnsi="Verdana" w:cs="ArialMT"/>
          <w:color w:val="1F497D"/>
          <w:sz w:val="18"/>
          <w:szCs w:val="18"/>
          <w:lang w:eastAsia="en-US"/>
        </w:rPr>
        <w:t>.</w:t>
      </w:r>
      <w:r w:rsidR="00F30092">
        <w:rPr>
          <w:rFonts w:ascii="Verdana" w:hAnsi="Verdana" w:cs="ArialMT"/>
          <w:b/>
          <w:color w:val="1F497D"/>
          <w:sz w:val="18"/>
          <w:szCs w:val="18"/>
          <w:lang w:eastAsia="en-US"/>
        </w:rPr>
        <w:t xml:space="preserve"> </w:t>
      </w:r>
    </w:p>
    <w:p w:rsidR="00B63E99" w:rsidRPr="00CA7379" w:rsidRDefault="002C0E7F" w:rsidP="00B63E99">
      <w:pPr>
        <w:shd w:val="clear" w:color="auto" w:fill="FFFFFF"/>
        <w:spacing w:after="120"/>
        <w:ind w:right="238"/>
        <w:jc w:val="both"/>
        <w:rPr>
          <w:rFonts w:ascii="Verdana" w:hAnsi="Verdana" w:cs="ArialMT"/>
          <w:color w:val="1F497D"/>
          <w:sz w:val="18"/>
          <w:szCs w:val="18"/>
          <w:lang w:eastAsia="en-US"/>
        </w:rPr>
      </w:pPr>
      <w:r w:rsidRPr="00CA7379">
        <w:rPr>
          <w:rFonts w:ascii="Verdana" w:hAnsi="Verdana" w:cs="ArialMT"/>
          <w:b/>
          <w:color w:val="1F497D"/>
          <w:sz w:val="18"/>
          <w:szCs w:val="18"/>
          <w:lang w:eastAsia="en-US"/>
        </w:rPr>
        <w:t>ESC</w:t>
      </w:r>
      <w:r w:rsidR="00A57790" w:rsidRPr="00CA7379">
        <w:rPr>
          <w:rFonts w:ascii="Verdana" w:hAnsi="Verdana" w:cs="ArialMT"/>
          <w:b/>
          <w:color w:val="1F497D"/>
          <w:sz w:val="18"/>
          <w:szCs w:val="18"/>
          <w:lang w:eastAsia="en-US"/>
        </w:rPr>
        <w:t xml:space="preserve"> 2016</w:t>
      </w:r>
      <w:r w:rsidRPr="00CA7379">
        <w:rPr>
          <w:rFonts w:ascii="Verdana" w:hAnsi="Verdana" w:cs="ArialMT"/>
          <w:b/>
          <w:color w:val="1F497D"/>
          <w:sz w:val="18"/>
          <w:szCs w:val="18"/>
          <w:lang w:eastAsia="en-US"/>
        </w:rPr>
        <w:t xml:space="preserve"> </w:t>
      </w:r>
      <w:r w:rsidR="00B63E99" w:rsidRPr="00CA7379">
        <w:rPr>
          <w:rFonts w:ascii="Verdana" w:hAnsi="Verdana" w:cs="ArialMT"/>
          <w:b/>
          <w:color w:val="1F497D"/>
          <w:sz w:val="18"/>
          <w:szCs w:val="18"/>
          <w:lang w:eastAsia="en-US"/>
        </w:rPr>
        <w:t>ravijuhend</w:t>
      </w:r>
      <w:r w:rsidR="00F30092">
        <w:rPr>
          <w:rFonts w:ascii="Verdana" w:hAnsi="Verdana" w:cs="ArialMT"/>
          <w:b/>
          <w:color w:val="1F497D"/>
          <w:sz w:val="18"/>
          <w:szCs w:val="18"/>
          <w:lang w:eastAsia="en-US"/>
        </w:rPr>
        <w:t xml:space="preserve"> </w:t>
      </w:r>
      <w:r w:rsidR="00E40082">
        <w:rPr>
          <w:rFonts w:ascii="Verdana" w:hAnsi="Verdana" w:cs="ArialMT"/>
          <w:color w:val="1F497D"/>
          <w:sz w:val="18"/>
          <w:szCs w:val="18"/>
          <w:lang w:eastAsia="en-US"/>
        </w:rPr>
        <w:t>m</w:t>
      </w:r>
      <w:r w:rsidR="00E40082" w:rsidRPr="00E40082">
        <w:rPr>
          <w:rFonts w:ascii="Verdana" w:hAnsi="Verdana" w:cs="ArialMT"/>
          <w:color w:val="1F497D"/>
          <w:sz w:val="18"/>
          <w:szCs w:val="18"/>
          <w:lang w:eastAsia="en-US"/>
        </w:rPr>
        <w:t xml:space="preserve">ainib </w:t>
      </w:r>
      <w:r w:rsidR="00E40082">
        <w:rPr>
          <w:rFonts w:ascii="Verdana" w:hAnsi="Verdana" w:cs="ArialMT"/>
          <w:color w:val="1F497D"/>
          <w:sz w:val="18"/>
          <w:szCs w:val="18"/>
          <w:lang w:eastAsia="en-US"/>
        </w:rPr>
        <w:t>erinevad veritsusriski skoori</w:t>
      </w:r>
      <w:r w:rsidR="00E40082" w:rsidRPr="00E40082">
        <w:rPr>
          <w:rFonts w:ascii="Verdana" w:hAnsi="Verdana" w:cs="ArialMT"/>
          <w:color w:val="1F497D"/>
          <w:sz w:val="18"/>
          <w:szCs w:val="18"/>
          <w:lang w:eastAsia="en-US"/>
        </w:rPr>
        <w:t>d ja nendib, et nende kasutamine on soovitatav (</w:t>
      </w:r>
      <w:proofErr w:type="spellStart"/>
      <w:r w:rsidR="00E40082" w:rsidRPr="00E40082">
        <w:rPr>
          <w:rFonts w:ascii="Verdana" w:hAnsi="Verdana" w:cs="ArialMT"/>
          <w:color w:val="1F497D"/>
          <w:sz w:val="18"/>
          <w:szCs w:val="18"/>
          <w:lang w:eastAsia="en-US"/>
        </w:rPr>
        <w:t>IIa</w:t>
      </w:r>
      <w:proofErr w:type="spellEnd"/>
      <w:r w:rsidR="00E40082" w:rsidRPr="00E40082">
        <w:rPr>
          <w:rFonts w:ascii="Verdana" w:hAnsi="Verdana" w:cs="ArialMT"/>
          <w:color w:val="1F497D"/>
          <w:sz w:val="18"/>
          <w:szCs w:val="18"/>
          <w:lang w:eastAsia="en-US"/>
        </w:rPr>
        <w:t>, B), et tuvastada muudetavaid veritsusriski faktoreid.</w:t>
      </w:r>
    </w:p>
    <w:p w:rsidR="00B63E99" w:rsidRPr="00CA7379" w:rsidRDefault="002C0E7F" w:rsidP="00B63E99">
      <w:pPr>
        <w:shd w:val="clear" w:color="auto" w:fill="FFFFFF"/>
        <w:spacing w:after="120"/>
        <w:ind w:right="238"/>
        <w:jc w:val="both"/>
        <w:rPr>
          <w:rFonts w:ascii="Verdana" w:hAnsi="Verdana" w:cs="ArialMT"/>
          <w:color w:val="1F497D"/>
          <w:sz w:val="18"/>
          <w:szCs w:val="18"/>
          <w:lang w:eastAsia="en-US"/>
        </w:rPr>
      </w:pPr>
      <w:r w:rsidRPr="00CA7379">
        <w:rPr>
          <w:rFonts w:ascii="Verdana" w:hAnsi="Verdana" w:cs="ArialMT"/>
          <w:b/>
          <w:color w:val="1F497D"/>
          <w:sz w:val="18"/>
          <w:szCs w:val="18"/>
          <w:lang w:eastAsia="en-US"/>
        </w:rPr>
        <w:t>N</w:t>
      </w:r>
      <w:r w:rsidR="00F3677D" w:rsidRPr="00CA7379">
        <w:rPr>
          <w:rFonts w:ascii="Verdana" w:hAnsi="Verdana" w:cs="ArialMT"/>
          <w:b/>
          <w:color w:val="1F497D"/>
          <w:sz w:val="18"/>
          <w:szCs w:val="18"/>
          <w:lang w:eastAsia="en-US"/>
        </w:rPr>
        <w:t>ICE</w:t>
      </w:r>
      <w:r w:rsidR="00B63E99" w:rsidRPr="00CA7379">
        <w:rPr>
          <w:rFonts w:ascii="Verdana" w:hAnsi="Verdana" w:cs="ArialMT"/>
          <w:b/>
          <w:color w:val="1F497D"/>
          <w:sz w:val="18"/>
          <w:szCs w:val="18"/>
          <w:lang w:eastAsia="en-US"/>
        </w:rPr>
        <w:t xml:space="preserve"> </w:t>
      </w:r>
      <w:r w:rsidR="00DE70EE" w:rsidRPr="00D41D3A">
        <w:rPr>
          <w:rFonts w:ascii="Verdana" w:hAnsi="Verdana" w:cs="ArialMT"/>
          <w:b/>
          <w:color w:val="1F497D"/>
          <w:sz w:val="18"/>
          <w:szCs w:val="18"/>
          <w:lang w:eastAsia="en-US"/>
        </w:rPr>
        <w:t>ravijuhend</w:t>
      </w:r>
      <w:r w:rsidR="00F3677D" w:rsidRPr="00CA7379">
        <w:rPr>
          <w:rFonts w:ascii="Verdana" w:hAnsi="Verdana" w:cs="ArialMT"/>
          <w:color w:val="1F497D"/>
          <w:sz w:val="18"/>
          <w:szCs w:val="18"/>
          <w:lang w:eastAsia="en-US"/>
        </w:rPr>
        <w:t xml:space="preserve"> </w:t>
      </w:r>
      <w:r w:rsidR="00E40082">
        <w:rPr>
          <w:rFonts w:ascii="Verdana" w:hAnsi="Verdana" w:cs="ArialMT"/>
          <w:color w:val="1F497D"/>
          <w:sz w:val="18"/>
          <w:szCs w:val="18"/>
          <w:lang w:eastAsia="en-US"/>
        </w:rPr>
        <w:t>h</w:t>
      </w:r>
      <w:r w:rsidR="00E40082" w:rsidRPr="00E40082">
        <w:rPr>
          <w:rFonts w:ascii="Verdana" w:hAnsi="Verdana" w:cs="ArialMT"/>
          <w:color w:val="1F497D"/>
          <w:sz w:val="18"/>
          <w:szCs w:val="18"/>
          <w:lang w:eastAsia="en-US"/>
        </w:rPr>
        <w:t xml:space="preserve">indab põhjalikult 3 skoori (HAS-BLED, HAEMORR2HAGES ja ATRIA) efektiivsust ja kliinilist kasutust.  Kõik on kehvad eristamaks kõrge veritsusriskiga patsiente madalama riskida patsientidest, kuid HAS-BLED oli teistest marginaalselt parem. Lisaks on HAS-BLED lihtsalt kasutatav võrreldes teisega ja valideeritud ka </w:t>
      </w:r>
      <w:proofErr w:type="spellStart"/>
      <w:r w:rsidR="00E40082" w:rsidRPr="00E40082">
        <w:rPr>
          <w:rFonts w:ascii="Verdana" w:hAnsi="Verdana" w:cs="ArialMT"/>
          <w:color w:val="1F497D"/>
          <w:sz w:val="18"/>
          <w:szCs w:val="18"/>
          <w:lang w:eastAsia="en-US"/>
        </w:rPr>
        <w:t>mitte-</w:t>
      </w:r>
      <w:r w:rsidR="00E40082">
        <w:rPr>
          <w:rFonts w:ascii="Verdana" w:hAnsi="Verdana" w:cs="ArialMT"/>
          <w:color w:val="1F497D"/>
          <w:sz w:val="18"/>
          <w:szCs w:val="18"/>
          <w:lang w:eastAsia="en-US"/>
        </w:rPr>
        <w:t>varfariini</w:t>
      </w:r>
      <w:proofErr w:type="spellEnd"/>
      <w:r w:rsidR="00E40082">
        <w:rPr>
          <w:rFonts w:ascii="Verdana" w:hAnsi="Verdana" w:cs="ArialMT"/>
          <w:color w:val="1F497D"/>
          <w:sz w:val="18"/>
          <w:szCs w:val="18"/>
          <w:lang w:eastAsia="en-US"/>
        </w:rPr>
        <w:t xml:space="preserve"> kasutajatel ja mitte ainult valgel rassil</w:t>
      </w:r>
      <w:r w:rsidR="00E40082" w:rsidRPr="00E40082">
        <w:rPr>
          <w:rFonts w:ascii="Verdana" w:hAnsi="Verdana" w:cs="ArialMT"/>
          <w:color w:val="1F497D"/>
          <w:sz w:val="18"/>
          <w:szCs w:val="18"/>
          <w:lang w:eastAsia="en-US"/>
        </w:rPr>
        <w:t xml:space="preserve">. Põhiline </w:t>
      </w:r>
      <w:r w:rsidR="00E40082" w:rsidRPr="005432AC">
        <w:rPr>
          <w:rFonts w:ascii="Verdana" w:hAnsi="Verdana" w:cs="ArialMT"/>
          <w:color w:val="1F497D"/>
          <w:sz w:val="18"/>
          <w:szCs w:val="18"/>
          <w:lang w:eastAsia="en-US"/>
        </w:rPr>
        <w:t>kasu</w:t>
      </w:r>
      <w:r w:rsidR="00E40082" w:rsidRPr="00E40082">
        <w:rPr>
          <w:rFonts w:ascii="Verdana" w:hAnsi="Verdana" w:cs="ArialMT"/>
          <w:color w:val="1F497D"/>
          <w:sz w:val="18"/>
          <w:szCs w:val="18"/>
          <w:lang w:eastAsia="en-US"/>
        </w:rPr>
        <w:t xml:space="preserve"> veritsusriski hindamisest tuleneb modifitseeritavate riskifaktorite tuvastamisest ja käsitlemisest ja HAS-BLED tuvastab neid kõige rohkem. Seetõttu soovitatakse kasutada HAS-BLED </w:t>
      </w:r>
      <w:proofErr w:type="spellStart"/>
      <w:r w:rsidR="00E40082" w:rsidRPr="00E40082">
        <w:rPr>
          <w:rFonts w:ascii="Verdana" w:hAnsi="Verdana" w:cs="ArialMT"/>
          <w:color w:val="1F497D"/>
          <w:sz w:val="18"/>
          <w:szCs w:val="18"/>
          <w:lang w:eastAsia="en-US"/>
        </w:rPr>
        <w:t>skooringut</w:t>
      </w:r>
      <w:proofErr w:type="spellEnd"/>
      <w:r w:rsidR="00E40082" w:rsidRPr="00E40082">
        <w:rPr>
          <w:rFonts w:ascii="Verdana" w:hAnsi="Verdana" w:cs="ArialMT"/>
          <w:color w:val="1F497D"/>
          <w:sz w:val="18"/>
          <w:szCs w:val="18"/>
          <w:lang w:eastAsia="en-US"/>
        </w:rPr>
        <w:t>, pannes rõhku muudetavatele veritsusriski faktoritele.</w:t>
      </w:r>
    </w:p>
    <w:p w:rsidR="003B0510" w:rsidRDefault="00F3677D" w:rsidP="00B63E99">
      <w:pPr>
        <w:shd w:val="clear" w:color="auto" w:fill="FFFFFF"/>
        <w:spacing w:after="120"/>
        <w:ind w:right="238"/>
        <w:jc w:val="both"/>
        <w:rPr>
          <w:rFonts w:ascii="Verdana" w:hAnsi="Verdana" w:cs="ArialMT"/>
          <w:color w:val="1F497D"/>
          <w:sz w:val="18"/>
          <w:szCs w:val="18"/>
          <w:lang w:eastAsia="en-US"/>
        </w:rPr>
      </w:pPr>
      <w:r w:rsidRPr="00CA7379">
        <w:rPr>
          <w:rFonts w:ascii="Verdana" w:hAnsi="Verdana" w:cs="ArialMT"/>
          <w:b/>
          <w:color w:val="1F497D"/>
          <w:sz w:val="18"/>
          <w:szCs w:val="18"/>
          <w:lang w:eastAsia="en-US"/>
        </w:rPr>
        <w:t>Soome</w:t>
      </w:r>
      <w:r w:rsidR="00B63E99" w:rsidRPr="00CA7379">
        <w:rPr>
          <w:rFonts w:ascii="Verdana" w:hAnsi="Verdana" w:cs="ArialMT"/>
          <w:b/>
          <w:color w:val="1F497D"/>
          <w:sz w:val="18"/>
          <w:szCs w:val="18"/>
          <w:lang w:eastAsia="en-US"/>
        </w:rPr>
        <w:t xml:space="preserve"> ravijuhend</w:t>
      </w:r>
      <w:r w:rsidR="00A65437">
        <w:rPr>
          <w:rFonts w:ascii="Verdana" w:hAnsi="Verdana" w:cs="ArialMT"/>
          <w:b/>
          <w:color w:val="1F497D"/>
          <w:sz w:val="18"/>
          <w:szCs w:val="18"/>
          <w:lang w:eastAsia="en-US"/>
        </w:rPr>
        <w:t xml:space="preserve"> </w:t>
      </w:r>
      <w:r w:rsidR="00E40082">
        <w:rPr>
          <w:rFonts w:ascii="Verdana" w:hAnsi="Verdana" w:cs="ArialMT"/>
          <w:color w:val="1F497D"/>
          <w:sz w:val="18"/>
          <w:szCs w:val="18"/>
          <w:lang w:eastAsia="en-US"/>
        </w:rPr>
        <w:t>s</w:t>
      </w:r>
      <w:r w:rsidR="00E40082" w:rsidRPr="00E40082">
        <w:rPr>
          <w:rFonts w:ascii="Verdana" w:hAnsi="Verdana" w:cs="ArialMT"/>
          <w:color w:val="1F497D"/>
          <w:sz w:val="18"/>
          <w:szCs w:val="18"/>
          <w:lang w:eastAsia="en-US"/>
        </w:rPr>
        <w:t>oovitab kasutada HAS-BLED riskiskoori veritsusriski hindamiseks.</w:t>
      </w:r>
    </w:p>
    <w:p w:rsidR="008F5E95" w:rsidRPr="008F5E95" w:rsidRDefault="008F5E95" w:rsidP="003B0510">
      <w:pPr>
        <w:autoSpaceDE w:val="0"/>
        <w:autoSpaceDN w:val="0"/>
        <w:adjustRightInd w:val="0"/>
        <w:jc w:val="both"/>
        <w:rPr>
          <w:rFonts w:ascii="Verdana" w:hAnsi="Verdana" w:cs="ArialMT"/>
          <w:b/>
          <w:color w:val="1F497D"/>
          <w:sz w:val="18"/>
          <w:szCs w:val="18"/>
          <w:lang w:eastAsia="en-US"/>
        </w:rPr>
      </w:pPr>
    </w:p>
    <w:p w:rsidR="00446C67" w:rsidRPr="008F5E95" w:rsidRDefault="008F5E95" w:rsidP="003B0510">
      <w:pPr>
        <w:autoSpaceDE w:val="0"/>
        <w:autoSpaceDN w:val="0"/>
        <w:adjustRightInd w:val="0"/>
        <w:jc w:val="both"/>
        <w:rPr>
          <w:rFonts w:ascii="Verdana" w:hAnsi="Verdana" w:cs="ArialMT"/>
          <w:b/>
          <w:color w:val="1F497D"/>
          <w:sz w:val="18"/>
          <w:szCs w:val="18"/>
          <w:lang w:eastAsia="en-US"/>
        </w:rPr>
      </w:pPr>
      <w:r w:rsidRPr="008F5E95">
        <w:rPr>
          <w:rFonts w:ascii="Verdana" w:hAnsi="Verdana" w:cs="ArialMT"/>
          <w:b/>
          <w:color w:val="1F497D"/>
          <w:sz w:val="18"/>
          <w:szCs w:val="18"/>
          <w:lang w:eastAsia="en-US"/>
        </w:rPr>
        <w:t>Viited</w:t>
      </w:r>
    </w:p>
    <w:p w:rsidR="00A65437" w:rsidRPr="008F5E95" w:rsidRDefault="00A65437" w:rsidP="00A65437">
      <w:pPr>
        <w:rPr>
          <w:rFonts w:ascii="Verdana" w:hAnsi="Verdana"/>
          <w:i/>
          <w:color w:val="1F497D"/>
          <w:sz w:val="18"/>
          <w:szCs w:val="18"/>
        </w:rPr>
      </w:pPr>
    </w:p>
    <w:p w:rsidR="008F5E95" w:rsidRPr="001C3C01" w:rsidRDefault="00E40082" w:rsidP="001C3C01">
      <w:pPr>
        <w:pStyle w:val="ListParagraph"/>
        <w:numPr>
          <w:ilvl w:val="0"/>
          <w:numId w:val="7"/>
        </w:numPr>
        <w:rPr>
          <w:rFonts w:ascii="Verdana" w:hAnsi="Verdana"/>
          <w:i/>
          <w:color w:val="1F497D"/>
          <w:sz w:val="18"/>
          <w:szCs w:val="18"/>
        </w:rPr>
      </w:pPr>
      <w:r w:rsidRPr="001C3C01">
        <w:rPr>
          <w:rFonts w:ascii="Verdana" w:hAnsi="Verdana"/>
          <w:i/>
          <w:color w:val="1F497D"/>
          <w:sz w:val="18"/>
          <w:szCs w:val="18"/>
        </w:rPr>
        <w:t xml:space="preserve">The </w:t>
      </w:r>
      <w:proofErr w:type="spellStart"/>
      <w:r w:rsidRPr="001C3C01">
        <w:rPr>
          <w:rFonts w:ascii="Verdana" w:hAnsi="Verdana"/>
          <w:i/>
          <w:color w:val="1F497D"/>
          <w:sz w:val="18"/>
          <w:szCs w:val="18"/>
        </w:rPr>
        <w:t>management</w:t>
      </w:r>
      <w:proofErr w:type="spellEnd"/>
      <w:r w:rsidRPr="001C3C01">
        <w:rPr>
          <w:rFonts w:ascii="Verdana" w:hAnsi="Verdana"/>
          <w:i/>
          <w:color w:val="1F497D"/>
          <w:sz w:val="18"/>
          <w:szCs w:val="18"/>
        </w:rPr>
        <w:t xml:space="preserve"> of </w:t>
      </w:r>
      <w:proofErr w:type="spellStart"/>
      <w:r w:rsidRPr="001C3C01">
        <w:rPr>
          <w:rFonts w:ascii="Verdana" w:hAnsi="Verdana"/>
          <w:i/>
          <w:color w:val="1F497D"/>
          <w:sz w:val="18"/>
          <w:szCs w:val="18"/>
        </w:rPr>
        <w:t>atrial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fibrillation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National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Clinical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Guideline</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Centre</w:t>
      </w:r>
      <w:proofErr w:type="spellEnd"/>
      <w:r w:rsidRPr="001C3C01">
        <w:rPr>
          <w:rFonts w:ascii="Verdana" w:hAnsi="Verdana"/>
          <w:i/>
          <w:color w:val="1F497D"/>
          <w:sz w:val="18"/>
          <w:szCs w:val="18"/>
        </w:rPr>
        <w:t>, 2014</w:t>
      </w:r>
    </w:p>
    <w:p w:rsidR="001C3C01" w:rsidRDefault="001C3C01" w:rsidP="001C3C01">
      <w:pPr>
        <w:pStyle w:val="ListParagraph"/>
        <w:numPr>
          <w:ilvl w:val="0"/>
          <w:numId w:val="7"/>
        </w:numPr>
        <w:rPr>
          <w:rFonts w:ascii="Verdana" w:hAnsi="Verdana"/>
          <w:i/>
          <w:color w:val="1F497D"/>
          <w:sz w:val="18"/>
          <w:szCs w:val="18"/>
        </w:rPr>
      </w:pPr>
      <w:proofErr w:type="spellStart"/>
      <w:r w:rsidRPr="001C3C01">
        <w:rPr>
          <w:rFonts w:ascii="Verdana" w:hAnsi="Verdana"/>
          <w:i/>
          <w:color w:val="1F497D"/>
          <w:sz w:val="18"/>
          <w:szCs w:val="18"/>
        </w:rPr>
        <w:t>Apostolakis</w:t>
      </w:r>
      <w:proofErr w:type="spellEnd"/>
      <w:r w:rsidRPr="001C3C01">
        <w:rPr>
          <w:rFonts w:ascii="Verdana" w:hAnsi="Verdana"/>
          <w:i/>
          <w:color w:val="1F497D"/>
          <w:sz w:val="18"/>
          <w:szCs w:val="18"/>
        </w:rPr>
        <w:t xml:space="preserve"> S1, </w:t>
      </w:r>
      <w:proofErr w:type="spellStart"/>
      <w:r w:rsidRPr="001C3C01">
        <w:rPr>
          <w:rFonts w:ascii="Verdana" w:hAnsi="Verdana"/>
          <w:i/>
          <w:color w:val="1F497D"/>
          <w:sz w:val="18"/>
          <w:szCs w:val="18"/>
        </w:rPr>
        <w:t>Lane</w:t>
      </w:r>
      <w:proofErr w:type="spellEnd"/>
      <w:r w:rsidRPr="001C3C01">
        <w:rPr>
          <w:rFonts w:ascii="Verdana" w:hAnsi="Verdana"/>
          <w:i/>
          <w:color w:val="1F497D"/>
          <w:sz w:val="18"/>
          <w:szCs w:val="18"/>
        </w:rPr>
        <w:t xml:space="preserve"> DA, </w:t>
      </w:r>
      <w:proofErr w:type="spellStart"/>
      <w:r w:rsidRPr="001C3C01">
        <w:rPr>
          <w:rFonts w:ascii="Verdana" w:hAnsi="Verdana"/>
          <w:i/>
          <w:color w:val="1F497D"/>
          <w:sz w:val="18"/>
          <w:szCs w:val="18"/>
        </w:rPr>
        <w:t>Guo</w:t>
      </w:r>
      <w:proofErr w:type="spellEnd"/>
      <w:r w:rsidRPr="001C3C01">
        <w:rPr>
          <w:rFonts w:ascii="Verdana" w:hAnsi="Verdana"/>
          <w:i/>
          <w:color w:val="1F497D"/>
          <w:sz w:val="18"/>
          <w:szCs w:val="18"/>
        </w:rPr>
        <w:t xml:space="preserve"> Y, </w:t>
      </w:r>
      <w:proofErr w:type="spellStart"/>
      <w:r w:rsidRPr="001C3C01">
        <w:rPr>
          <w:rFonts w:ascii="Verdana" w:hAnsi="Verdana"/>
          <w:i/>
          <w:color w:val="1F497D"/>
          <w:sz w:val="18"/>
          <w:szCs w:val="18"/>
        </w:rPr>
        <w:t>Buller</w:t>
      </w:r>
      <w:proofErr w:type="spellEnd"/>
      <w:r w:rsidRPr="001C3C01">
        <w:rPr>
          <w:rFonts w:ascii="Verdana" w:hAnsi="Verdana"/>
          <w:i/>
          <w:color w:val="1F497D"/>
          <w:sz w:val="18"/>
          <w:szCs w:val="18"/>
        </w:rPr>
        <w:t xml:space="preserve"> H, </w:t>
      </w:r>
      <w:proofErr w:type="spellStart"/>
      <w:r w:rsidRPr="001C3C01">
        <w:rPr>
          <w:rFonts w:ascii="Verdana" w:hAnsi="Verdana"/>
          <w:i/>
          <w:color w:val="1F497D"/>
          <w:sz w:val="18"/>
          <w:szCs w:val="18"/>
        </w:rPr>
        <w:t>Lip</w:t>
      </w:r>
      <w:proofErr w:type="spellEnd"/>
      <w:r w:rsidRPr="001C3C01">
        <w:rPr>
          <w:rFonts w:ascii="Verdana" w:hAnsi="Verdana"/>
          <w:i/>
          <w:color w:val="1F497D"/>
          <w:sz w:val="18"/>
          <w:szCs w:val="18"/>
        </w:rPr>
        <w:t xml:space="preserve"> GY. </w:t>
      </w:r>
      <w:proofErr w:type="spellStart"/>
      <w:r w:rsidRPr="001C3C01">
        <w:rPr>
          <w:rFonts w:ascii="Verdana" w:hAnsi="Verdana"/>
          <w:i/>
          <w:color w:val="1F497D"/>
          <w:sz w:val="18"/>
          <w:szCs w:val="18"/>
        </w:rPr>
        <w:t>Performance</w:t>
      </w:r>
      <w:proofErr w:type="spellEnd"/>
      <w:r w:rsidRPr="001C3C01">
        <w:rPr>
          <w:rFonts w:ascii="Verdana" w:hAnsi="Verdana"/>
          <w:i/>
          <w:color w:val="1F497D"/>
          <w:sz w:val="18"/>
          <w:szCs w:val="18"/>
        </w:rPr>
        <w:t xml:space="preserve"> of the HEMORR(2)HAGES, ATRIA, and HAS-BLED </w:t>
      </w:r>
      <w:proofErr w:type="spellStart"/>
      <w:r w:rsidRPr="001C3C01">
        <w:rPr>
          <w:rFonts w:ascii="Verdana" w:hAnsi="Verdana"/>
          <w:i/>
          <w:color w:val="1F497D"/>
          <w:sz w:val="18"/>
          <w:szCs w:val="18"/>
        </w:rPr>
        <w:t>bleeding</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risk-prediction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scores</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in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patients</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with</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atrial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fibrillation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undergoing</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anticoagulation</w:t>
      </w:r>
      <w:proofErr w:type="spellEnd"/>
      <w:r w:rsidRPr="001C3C01">
        <w:rPr>
          <w:rFonts w:ascii="Verdana" w:hAnsi="Verdana"/>
          <w:i/>
          <w:color w:val="1F497D"/>
          <w:sz w:val="18"/>
          <w:szCs w:val="18"/>
        </w:rPr>
        <w:t>: the AMADEUS (</w:t>
      </w:r>
      <w:proofErr w:type="spellStart"/>
      <w:r w:rsidRPr="001C3C01">
        <w:rPr>
          <w:rFonts w:ascii="Verdana" w:hAnsi="Verdana"/>
          <w:i/>
          <w:color w:val="1F497D"/>
          <w:sz w:val="18"/>
          <w:szCs w:val="18"/>
        </w:rPr>
        <w:t>evaluating</w:t>
      </w:r>
      <w:proofErr w:type="spellEnd"/>
      <w:r w:rsidRPr="001C3C01">
        <w:rPr>
          <w:rFonts w:ascii="Verdana" w:hAnsi="Verdana"/>
          <w:i/>
          <w:color w:val="1F497D"/>
          <w:sz w:val="18"/>
          <w:szCs w:val="18"/>
        </w:rPr>
        <w:t xml:space="preserve"> the </w:t>
      </w:r>
      <w:proofErr w:type="spellStart"/>
      <w:r w:rsidRPr="001C3C01">
        <w:rPr>
          <w:rFonts w:ascii="Verdana" w:hAnsi="Verdana"/>
          <w:i/>
          <w:color w:val="1F497D"/>
          <w:sz w:val="18"/>
          <w:szCs w:val="18"/>
        </w:rPr>
        <w:t>use</w:t>
      </w:r>
      <w:proofErr w:type="spellEnd"/>
      <w:r w:rsidRPr="001C3C01">
        <w:rPr>
          <w:rFonts w:ascii="Verdana" w:hAnsi="Verdana"/>
          <w:i/>
          <w:color w:val="1F497D"/>
          <w:sz w:val="18"/>
          <w:szCs w:val="18"/>
        </w:rPr>
        <w:t xml:space="preserve"> of SR34006 </w:t>
      </w:r>
      <w:proofErr w:type="spellStart"/>
      <w:r w:rsidRPr="001C3C01">
        <w:rPr>
          <w:rFonts w:ascii="Verdana" w:hAnsi="Verdana"/>
          <w:i/>
          <w:color w:val="1F497D"/>
          <w:sz w:val="18"/>
          <w:szCs w:val="18"/>
        </w:rPr>
        <w:t>compared</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to</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warfarin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or</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acenocoumarol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in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patients</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with</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atrial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fibrillation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study.J</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Am</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Coll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Ca</w:t>
      </w:r>
      <w:r>
        <w:rPr>
          <w:rFonts w:ascii="Verdana" w:hAnsi="Verdana"/>
          <w:i/>
          <w:color w:val="1F497D"/>
          <w:sz w:val="18"/>
          <w:szCs w:val="18"/>
        </w:rPr>
        <w:t>rdiol</w:t>
      </w:r>
      <w:proofErr w:type="spellEnd"/>
      <w:r>
        <w:rPr>
          <w:rFonts w:ascii="Verdana" w:hAnsi="Verdana"/>
          <w:i/>
          <w:color w:val="1F497D"/>
          <w:sz w:val="18"/>
          <w:szCs w:val="18"/>
        </w:rPr>
        <w:t>. 2012 Aug 28;60(9):861-7.</w:t>
      </w:r>
    </w:p>
    <w:p w:rsidR="001C3C01" w:rsidRPr="001C3C01" w:rsidRDefault="001C3C01" w:rsidP="001C3C01">
      <w:pPr>
        <w:pStyle w:val="ListParagraph"/>
        <w:numPr>
          <w:ilvl w:val="0"/>
          <w:numId w:val="7"/>
        </w:numPr>
        <w:rPr>
          <w:rFonts w:ascii="Verdana" w:hAnsi="Verdana"/>
          <w:i/>
          <w:color w:val="1F497D"/>
          <w:sz w:val="18"/>
          <w:szCs w:val="18"/>
        </w:rPr>
      </w:pPr>
      <w:proofErr w:type="spellStart"/>
      <w:r w:rsidRPr="001C3C01">
        <w:rPr>
          <w:rFonts w:ascii="Verdana" w:hAnsi="Verdana"/>
          <w:i/>
          <w:color w:val="1F497D"/>
          <w:sz w:val="18"/>
          <w:szCs w:val="18"/>
        </w:rPr>
        <w:t>Senoo</w:t>
      </w:r>
      <w:proofErr w:type="spellEnd"/>
      <w:r w:rsidRPr="001C3C01">
        <w:rPr>
          <w:rFonts w:ascii="Verdana" w:hAnsi="Verdana"/>
          <w:i/>
          <w:color w:val="1F497D"/>
          <w:sz w:val="18"/>
          <w:szCs w:val="18"/>
        </w:rPr>
        <w:t xml:space="preserve"> K1, </w:t>
      </w:r>
      <w:proofErr w:type="spellStart"/>
      <w:r w:rsidRPr="001C3C01">
        <w:rPr>
          <w:rFonts w:ascii="Verdana" w:hAnsi="Verdana"/>
          <w:i/>
          <w:color w:val="1F497D"/>
          <w:sz w:val="18"/>
          <w:szCs w:val="18"/>
        </w:rPr>
        <w:t>Proietti</w:t>
      </w:r>
      <w:proofErr w:type="spellEnd"/>
      <w:r w:rsidRPr="001C3C01">
        <w:rPr>
          <w:rFonts w:ascii="Verdana" w:hAnsi="Verdana"/>
          <w:i/>
          <w:color w:val="1F497D"/>
          <w:sz w:val="18"/>
          <w:szCs w:val="18"/>
        </w:rPr>
        <w:t xml:space="preserve"> M1, </w:t>
      </w:r>
      <w:proofErr w:type="spellStart"/>
      <w:r w:rsidRPr="001C3C01">
        <w:rPr>
          <w:rFonts w:ascii="Verdana" w:hAnsi="Verdana"/>
          <w:i/>
          <w:color w:val="1F497D"/>
          <w:sz w:val="18"/>
          <w:szCs w:val="18"/>
        </w:rPr>
        <w:t>Lane</w:t>
      </w:r>
      <w:proofErr w:type="spellEnd"/>
      <w:r w:rsidRPr="001C3C01">
        <w:rPr>
          <w:rFonts w:ascii="Verdana" w:hAnsi="Verdana"/>
          <w:i/>
          <w:color w:val="1F497D"/>
          <w:sz w:val="18"/>
          <w:szCs w:val="18"/>
        </w:rPr>
        <w:t xml:space="preserve"> DA1, </w:t>
      </w:r>
      <w:proofErr w:type="spellStart"/>
      <w:r w:rsidRPr="001C3C01">
        <w:rPr>
          <w:rFonts w:ascii="Verdana" w:hAnsi="Verdana"/>
          <w:i/>
          <w:color w:val="1F497D"/>
          <w:sz w:val="18"/>
          <w:szCs w:val="18"/>
        </w:rPr>
        <w:t>Lip</w:t>
      </w:r>
      <w:proofErr w:type="spellEnd"/>
      <w:r w:rsidRPr="001C3C01">
        <w:rPr>
          <w:rFonts w:ascii="Verdana" w:hAnsi="Verdana"/>
          <w:i/>
          <w:color w:val="1F497D"/>
          <w:sz w:val="18"/>
          <w:szCs w:val="18"/>
        </w:rPr>
        <w:t xml:space="preserve"> GY2. </w:t>
      </w:r>
      <w:proofErr w:type="spellStart"/>
      <w:r w:rsidRPr="001C3C01">
        <w:rPr>
          <w:rFonts w:ascii="Verdana" w:hAnsi="Verdana"/>
          <w:i/>
          <w:color w:val="1F497D"/>
          <w:sz w:val="18"/>
          <w:szCs w:val="18"/>
        </w:rPr>
        <w:t>Evaluation</w:t>
      </w:r>
      <w:proofErr w:type="spellEnd"/>
      <w:r w:rsidRPr="001C3C01">
        <w:rPr>
          <w:rFonts w:ascii="Verdana" w:hAnsi="Verdana"/>
          <w:i/>
          <w:color w:val="1F497D"/>
          <w:sz w:val="18"/>
          <w:szCs w:val="18"/>
        </w:rPr>
        <w:t xml:space="preserve"> of the HAS-BLED, ATRIA, and ORBIT </w:t>
      </w:r>
      <w:proofErr w:type="spellStart"/>
      <w:r w:rsidRPr="001C3C01">
        <w:rPr>
          <w:rFonts w:ascii="Verdana" w:hAnsi="Verdana"/>
          <w:i/>
          <w:color w:val="1F497D"/>
          <w:sz w:val="18"/>
          <w:szCs w:val="18"/>
        </w:rPr>
        <w:t>Bleeding</w:t>
      </w:r>
      <w:proofErr w:type="spellEnd"/>
      <w:r w:rsidRPr="001C3C01">
        <w:rPr>
          <w:rFonts w:ascii="Verdana" w:hAnsi="Verdana"/>
          <w:i/>
          <w:color w:val="1F497D"/>
          <w:sz w:val="18"/>
          <w:szCs w:val="18"/>
        </w:rPr>
        <w:t xml:space="preserve"> Risk </w:t>
      </w:r>
      <w:proofErr w:type="spellStart"/>
      <w:r w:rsidRPr="001C3C01">
        <w:rPr>
          <w:rFonts w:ascii="Verdana" w:hAnsi="Verdana"/>
          <w:i/>
          <w:color w:val="1F497D"/>
          <w:sz w:val="18"/>
          <w:szCs w:val="18"/>
        </w:rPr>
        <w:t>Scores</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in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Patients</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with</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Atrial</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Fibrillation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Taking</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Warfarin</w:t>
      </w:r>
      <w:proofErr w:type="spellEnd"/>
      <w:r w:rsidRPr="001C3C01">
        <w:rPr>
          <w:rFonts w:ascii="Verdana" w:hAnsi="Verdana"/>
          <w:i/>
          <w:color w:val="1F497D"/>
          <w:sz w:val="18"/>
          <w:szCs w:val="18"/>
        </w:rPr>
        <w:t xml:space="preserve">. </w:t>
      </w:r>
      <w:proofErr w:type="spellStart"/>
      <w:r w:rsidRPr="001C3C01">
        <w:rPr>
          <w:rFonts w:ascii="Verdana" w:hAnsi="Verdana"/>
          <w:i/>
          <w:color w:val="1F497D"/>
          <w:sz w:val="18"/>
          <w:szCs w:val="18"/>
        </w:rPr>
        <w:t>Am</w:t>
      </w:r>
      <w:proofErr w:type="spellEnd"/>
      <w:r w:rsidRPr="001C3C01">
        <w:rPr>
          <w:rFonts w:ascii="Verdana" w:hAnsi="Verdana"/>
          <w:i/>
          <w:color w:val="1F497D"/>
          <w:sz w:val="18"/>
          <w:szCs w:val="18"/>
        </w:rPr>
        <w:t xml:space="preserve"> J Med. 2016 Jun;129(6):600-7.</w:t>
      </w:r>
    </w:p>
    <w:p w:rsidR="00E40082" w:rsidRPr="00256467" w:rsidRDefault="00E40082" w:rsidP="00E40082">
      <w:pPr>
        <w:autoSpaceDE w:val="0"/>
        <w:autoSpaceDN w:val="0"/>
        <w:adjustRightInd w:val="0"/>
        <w:jc w:val="both"/>
        <w:rPr>
          <w:rFonts w:ascii="ArialMT" w:hAnsi="ArialMT" w:cs="ArialMT"/>
          <w:color w:val="000080"/>
          <w:sz w:val="20"/>
          <w:szCs w:val="20"/>
          <w:lang w:eastAsia="en-US"/>
        </w:rPr>
      </w:pPr>
    </w:p>
    <w:p w:rsidR="00E40082" w:rsidRPr="005432AC" w:rsidRDefault="00E40082" w:rsidP="00E40082">
      <w:pPr>
        <w:autoSpaceDE w:val="0"/>
        <w:autoSpaceDN w:val="0"/>
        <w:adjustRightInd w:val="0"/>
        <w:jc w:val="both"/>
        <w:rPr>
          <w:rFonts w:ascii="ArialMT" w:hAnsi="ArialMT" w:cs="ArialMT"/>
          <w:b/>
          <w:color w:val="1F497D"/>
          <w:sz w:val="20"/>
          <w:szCs w:val="20"/>
          <w:lang w:eastAsia="en-US"/>
        </w:rPr>
      </w:pPr>
      <w:r w:rsidRPr="005432AC">
        <w:rPr>
          <w:rFonts w:ascii="ArialMT" w:hAnsi="ArialMT" w:cs="ArialMT"/>
          <w:b/>
          <w:color w:val="1F497D"/>
          <w:sz w:val="20"/>
          <w:szCs w:val="20"/>
          <w:lang w:eastAsia="en-US"/>
        </w:rPr>
        <w:t>Kokkuvõte uuringuist tabelina</w:t>
      </w:r>
    </w:p>
    <w:p w:rsidR="00E40082" w:rsidRPr="00256467" w:rsidRDefault="00E40082" w:rsidP="00E40082">
      <w:pPr>
        <w:autoSpaceDE w:val="0"/>
        <w:autoSpaceDN w:val="0"/>
        <w:adjustRightInd w:val="0"/>
        <w:jc w:val="both"/>
        <w:rPr>
          <w:noProof/>
        </w:rPr>
      </w:pPr>
      <w:r>
        <w:rPr>
          <w:noProof/>
        </w:rPr>
        <w:lastRenderedPageBreak/>
        <w:drawing>
          <wp:inline distT="0" distB="0" distL="0" distR="0" wp14:anchorId="5937E01B" wp14:editId="4F9D4CD7">
            <wp:extent cx="5891842" cy="33430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1844" cy="3343031"/>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rFonts w:ascii="ArialMT" w:hAnsi="ArialMT" w:cs="ArialMT"/>
          <w:b/>
          <w:color w:val="000080"/>
          <w:sz w:val="20"/>
          <w:szCs w:val="20"/>
          <w:lang w:eastAsia="en-US"/>
        </w:rPr>
      </w:pPr>
    </w:p>
    <w:p w:rsidR="00E40082" w:rsidRPr="00256467" w:rsidRDefault="00E40082" w:rsidP="00E40082">
      <w:pPr>
        <w:autoSpaceDE w:val="0"/>
        <w:autoSpaceDN w:val="0"/>
        <w:adjustRightInd w:val="0"/>
        <w:jc w:val="both"/>
        <w:rPr>
          <w:noProof/>
        </w:rPr>
      </w:pPr>
      <w:r>
        <w:rPr>
          <w:noProof/>
        </w:rPr>
        <w:drawing>
          <wp:inline distT="0" distB="0" distL="0" distR="0" wp14:anchorId="6099B68F" wp14:editId="03FD7FB8">
            <wp:extent cx="5891842" cy="300607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1716" cy="3006011"/>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noProof/>
        </w:rPr>
      </w:pPr>
      <w:r>
        <w:rPr>
          <w:noProof/>
        </w:rPr>
        <w:lastRenderedPageBreak/>
        <w:drawing>
          <wp:inline distT="0" distB="0" distL="0" distR="0" wp14:anchorId="2F195B4F" wp14:editId="7AD0B8A4">
            <wp:extent cx="5805577" cy="3694081"/>
            <wp:effectExtent l="0" t="0" r="508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5509" cy="3694037"/>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noProof/>
        </w:rPr>
      </w:pPr>
      <w:r>
        <w:rPr>
          <w:noProof/>
        </w:rPr>
        <w:drawing>
          <wp:inline distT="0" distB="0" distL="0" distR="0" wp14:anchorId="34486EB4" wp14:editId="59CBC448">
            <wp:extent cx="5805578" cy="3677088"/>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5532" cy="3677059"/>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noProof/>
        </w:rPr>
      </w:pPr>
    </w:p>
    <w:p w:rsidR="00E40082" w:rsidRPr="00256467" w:rsidRDefault="00E40082" w:rsidP="00E40082">
      <w:pPr>
        <w:autoSpaceDE w:val="0"/>
        <w:autoSpaceDN w:val="0"/>
        <w:adjustRightInd w:val="0"/>
        <w:jc w:val="both"/>
        <w:rPr>
          <w:noProof/>
        </w:rPr>
      </w:pPr>
      <w:r>
        <w:rPr>
          <w:noProof/>
        </w:rPr>
        <w:lastRenderedPageBreak/>
        <w:drawing>
          <wp:inline distT="0" distB="0" distL="0" distR="0" wp14:anchorId="7935F6A3" wp14:editId="2643CE6B">
            <wp:extent cx="5840083" cy="2945477"/>
            <wp:effectExtent l="0" t="0" r="889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0067" cy="2945469"/>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noProof/>
        </w:rPr>
      </w:pPr>
    </w:p>
    <w:p w:rsidR="00E40082" w:rsidRPr="00256467" w:rsidRDefault="00E40082" w:rsidP="00E40082">
      <w:pPr>
        <w:autoSpaceDE w:val="0"/>
        <w:autoSpaceDN w:val="0"/>
        <w:adjustRightInd w:val="0"/>
        <w:jc w:val="both"/>
        <w:rPr>
          <w:noProof/>
        </w:rPr>
      </w:pPr>
      <w:r>
        <w:rPr>
          <w:noProof/>
        </w:rPr>
        <w:drawing>
          <wp:inline distT="0" distB="0" distL="0" distR="0" wp14:anchorId="12529473" wp14:editId="0515AE63">
            <wp:extent cx="5762445" cy="31803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381" cy="3180295"/>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rFonts w:ascii="ArialMT" w:hAnsi="ArialMT" w:cs="ArialMT"/>
          <w:b/>
          <w:color w:val="000080"/>
          <w:sz w:val="20"/>
          <w:szCs w:val="20"/>
          <w:lang w:eastAsia="en-US"/>
        </w:rPr>
      </w:pPr>
    </w:p>
    <w:p w:rsidR="00E40082" w:rsidRPr="00256467" w:rsidRDefault="00E40082" w:rsidP="00E40082">
      <w:pPr>
        <w:autoSpaceDE w:val="0"/>
        <w:autoSpaceDN w:val="0"/>
        <w:adjustRightInd w:val="0"/>
        <w:jc w:val="both"/>
        <w:rPr>
          <w:rFonts w:ascii="ArialMT" w:hAnsi="ArialMT" w:cs="ArialMT"/>
          <w:b/>
          <w:color w:val="000080"/>
          <w:sz w:val="20"/>
          <w:szCs w:val="20"/>
          <w:lang w:eastAsia="en-US"/>
        </w:rPr>
      </w:pPr>
    </w:p>
    <w:p w:rsidR="00E40082" w:rsidRPr="00256467" w:rsidRDefault="00E40082" w:rsidP="00E40082">
      <w:pPr>
        <w:autoSpaceDE w:val="0"/>
        <w:autoSpaceDN w:val="0"/>
        <w:adjustRightInd w:val="0"/>
        <w:jc w:val="both"/>
        <w:rPr>
          <w:rFonts w:ascii="ArialMT" w:hAnsi="ArialMT" w:cs="ArialMT"/>
          <w:b/>
          <w:color w:val="000080"/>
          <w:sz w:val="20"/>
          <w:szCs w:val="20"/>
          <w:lang w:eastAsia="en-US"/>
        </w:rPr>
      </w:pPr>
    </w:p>
    <w:p w:rsidR="00E40082" w:rsidRPr="00256467" w:rsidRDefault="00E40082" w:rsidP="00E40082">
      <w:pPr>
        <w:autoSpaceDE w:val="0"/>
        <w:autoSpaceDN w:val="0"/>
        <w:adjustRightInd w:val="0"/>
        <w:jc w:val="both"/>
        <w:rPr>
          <w:rFonts w:ascii="ArialMT" w:hAnsi="ArialMT" w:cs="ArialMT"/>
          <w:b/>
          <w:color w:val="000080"/>
          <w:sz w:val="20"/>
          <w:szCs w:val="20"/>
          <w:lang w:eastAsia="en-US"/>
        </w:rPr>
      </w:pPr>
      <w:r>
        <w:rPr>
          <w:noProof/>
        </w:rPr>
        <w:lastRenderedPageBreak/>
        <w:drawing>
          <wp:inline distT="0" distB="0" distL="0" distR="0" wp14:anchorId="2BCFBEB1" wp14:editId="5BD36504">
            <wp:extent cx="5650230" cy="6547485"/>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0230" cy="6547485"/>
                    </a:xfrm>
                    <a:prstGeom prst="rect">
                      <a:avLst/>
                    </a:prstGeom>
                    <a:noFill/>
                    <a:ln>
                      <a:noFill/>
                    </a:ln>
                  </pic:spPr>
                </pic:pic>
              </a:graphicData>
            </a:graphic>
          </wp:inline>
        </w:drawing>
      </w:r>
    </w:p>
    <w:p w:rsidR="00E40082" w:rsidRPr="00256467" w:rsidRDefault="00E40082" w:rsidP="00E40082">
      <w:pPr>
        <w:autoSpaceDE w:val="0"/>
        <w:autoSpaceDN w:val="0"/>
        <w:adjustRightInd w:val="0"/>
        <w:jc w:val="both"/>
        <w:rPr>
          <w:noProof/>
        </w:rPr>
      </w:pPr>
      <w:r>
        <w:rPr>
          <w:noProof/>
        </w:rPr>
        <w:lastRenderedPageBreak/>
        <w:drawing>
          <wp:inline distT="0" distB="0" distL="0" distR="0" wp14:anchorId="57D726B0" wp14:editId="73F41EC7">
            <wp:extent cx="4408170" cy="5762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8170" cy="5762625"/>
                    </a:xfrm>
                    <a:prstGeom prst="rect">
                      <a:avLst/>
                    </a:prstGeom>
                    <a:noFill/>
                    <a:ln>
                      <a:noFill/>
                    </a:ln>
                  </pic:spPr>
                </pic:pic>
              </a:graphicData>
            </a:graphic>
          </wp:inline>
        </w:drawing>
      </w:r>
    </w:p>
    <w:p w:rsidR="00E40082" w:rsidRDefault="00E40082" w:rsidP="00E40082">
      <w:pPr>
        <w:autoSpaceDE w:val="0"/>
        <w:autoSpaceDN w:val="0"/>
        <w:adjustRightInd w:val="0"/>
        <w:jc w:val="both"/>
        <w:rPr>
          <w:noProof/>
        </w:rPr>
      </w:pPr>
      <w:r>
        <w:rPr>
          <w:noProof/>
        </w:rPr>
        <w:lastRenderedPageBreak/>
        <w:drawing>
          <wp:inline distT="0" distB="0" distL="0" distR="0" wp14:anchorId="774DA742" wp14:editId="79168FA0">
            <wp:extent cx="4968875" cy="57626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8875" cy="5762625"/>
                    </a:xfrm>
                    <a:prstGeom prst="rect">
                      <a:avLst/>
                    </a:prstGeom>
                    <a:noFill/>
                    <a:ln>
                      <a:noFill/>
                    </a:ln>
                  </pic:spPr>
                </pic:pic>
              </a:graphicData>
            </a:graphic>
          </wp:inline>
        </w:drawing>
      </w:r>
    </w:p>
    <w:p w:rsidR="009A161D" w:rsidRPr="00256467" w:rsidRDefault="009A161D" w:rsidP="00E40082">
      <w:pPr>
        <w:autoSpaceDE w:val="0"/>
        <w:autoSpaceDN w:val="0"/>
        <w:adjustRightInd w:val="0"/>
        <w:jc w:val="both"/>
        <w:rPr>
          <w:noProof/>
        </w:rPr>
      </w:pPr>
    </w:p>
    <w:p w:rsidR="00E40082" w:rsidRPr="008F5E95" w:rsidRDefault="00E40082" w:rsidP="008F5E95">
      <w:pPr>
        <w:rPr>
          <w:rFonts w:ascii="Verdana" w:hAnsi="Verdana"/>
          <w:b/>
          <w:i/>
          <w:color w:val="1F497D"/>
          <w:sz w:val="16"/>
          <w:szCs w:val="16"/>
        </w:rPr>
      </w:pPr>
    </w:p>
    <w:p w:rsidR="00A65437" w:rsidRPr="00A65437" w:rsidRDefault="00A65437" w:rsidP="00A65437">
      <w:pPr>
        <w:rPr>
          <w:rFonts w:ascii="Verdana" w:hAnsi="Verdana"/>
          <w:b/>
          <w:i/>
          <w:color w:val="1F497D"/>
          <w:sz w:val="16"/>
          <w:szCs w:val="16"/>
        </w:rPr>
      </w:pPr>
    </w:p>
    <w:p w:rsidR="009A161D" w:rsidRPr="00256467" w:rsidRDefault="009A161D" w:rsidP="009A161D">
      <w:pPr>
        <w:autoSpaceDE w:val="0"/>
        <w:autoSpaceDN w:val="0"/>
        <w:adjustRightInd w:val="0"/>
        <w:jc w:val="both"/>
        <w:rPr>
          <w:rFonts w:ascii="ArialMT" w:hAnsi="ArialMT" w:cs="ArialMT"/>
          <w:color w:val="000080"/>
          <w:sz w:val="20"/>
          <w:szCs w:val="20"/>
          <w:lang w:eastAsia="en-US"/>
        </w:rPr>
      </w:pPr>
    </w:p>
    <w:p w:rsidR="009A161D" w:rsidRPr="00256467" w:rsidRDefault="009A161D" w:rsidP="009A161D">
      <w:pPr>
        <w:shd w:val="clear" w:color="auto" w:fill="FFFFFF"/>
        <w:spacing w:before="75" w:after="225" w:line="270" w:lineRule="atLeast"/>
        <w:rPr>
          <w:noProof/>
        </w:rPr>
      </w:pPr>
      <w:r>
        <w:rPr>
          <w:noProof/>
        </w:rPr>
        <w:lastRenderedPageBreak/>
        <w:drawing>
          <wp:inline distT="0" distB="0" distL="0" distR="0">
            <wp:extent cx="5822830" cy="4905057"/>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3012" cy="4905210"/>
                    </a:xfrm>
                    <a:prstGeom prst="rect">
                      <a:avLst/>
                    </a:prstGeom>
                    <a:noFill/>
                    <a:ln>
                      <a:noFill/>
                    </a:ln>
                  </pic:spPr>
                </pic:pic>
              </a:graphicData>
            </a:graphic>
          </wp:inline>
        </w:drawing>
      </w:r>
    </w:p>
    <w:p w:rsidR="009A161D" w:rsidRPr="00256467" w:rsidRDefault="009A161D" w:rsidP="009A161D">
      <w:pPr>
        <w:shd w:val="clear" w:color="auto" w:fill="FFFFFF"/>
        <w:spacing w:before="75" w:after="225" w:line="270" w:lineRule="atLeast"/>
        <w:rPr>
          <w:noProof/>
        </w:rPr>
      </w:pPr>
      <w:r>
        <w:rPr>
          <w:noProof/>
        </w:rPr>
        <w:lastRenderedPageBreak/>
        <w:drawing>
          <wp:inline distT="0" distB="0" distL="0" distR="0">
            <wp:extent cx="5633049" cy="5063597"/>
            <wp:effectExtent l="0" t="0" r="635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2484" cy="5072078"/>
                    </a:xfrm>
                    <a:prstGeom prst="rect">
                      <a:avLst/>
                    </a:prstGeom>
                    <a:noFill/>
                    <a:ln>
                      <a:noFill/>
                    </a:ln>
                  </pic:spPr>
                </pic:pic>
              </a:graphicData>
            </a:graphic>
          </wp:inline>
        </w:drawing>
      </w:r>
    </w:p>
    <w:p w:rsidR="009A161D" w:rsidRPr="00256467" w:rsidRDefault="009A161D" w:rsidP="009A161D">
      <w:pPr>
        <w:shd w:val="clear" w:color="auto" w:fill="FFFFFF"/>
        <w:spacing w:before="75" w:after="225" w:line="270" w:lineRule="atLeast"/>
        <w:rPr>
          <w:noProof/>
        </w:rPr>
      </w:pPr>
      <w:r>
        <w:rPr>
          <w:noProof/>
        </w:rPr>
        <w:drawing>
          <wp:inline distT="0" distB="0" distL="0" distR="0">
            <wp:extent cx="5629187" cy="3597215"/>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1821" cy="3598898"/>
                    </a:xfrm>
                    <a:prstGeom prst="rect">
                      <a:avLst/>
                    </a:prstGeom>
                    <a:noFill/>
                    <a:ln>
                      <a:noFill/>
                    </a:ln>
                  </pic:spPr>
                </pic:pic>
              </a:graphicData>
            </a:graphic>
          </wp:inline>
        </w:drawing>
      </w:r>
    </w:p>
    <w:p w:rsidR="009A161D" w:rsidRPr="00256467" w:rsidRDefault="009A161D" w:rsidP="009A161D">
      <w:pPr>
        <w:shd w:val="clear" w:color="auto" w:fill="FFFFFF"/>
        <w:spacing w:before="75" w:after="225" w:line="270" w:lineRule="atLeast"/>
        <w:rPr>
          <w:noProof/>
        </w:rPr>
      </w:pPr>
      <w:r>
        <w:rPr>
          <w:noProof/>
        </w:rPr>
        <w:lastRenderedPageBreak/>
        <w:drawing>
          <wp:inline distT="0" distB="0" distL="0" distR="0">
            <wp:extent cx="5668937" cy="4641011"/>
            <wp:effectExtent l="0" t="0" r="825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2033" cy="4643546"/>
                    </a:xfrm>
                    <a:prstGeom prst="rect">
                      <a:avLst/>
                    </a:prstGeom>
                    <a:noFill/>
                    <a:ln>
                      <a:noFill/>
                    </a:ln>
                  </pic:spPr>
                </pic:pic>
              </a:graphicData>
            </a:graphic>
          </wp:inline>
        </w:drawing>
      </w:r>
    </w:p>
    <w:p w:rsidR="009A161D" w:rsidRPr="00256467" w:rsidRDefault="009A161D" w:rsidP="009A161D">
      <w:pPr>
        <w:shd w:val="clear" w:color="auto" w:fill="FFFFFF"/>
        <w:spacing w:before="75" w:after="225" w:line="270" w:lineRule="atLeast"/>
        <w:rPr>
          <w:noProof/>
        </w:rPr>
      </w:pPr>
      <w:r>
        <w:rPr>
          <w:noProof/>
        </w:rPr>
        <w:drawing>
          <wp:inline distT="0" distB="0" distL="0" distR="0">
            <wp:extent cx="5555411" cy="4091492"/>
            <wp:effectExtent l="0" t="0" r="762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5632" cy="4091655"/>
                    </a:xfrm>
                    <a:prstGeom prst="rect">
                      <a:avLst/>
                    </a:prstGeom>
                    <a:noFill/>
                    <a:ln>
                      <a:noFill/>
                    </a:ln>
                  </pic:spPr>
                </pic:pic>
              </a:graphicData>
            </a:graphic>
          </wp:inline>
        </w:drawing>
      </w:r>
    </w:p>
    <w:p w:rsidR="009A161D" w:rsidRPr="00256467" w:rsidRDefault="009A161D" w:rsidP="009A161D">
      <w:pPr>
        <w:shd w:val="clear" w:color="auto" w:fill="FFFFFF"/>
        <w:spacing w:before="75" w:after="225" w:line="270" w:lineRule="atLeast"/>
        <w:rPr>
          <w:noProof/>
        </w:rPr>
      </w:pPr>
      <w:r>
        <w:rPr>
          <w:noProof/>
        </w:rPr>
        <w:lastRenderedPageBreak/>
        <w:drawing>
          <wp:inline distT="0" distB="0" distL="0" distR="0">
            <wp:extent cx="5778602" cy="42700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9669" cy="4270865"/>
                    </a:xfrm>
                    <a:prstGeom prst="rect">
                      <a:avLst/>
                    </a:prstGeom>
                    <a:noFill/>
                    <a:ln>
                      <a:noFill/>
                    </a:ln>
                  </pic:spPr>
                </pic:pic>
              </a:graphicData>
            </a:graphic>
          </wp:inline>
        </w:drawing>
      </w:r>
    </w:p>
    <w:p w:rsidR="009A161D" w:rsidRPr="00256467" w:rsidRDefault="009A161D" w:rsidP="009A161D">
      <w:pPr>
        <w:shd w:val="clear" w:color="auto" w:fill="FFFFFF"/>
        <w:spacing w:before="75" w:after="225" w:line="270" w:lineRule="atLeast"/>
      </w:pPr>
    </w:p>
    <w:p w:rsidR="00A65437" w:rsidRPr="00A65437" w:rsidRDefault="00A65437" w:rsidP="00A65437">
      <w:pPr>
        <w:rPr>
          <w:rFonts w:ascii="Verdana" w:hAnsi="Verdana"/>
          <w:b/>
          <w:i/>
          <w:color w:val="1F497D"/>
          <w:sz w:val="16"/>
          <w:szCs w:val="16"/>
        </w:rPr>
      </w:pPr>
    </w:p>
    <w:p w:rsidR="00D2340A" w:rsidRPr="00CA7379" w:rsidRDefault="00D2340A" w:rsidP="00CA7379">
      <w:pPr>
        <w:rPr>
          <w:i/>
          <w:sz w:val="16"/>
          <w:szCs w:val="16"/>
        </w:rPr>
      </w:pPr>
    </w:p>
    <w:sectPr w:rsidR="00D2340A" w:rsidRPr="00CA7379" w:rsidSect="00CA737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D78" w:rsidRDefault="00323D78" w:rsidP="001C3C01">
      <w:r>
        <w:separator/>
      </w:r>
    </w:p>
  </w:endnote>
  <w:endnote w:type="continuationSeparator" w:id="0">
    <w:p w:rsidR="00323D78" w:rsidRDefault="00323D78" w:rsidP="001C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Times">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 w:name="Calibri">
    <w:altName w:val="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D78" w:rsidRDefault="00323D78" w:rsidP="001C3C01">
      <w:r>
        <w:separator/>
      </w:r>
    </w:p>
  </w:footnote>
  <w:footnote w:type="continuationSeparator" w:id="0">
    <w:p w:rsidR="00323D78" w:rsidRDefault="00323D78" w:rsidP="001C3C01">
      <w:r>
        <w:continuationSeparator/>
      </w:r>
    </w:p>
  </w:footnote>
  <w:footnote w:id="1">
    <w:p w:rsidR="00666223" w:rsidRDefault="001C3C01" w:rsidP="00666223">
      <w:pPr>
        <w:pStyle w:val="FootnoteText"/>
        <w:rPr>
          <w:rFonts w:ascii="Verdana" w:hAnsi="Verdana"/>
          <w:color w:val="1F497D"/>
          <w:sz w:val="16"/>
          <w:szCs w:val="16"/>
        </w:rPr>
      </w:pPr>
      <w:r w:rsidRPr="001C3C01">
        <w:rPr>
          <w:rStyle w:val="FootnoteReference"/>
          <w:rFonts w:ascii="Verdana" w:hAnsi="Verdana"/>
          <w:color w:val="1F497D"/>
          <w:sz w:val="16"/>
          <w:szCs w:val="16"/>
        </w:rPr>
        <w:footnoteRef/>
      </w:r>
      <w:r w:rsidRPr="001C3C01">
        <w:rPr>
          <w:rFonts w:ascii="Verdana" w:hAnsi="Verdana"/>
          <w:color w:val="1F497D"/>
          <w:sz w:val="16"/>
          <w:szCs w:val="16"/>
        </w:rPr>
        <w:t xml:space="preserve"> Lisaks on uuritud ORBIT skoori (1 punkt: vanus &gt;75a, </w:t>
      </w:r>
      <w:proofErr w:type="spellStart"/>
      <w:r w:rsidRPr="001C3C01">
        <w:rPr>
          <w:rFonts w:ascii="Verdana" w:hAnsi="Verdana"/>
          <w:color w:val="1F497D"/>
          <w:sz w:val="16"/>
          <w:szCs w:val="16"/>
        </w:rPr>
        <w:t>eGFR</w:t>
      </w:r>
      <w:proofErr w:type="spellEnd"/>
      <w:r w:rsidRPr="001C3C01">
        <w:rPr>
          <w:rFonts w:ascii="Verdana" w:hAnsi="Verdana"/>
          <w:color w:val="1F497D"/>
          <w:sz w:val="16"/>
          <w:szCs w:val="16"/>
        </w:rPr>
        <w:t xml:space="preserve"> &lt;60 mL/min/1.73 m2, </w:t>
      </w:r>
      <w:proofErr w:type="spellStart"/>
      <w:r w:rsidRPr="001C3C01">
        <w:rPr>
          <w:rFonts w:ascii="Verdana" w:hAnsi="Verdana"/>
          <w:color w:val="1F497D"/>
          <w:sz w:val="16"/>
          <w:szCs w:val="16"/>
        </w:rPr>
        <w:t>antiagregandi</w:t>
      </w:r>
      <w:proofErr w:type="spellEnd"/>
      <w:r w:rsidRPr="001C3C01">
        <w:rPr>
          <w:rFonts w:ascii="Verdana" w:hAnsi="Verdana"/>
          <w:color w:val="1F497D"/>
          <w:sz w:val="16"/>
          <w:szCs w:val="16"/>
        </w:rPr>
        <w:t xml:space="preserve"> kasutamine, 2 punkti: verejooksu anamnees, aneemia või hemoglobiin &lt;13 </w:t>
      </w:r>
      <w:proofErr w:type="spellStart"/>
      <w:r w:rsidRPr="001C3C01">
        <w:rPr>
          <w:rFonts w:ascii="Verdana" w:hAnsi="Verdana"/>
          <w:color w:val="1F497D"/>
          <w:sz w:val="16"/>
          <w:szCs w:val="16"/>
        </w:rPr>
        <w:t>mg/dL</w:t>
      </w:r>
      <w:proofErr w:type="spellEnd"/>
      <w:r w:rsidRPr="001C3C01">
        <w:rPr>
          <w:rFonts w:ascii="Verdana" w:hAnsi="Verdana"/>
          <w:color w:val="1F497D"/>
          <w:sz w:val="16"/>
          <w:szCs w:val="16"/>
        </w:rPr>
        <w:t xml:space="preserve"> meestel ja &lt;12 </w:t>
      </w:r>
      <w:proofErr w:type="spellStart"/>
      <w:r w:rsidRPr="001C3C01">
        <w:rPr>
          <w:rFonts w:ascii="Verdana" w:hAnsi="Verdana"/>
          <w:color w:val="1F497D"/>
          <w:sz w:val="16"/>
          <w:szCs w:val="16"/>
        </w:rPr>
        <w:t>mg/dL</w:t>
      </w:r>
      <w:proofErr w:type="spellEnd"/>
      <w:r w:rsidRPr="001C3C01">
        <w:rPr>
          <w:rFonts w:ascii="Verdana" w:hAnsi="Verdana"/>
          <w:color w:val="1F497D"/>
          <w:sz w:val="16"/>
          <w:szCs w:val="16"/>
        </w:rPr>
        <w:t xml:space="preserve"> naistel). Ka see ei ületanud HAS-BLED-i. </w:t>
      </w:r>
      <w:proofErr w:type="spellStart"/>
      <w:r w:rsidRPr="001C3C01">
        <w:rPr>
          <w:rFonts w:ascii="Verdana" w:hAnsi="Verdana"/>
          <w:color w:val="1F497D"/>
          <w:sz w:val="16"/>
          <w:szCs w:val="16"/>
        </w:rPr>
        <w:t>Senoo</w:t>
      </w:r>
      <w:proofErr w:type="spellEnd"/>
      <w:r w:rsidRPr="001C3C01">
        <w:rPr>
          <w:rFonts w:ascii="Verdana" w:hAnsi="Verdana"/>
          <w:color w:val="1F497D"/>
          <w:sz w:val="16"/>
          <w:szCs w:val="16"/>
        </w:rPr>
        <w:t xml:space="preserve"> K et </w:t>
      </w:r>
      <w:proofErr w:type="spellStart"/>
      <w:r w:rsidRPr="001C3C01">
        <w:rPr>
          <w:rFonts w:ascii="Verdana" w:hAnsi="Verdana"/>
          <w:color w:val="1F497D"/>
          <w:sz w:val="16"/>
          <w:szCs w:val="16"/>
        </w:rPr>
        <w:t>al</w:t>
      </w:r>
      <w:proofErr w:type="spellEnd"/>
      <w:r w:rsidRPr="001C3C01">
        <w:rPr>
          <w:rFonts w:ascii="Verdana" w:hAnsi="Verdana"/>
          <w:color w:val="1F497D"/>
          <w:sz w:val="16"/>
          <w:szCs w:val="16"/>
        </w:rPr>
        <w:t xml:space="preserve">. The </w:t>
      </w:r>
      <w:proofErr w:type="spellStart"/>
      <w:r w:rsidRPr="001C3C01">
        <w:rPr>
          <w:rFonts w:ascii="Verdana" w:hAnsi="Verdana"/>
          <w:color w:val="1F497D"/>
          <w:sz w:val="16"/>
          <w:szCs w:val="16"/>
        </w:rPr>
        <w:t>American</w:t>
      </w:r>
      <w:proofErr w:type="spellEnd"/>
      <w:r w:rsidRPr="001C3C01">
        <w:rPr>
          <w:rFonts w:ascii="Verdana" w:hAnsi="Verdana"/>
          <w:color w:val="1F497D"/>
          <w:sz w:val="16"/>
          <w:szCs w:val="16"/>
        </w:rPr>
        <w:t xml:space="preserve"> </w:t>
      </w:r>
      <w:proofErr w:type="spellStart"/>
      <w:r w:rsidRPr="001C3C01">
        <w:rPr>
          <w:rFonts w:ascii="Verdana" w:hAnsi="Verdana"/>
          <w:color w:val="1F497D"/>
          <w:sz w:val="16"/>
          <w:szCs w:val="16"/>
        </w:rPr>
        <w:t>Journal</w:t>
      </w:r>
      <w:proofErr w:type="spellEnd"/>
      <w:r w:rsidRPr="001C3C01">
        <w:rPr>
          <w:rFonts w:ascii="Verdana" w:hAnsi="Verdana"/>
          <w:color w:val="1F497D"/>
          <w:sz w:val="16"/>
          <w:szCs w:val="16"/>
        </w:rPr>
        <w:t xml:space="preserve"> of </w:t>
      </w:r>
      <w:proofErr w:type="spellStart"/>
      <w:r w:rsidRPr="001C3C01">
        <w:rPr>
          <w:rFonts w:ascii="Verdana" w:hAnsi="Verdana"/>
          <w:color w:val="1F497D"/>
          <w:sz w:val="16"/>
          <w:szCs w:val="16"/>
        </w:rPr>
        <w:t>Medicine</w:t>
      </w:r>
      <w:proofErr w:type="spellEnd"/>
      <w:r w:rsidRPr="001C3C01">
        <w:rPr>
          <w:rFonts w:ascii="Verdana" w:hAnsi="Verdana"/>
          <w:color w:val="1F497D"/>
          <w:sz w:val="16"/>
          <w:szCs w:val="16"/>
        </w:rPr>
        <w:t xml:space="preserve"> (2016) 129, 600-607</w:t>
      </w:r>
      <w:r w:rsidR="00666223">
        <w:rPr>
          <w:rFonts w:ascii="Verdana" w:hAnsi="Verdana"/>
          <w:color w:val="1F497D"/>
          <w:sz w:val="16"/>
          <w:szCs w:val="16"/>
        </w:rPr>
        <w:t xml:space="preserve">. </w:t>
      </w:r>
    </w:p>
    <w:p w:rsidR="001C3C01" w:rsidRPr="001C3C01" w:rsidRDefault="00666223" w:rsidP="00666223">
      <w:pPr>
        <w:pStyle w:val="FootnoteText"/>
        <w:rPr>
          <w:rFonts w:ascii="Verdana" w:hAnsi="Verdana"/>
          <w:color w:val="1F497D"/>
          <w:sz w:val="16"/>
          <w:szCs w:val="16"/>
        </w:rPr>
      </w:pPr>
      <w:bookmarkStart w:id="0" w:name="_GoBack"/>
      <w:bookmarkEnd w:id="0"/>
      <w:r>
        <w:rPr>
          <w:rFonts w:ascii="Verdana" w:hAnsi="Verdana"/>
          <w:color w:val="1F497D"/>
          <w:sz w:val="16"/>
          <w:szCs w:val="16"/>
        </w:rPr>
        <w:t>Viimatisena on lisandunud biomarkereid kaasav ABC skoor, mille kõik komponendid (</w:t>
      </w:r>
      <w:proofErr w:type="spellStart"/>
      <w:r w:rsidRPr="00666223">
        <w:rPr>
          <w:rFonts w:ascii="Verdana" w:hAnsi="Verdana"/>
          <w:i/>
          <w:color w:val="1F497D"/>
          <w:sz w:val="16"/>
          <w:szCs w:val="16"/>
        </w:rPr>
        <w:t>growth</w:t>
      </w:r>
      <w:proofErr w:type="spellEnd"/>
      <w:r w:rsidRPr="00666223">
        <w:rPr>
          <w:rFonts w:ascii="Verdana" w:hAnsi="Verdana"/>
          <w:i/>
          <w:color w:val="1F497D"/>
          <w:sz w:val="16"/>
          <w:szCs w:val="16"/>
        </w:rPr>
        <w:t xml:space="preserve"> </w:t>
      </w:r>
      <w:proofErr w:type="spellStart"/>
      <w:r w:rsidRPr="00666223">
        <w:rPr>
          <w:rFonts w:ascii="Verdana" w:hAnsi="Verdana"/>
          <w:i/>
          <w:color w:val="1F497D"/>
          <w:sz w:val="16"/>
          <w:szCs w:val="16"/>
        </w:rPr>
        <w:t>differentiation</w:t>
      </w:r>
      <w:proofErr w:type="spellEnd"/>
      <w:r w:rsidRPr="00666223">
        <w:rPr>
          <w:rFonts w:ascii="Verdana" w:hAnsi="Verdana"/>
          <w:i/>
          <w:color w:val="1F497D"/>
          <w:sz w:val="16"/>
          <w:szCs w:val="16"/>
        </w:rPr>
        <w:t xml:space="preserve"> factor-15 (GDF-15)</w:t>
      </w:r>
      <w:r>
        <w:rPr>
          <w:rFonts w:ascii="Verdana" w:hAnsi="Verdana"/>
          <w:color w:val="1F497D"/>
          <w:sz w:val="16"/>
          <w:szCs w:val="16"/>
        </w:rPr>
        <w:t xml:space="preserve"> ei ole rutiinina laboris määratavad. </w:t>
      </w:r>
      <w:proofErr w:type="spellStart"/>
      <w:r w:rsidRPr="00666223">
        <w:rPr>
          <w:rFonts w:ascii="Verdana" w:hAnsi="Verdana"/>
          <w:color w:val="1F497D"/>
          <w:sz w:val="16"/>
          <w:szCs w:val="16"/>
        </w:rPr>
        <w:t>Hijazi</w:t>
      </w:r>
      <w:proofErr w:type="spellEnd"/>
      <w:r w:rsidRPr="00666223">
        <w:rPr>
          <w:rFonts w:ascii="Verdana" w:hAnsi="Verdana"/>
          <w:color w:val="1F497D"/>
          <w:sz w:val="16"/>
          <w:szCs w:val="16"/>
        </w:rPr>
        <w:t xml:space="preserve"> Z</w:t>
      </w:r>
      <w:r>
        <w:rPr>
          <w:rFonts w:ascii="Verdana" w:hAnsi="Verdana"/>
          <w:color w:val="1F497D"/>
          <w:sz w:val="16"/>
          <w:szCs w:val="16"/>
        </w:rPr>
        <w:t xml:space="preserve"> jt</w:t>
      </w:r>
      <w:r w:rsidRPr="00666223">
        <w:rPr>
          <w:rFonts w:ascii="Verdana" w:hAnsi="Verdana"/>
          <w:color w:val="1F497D"/>
          <w:sz w:val="16"/>
          <w:szCs w:val="16"/>
        </w:rPr>
        <w:t xml:space="preserve">. The </w:t>
      </w:r>
      <w:proofErr w:type="spellStart"/>
      <w:r w:rsidRPr="00666223">
        <w:rPr>
          <w:rFonts w:ascii="Verdana" w:hAnsi="Verdana"/>
          <w:color w:val="1F497D"/>
          <w:sz w:val="16"/>
          <w:szCs w:val="16"/>
        </w:rPr>
        <w:t>novel</w:t>
      </w:r>
      <w:proofErr w:type="spellEnd"/>
      <w:r>
        <w:rPr>
          <w:rFonts w:ascii="Verdana" w:hAnsi="Verdana"/>
          <w:color w:val="1F497D"/>
          <w:sz w:val="16"/>
          <w:szCs w:val="16"/>
        </w:rPr>
        <w:t xml:space="preserve"> </w:t>
      </w:r>
      <w:proofErr w:type="spellStart"/>
      <w:r w:rsidRPr="00666223">
        <w:rPr>
          <w:rFonts w:ascii="Verdana" w:hAnsi="Verdana"/>
          <w:color w:val="1F497D"/>
          <w:sz w:val="16"/>
          <w:szCs w:val="16"/>
        </w:rPr>
        <w:t>biomarker-based</w:t>
      </w:r>
      <w:proofErr w:type="spellEnd"/>
      <w:r w:rsidRPr="00666223">
        <w:rPr>
          <w:rFonts w:ascii="Verdana" w:hAnsi="Verdana"/>
          <w:color w:val="1F497D"/>
          <w:sz w:val="16"/>
          <w:szCs w:val="16"/>
        </w:rPr>
        <w:t xml:space="preserve"> ABC (</w:t>
      </w:r>
      <w:proofErr w:type="spellStart"/>
      <w:r w:rsidRPr="00666223">
        <w:rPr>
          <w:rFonts w:ascii="Verdana" w:hAnsi="Verdana"/>
          <w:color w:val="1F497D"/>
          <w:sz w:val="16"/>
          <w:szCs w:val="16"/>
        </w:rPr>
        <w:t>age</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biomarkers</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clinical</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history)-bleeding</w:t>
      </w:r>
      <w:proofErr w:type="spellEnd"/>
      <w:r w:rsidRPr="00666223">
        <w:rPr>
          <w:rFonts w:ascii="Verdana" w:hAnsi="Verdana"/>
          <w:color w:val="1F497D"/>
          <w:sz w:val="16"/>
          <w:szCs w:val="16"/>
        </w:rPr>
        <w:t xml:space="preserve"> risk </w:t>
      </w:r>
      <w:proofErr w:type="spellStart"/>
      <w:r w:rsidRPr="00666223">
        <w:rPr>
          <w:rFonts w:ascii="Verdana" w:hAnsi="Verdana"/>
          <w:color w:val="1F497D"/>
          <w:sz w:val="16"/>
          <w:szCs w:val="16"/>
        </w:rPr>
        <w:t>score</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for</w:t>
      </w:r>
      <w:proofErr w:type="spellEnd"/>
      <w:r>
        <w:rPr>
          <w:rFonts w:ascii="Verdana" w:hAnsi="Verdana"/>
          <w:color w:val="1F497D"/>
          <w:sz w:val="16"/>
          <w:szCs w:val="16"/>
        </w:rPr>
        <w:t xml:space="preserve"> </w:t>
      </w:r>
      <w:proofErr w:type="spellStart"/>
      <w:r w:rsidRPr="00666223">
        <w:rPr>
          <w:rFonts w:ascii="Verdana" w:hAnsi="Verdana"/>
          <w:color w:val="1F497D"/>
          <w:sz w:val="16"/>
          <w:szCs w:val="16"/>
        </w:rPr>
        <w:t>patients</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with</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atrial</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fibrillation</w:t>
      </w:r>
      <w:proofErr w:type="spellEnd"/>
      <w:r w:rsidRPr="00666223">
        <w:rPr>
          <w:rFonts w:ascii="Verdana" w:hAnsi="Verdana"/>
          <w:color w:val="1F497D"/>
          <w:sz w:val="16"/>
          <w:szCs w:val="16"/>
        </w:rPr>
        <w:t xml:space="preserve">: a </w:t>
      </w:r>
      <w:proofErr w:type="spellStart"/>
      <w:r w:rsidRPr="00666223">
        <w:rPr>
          <w:rFonts w:ascii="Verdana" w:hAnsi="Verdana"/>
          <w:color w:val="1F497D"/>
          <w:sz w:val="16"/>
          <w:szCs w:val="16"/>
        </w:rPr>
        <w:t>derivation</w:t>
      </w:r>
      <w:proofErr w:type="spellEnd"/>
      <w:r w:rsidRPr="00666223">
        <w:rPr>
          <w:rFonts w:ascii="Verdana" w:hAnsi="Verdana"/>
          <w:color w:val="1F497D"/>
          <w:sz w:val="16"/>
          <w:szCs w:val="16"/>
        </w:rPr>
        <w:t xml:space="preserve"> and </w:t>
      </w:r>
      <w:proofErr w:type="spellStart"/>
      <w:r w:rsidRPr="00666223">
        <w:rPr>
          <w:rFonts w:ascii="Verdana" w:hAnsi="Verdana"/>
          <w:color w:val="1F497D"/>
          <w:sz w:val="16"/>
          <w:szCs w:val="16"/>
        </w:rPr>
        <w:t>validation</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study</w:t>
      </w:r>
      <w:proofErr w:type="spellEnd"/>
      <w:r w:rsidRPr="00666223">
        <w:rPr>
          <w:rFonts w:ascii="Verdana" w:hAnsi="Verdana"/>
          <w:color w:val="1F497D"/>
          <w:sz w:val="16"/>
          <w:szCs w:val="16"/>
        </w:rPr>
        <w:t xml:space="preserve">. </w:t>
      </w:r>
      <w:proofErr w:type="spellStart"/>
      <w:r w:rsidRPr="00666223">
        <w:rPr>
          <w:rFonts w:ascii="Verdana" w:hAnsi="Verdana"/>
          <w:color w:val="1F497D"/>
          <w:sz w:val="16"/>
          <w:szCs w:val="16"/>
        </w:rPr>
        <w:t>Lancet</w:t>
      </w:r>
      <w:proofErr w:type="spellEnd"/>
      <w:r w:rsidRPr="00666223">
        <w:rPr>
          <w:rFonts w:ascii="Verdana" w:hAnsi="Verdana"/>
          <w:color w:val="1F497D"/>
          <w:sz w:val="16"/>
          <w:szCs w:val="16"/>
        </w:rPr>
        <w:t xml:space="preserve"> 2016;</w:t>
      </w:r>
      <w:r>
        <w:rPr>
          <w:rFonts w:ascii="Verdana" w:hAnsi="Verdana"/>
          <w:color w:val="1F497D"/>
          <w:sz w:val="16"/>
          <w:szCs w:val="16"/>
        </w:rPr>
        <w:t xml:space="preserve"> </w:t>
      </w:r>
      <w:r w:rsidRPr="00666223">
        <w:rPr>
          <w:rFonts w:ascii="Verdana" w:hAnsi="Verdana"/>
          <w:color w:val="1F497D"/>
          <w:sz w:val="16"/>
          <w:szCs w:val="16"/>
        </w:rPr>
        <w:t>387:2302–2311.</w:t>
      </w:r>
    </w:p>
    <w:p w:rsidR="001C3C01" w:rsidRDefault="001C3C01" w:rsidP="001C3C0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0EB685E"/>
    <w:multiLevelType w:val="hybridMultilevel"/>
    <w:tmpl w:val="4D74CA7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nsid w:val="655700F9"/>
    <w:multiLevelType w:val="hybridMultilevel"/>
    <w:tmpl w:val="E94C8C88"/>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lvlOverride w:ilvl="0">
      <w:startOverride w:val="30"/>
    </w:lvlOverride>
  </w:num>
  <w:num w:numId="4">
    <w:abstractNumId w:val="0"/>
    <w:lvlOverride w:ilvl="0">
      <w:startOverride w:val="31"/>
    </w:lvlOverride>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06EC"/>
    <w:rsid w:val="00071076"/>
    <w:rsid w:val="0007107C"/>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338"/>
    <w:rsid w:val="00087840"/>
    <w:rsid w:val="00090741"/>
    <w:rsid w:val="000910E7"/>
    <w:rsid w:val="00092502"/>
    <w:rsid w:val="00092750"/>
    <w:rsid w:val="00092966"/>
    <w:rsid w:val="000934C1"/>
    <w:rsid w:val="00093BB9"/>
    <w:rsid w:val="00093BDF"/>
    <w:rsid w:val="00093D4B"/>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5ED"/>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4112"/>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DB1"/>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2A1"/>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3C01"/>
    <w:rsid w:val="001C41DC"/>
    <w:rsid w:val="001C4F88"/>
    <w:rsid w:val="001C525B"/>
    <w:rsid w:val="001C527A"/>
    <w:rsid w:val="001C5434"/>
    <w:rsid w:val="001C6016"/>
    <w:rsid w:val="001C60CD"/>
    <w:rsid w:val="001C6242"/>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454"/>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EF3"/>
    <w:rsid w:val="00253F7A"/>
    <w:rsid w:val="002541F9"/>
    <w:rsid w:val="002548FB"/>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156"/>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6437"/>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E7F"/>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4A75"/>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3D78"/>
    <w:rsid w:val="00324819"/>
    <w:rsid w:val="00326F72"/>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57"/>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4FB"/>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394"/>
    <w:rsid w:val="004319F0"/>
    <w:rsid w:val="004320AD"/>
    <w:rsid w:val="004321FE"/>
    <w:rsid w:val="004323B4"/>
    <w:rsid w:val="00432AB7"/>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C67"/>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2EC0"/>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1F1"/>
    <w:rsid w:val="004B25A8"/>
    <w:rsid w:val="004B3B18"/>
    <w:rsid w:val="004B4626"/>
    <w:rsid w:val="004B4B6B"/>
    <w:rsid w:val="004B4DAE"/>
    <w:rsid w:val="004B5D97"/>
    <w:rsid w:val="004B64E1"/>
    <w:rsid w:val="004B683C"/>
    <w:rsid w:val="004B71F2"/>
    <w:rsid w:val="004B738F"/>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C58"/>
    <w:rsid w:val="004C7FC7"/>
    <w:rsid w:val="004D1135"/>
    <w:rsid w:val="004D1567"/>
    <w:rsid w:val="004D18B5"/>
    <w:rsid w:val="004D20D3"/>
    <w:rsid w:val="004D28B5"/>
    <w:rsid w:val="004D2E78"/>
    <w:rsid w:val="004D5AF9"/>
    <w:rsid w:val="004D5DD3"/>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3347"/>
    <w:rsid w:val="004F3A75"/>
    <w:rsid w:val="004F3F23"/>
    <w:rsid w:val="004F4F99"/>
    <w:rsid w:val="004F50C9"/>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BAC"/>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2AC"/>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6A34"/>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6EA5"/>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702"/>
    <w:rsid w:val="005E7FBF"/>
    <w:rsid w:val="005F0140"/>
    <w:rsid w:val="005F0A0C"/>
    <w:rsid w:val="005F0B47"/>
    <w:rsid w:val="005F0B8A"/>
    <w:rsid w:val="005F1237"/>
    <w:rsid w:val="005F1C65"/>
    <w:rsid w:val="005F200F"/>
    <w:rsid w:val="005F2474"/>
    <w:rsid w:val="005F2730"/>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5C1"/>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223"/>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278A"/>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E0216"/>
    <w:rsid w:val="006E0505"/>
    <w:rsid w:val="006E07D1"/>
    <w:rsid w:val="006E1969"/>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BB7"/>
    <w:rsid w:val="00714E80"/>
    <w:rsid w:val="007155DA"/>
    <w:rsid w:val="00716388"/>
    <w:rsid w:val="0071686E"/>
    <w:rsid w:val="00717593"/>
    <w:rsid w:val="007175AA"/>
    <w:rsid w:val="007177CF"/>
    <w:rsid w:val="00720399"/>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17D"/>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1AB3"/>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469"/>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C03"/>
    <w:rsid w:val="00851F7A"/>
    <w:rsid w:val="00852707"/>
    <w:rsid w:val="00852B17"/>
    <w:rsid w:val="00852E92"/>
    <w:rsid w:val="00852F3C"/>
    <w:rsid w:val="00852F9E"/>
    <w:rsid w:val="00853A2F"/>
    <w:rsid w:val="00853E00"/>
    <w:rsid w:val="00856B11"/>
    <w:rsid w:val="00856D6F"/>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4CA4"/>
    <w:rsid w:val="008768FA"/>
    <w:rsid w:val="00876C98"/>
    <w:rsid w:val="00876E7C"/>
    <w:rsid w:val="0087750D"/>
    <w:rsid w:val="008776F8"/>
    <w:rsid w:val="008777BB"/>
    <w:rsid w:val="00880463"/>
    <w:rsid w:val="00880721"/>
    <w:rsid w:val="00881893"/>
    <w:rsid w:val="008819E8"/>
    <w:rsid w:val="00881AD0"/>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C49"/>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D25"/>
    <w:rsid w:val="008C3E9E"/>
    <w:rsid w:val="008C41D3"/>
    <w:rsid w:val="008C47C0"/>
    <w:rsid w:val="008C4C85"/>
    <w:rsid w:val="008C619A"/>
    <w:rsid w:val="008C6AF0"/>
    <w:rsid w:val="008C6EEA"/>
    <w:rsid w:val="008C7F64"/>
    <w:rsid w:val="008D028F"/>
    <w:rsid w:val="008D0363"/>
    <w:rsid w:val="008D0618"/>
    <w:rsid w:val="008D0BA4"/>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2E97"/>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601"/>
    <w:rsid w:val="008F1E6B"/>
    <w:rsid w:val="008F22C3"/>
    <w:rsid w:val="008F3879"/>
    <w:rsid w:val="008F3CC6"/>
    <w:rsid w:val="008F3CEB"/>
    <w:rsid w:val="008F3F1A"/>
    <w:rsid w:val="008F48B1"/>
    <w:rsid w:val="008F4FE0"/>
    <w:rsid w:val="008F5E95"/>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208"/>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448D"/>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61D"/>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58F"/>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3C3"/>
    <w:rsid w:val="00A57790"/>
    <w:rsid w:val="00A57815"/>
    <w:rsid w:val="00A6076A"/>
    <w:rsid w:val="00A6108C"/>
    <w:rsid w:val="00A61A43"/>
    <w:rsid w:val="00A61B1E"/>
    <w:rsid w:val="00A6201F"/>
    <w:rsid w:val="00A62273"/>
    <w:rsid w:val="00A63619"/>
    <w:rsid w:val="00A63642"/>
    <w:rsid w:val="00A63A22"/>
    <w:rsid w:val="00A64731"/>
    <w:rsid w:val="00A64AB3"/>
    <w:rsid w:val="00A64FF3"/>
    <w:rsid w:val="00A65437"/>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2F11"/>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2DB0"/>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CFE"/>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32A4"/>
    <w:rsid w:val="00B63E99"/>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BFC"/>
    <w:rsid w:val="00B930D0"/>
    <w:rsid w:val="00B933D3"/>
    <w:rsid w:val="00B9356B"/>
    <w:rsid w:val="00B93A58"/>
    <w:rsid w:val="00B94372"/>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021"/>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C26"/>
    <w:rsid w:val="00C12D4B"/>
    <w:rsid w:val="00C13963"/>
    <w:rsid w:val="00C14773"/>
    <w:rsid w:val="00C14D74"/>
    <w:rsid w:val="00C1536E"/>
    <w:rsid w:val="00C15A94"/>
    <w:rsid w:val="00C15B5D"/>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263B"/>
    <w:rsid w:val="00C73C17"/>
    <w:rsid w:val="00C7406E"/>
    <w:rsid w:val="00C74BE2"/>
    <w:rsid w:val="00C752FA"/>
    <w:rsid w:val="00C75C33"/>
    <w:rsid w:val="00C76066"/>
    <w:rsid w:val="00C7635B"/>
    <w:rsid w:val="00C76876"/>
    <w:rsid w:val="00C77B15"/>
    <w:rsid w:val="00C8025C"/>
    <w:rsid w:val="00C81262"/>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379"/>
    <w:rsid w:val="00CA7526"/>
    <w:rsid w:val="00CA75B4"/>
    <w:rsid w:val="00CB0EF8"/>
    <w:rsid w:val="00CB0FAA"/>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4EB4"/>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40A"/>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4A3"/>
    <w:rsid w:val="00D3665E"/>
    <w:rsid w:val="00D3681A"/>
    <w:rsid w:val="00D368CA"/>
    <w:rsid w:val="00D36A6A"/>
    <w:rsid w:val="00D36ACA"/>
    <w:rsid w:val="00D37256"/>
    <w:rsid w:val="00D40736"/>
    <w:rsid w:val="00D4093A"/>
    <w:rsid w:val="00D40E68"/>
    <w:rsid w:val="00D41D3A"/>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6EA5"/>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B9E"/>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0EE"/>
    <w:rsid w:val="00DE7B8A"/>
    <w:rsid w:val="00DF05F5"/>
    <w:rsid w:val="00DF08CD"/>
    <w:rsid w:val="00DF0A25"/>
    <w:rsid w:val="00DF1331"/>
    <w:rsid w:val="00DF289B"/>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442"/>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DA4"/>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550"/>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0082"/>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0F27"/>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01E"/>
    <w:rsid w:val="00EF54C2"/>
    <w:rsid w:val="00EF5662"/>
    <w:rsid w:val="00EF588D"/>
    <w:rsid w:val="00EF5CF3"/>
    <w:rsid w:val="00EF60FE"/>
    <w:rsid w:val="00EF643F"/>
    <w:rsid w:val="00EF6D38"/>
    <w:rsid w:val="00EF703E"/>
    <w:rsid w:val="00F0025D"/>
    <w:rsid w:val="00F00398"/>
    <w:rsid w:val="00F0085D"/>
    <w:rsid w:val="00F008CB"/>
    <w:rsid w:val="00F00D15"/>
    <w:rsid w:val="00F00DA9"/>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092"/>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677D"/>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3F"/>
    <w:rsid w:val="00F500A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2D0"/>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4CC"/>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rsid w:val="00BC6052"/>
    <w:rPr>
      <w:color w:val="0000FF"/>
      <w:u w:val="single"/>
    </w:rPr>
  </w:style>
  <w:style w:type="character" w:styleId="Emphasis">
    <w:name w:val="Emphasis"/>
    <w:qFormat/>
    <w:rsid w:val="00BC6052"/>
    <w:rPr>
      <w:i/>
      <w:iCs/>
    </w:rPr>
  </w:style>
  <w:style w:type="paragraph" w:customStyle="1" w:styleId="p1">
    <w:name w:val="p1"/>
    <w:basedOn w:val="Normal"/>
    <w:rsid w:val="00C7263B"/>
    <w:rPr>
      <w:rFonts w:ascii="Times" w:hAnsi="Times"/>
      <w:sz w:val="15"/>
      <w:szCs w:val="15"/>
      <w:lang w:val="en-GB" w:eastAsia="en-GB"/>
    </w:rPr>
  </w:style>
  <w:style w:type="character" w:customStyle="1" w:styleId="apple-converted-space">
    <w:name w:val="apple-converted-space"/>
    <w:rsid w:val="00C7263B"/>
  </w:style>
  <w:style w:type="paragraph" w:styleId="BalloonText">
    <w:name w:val="Balloon Text"/>
    <w:basedOn w:val="Normal"/>
    <w:link w:val="BalloonTextChar"/>
    <w:rsid w:val="009F558F"/>
    <w:rPr>
      <w:rFonts w:ascii="Tahoma" w:hAnsi="Tahoma" w:cs="Tahoma"/>
      <w:sz w:val="16"/>
      <w:szCs w:val="16"/>
    </w:rPr>
  </w:style>
  <w:style w:type="character" w:customStyle="1" w:styleId="BalloonTextChar">
    <w:name w:val="Balloon Text Char"/>
    <w:basedOn w:val="DefaultParagraphFont"/>
    <w:link w:val="BalloonText"/>
    <w:rsid w:val="009F558F"/>
    <w:rPr>
      <w:rFonts w:ascii="Tahoma" w:hAnsi="Tahoma" w:cs="Tahoma"/>
      <w:sz w:val="16"/>
      <w:szCs w:val="16"/>
      <w:lang w:eastAsia="et-EE"/>
    </w:rPr>
  </w:style>
  <w:style w:type="paragraph" w:styleId="ListParagraph">
    <w:name w:val="List Paragraph"/>
    <w:basedOn w:val="Normal"/>
    <w:uiPriority w:val="72"/>
    <w:qFormat/>
    <w:rsid w:val="005432AC"/>
    <w:pPr>
      <w:ind w:left="720"/>
      <w:contextualSpacing/>
    </w:pPr>
  </w:style>
  <w:style w:type="paragraph" w:styleId="FootnoteText">
    <w:name w:val="footnote text"/>
    <w:basedOn w:val="Normal"/>
    <w:link w:val="FootnoteTextChar"/>
    <w:rsid w:val="001C3C01"/>
    <w:rPr>
      <w:sz w:val="20"/>
      <w:szCs w:val="20"/>
    </w:rPr>
  </w:style>
  <w:style w:type="character" w:customStyle="1" w:styleId="FootnoteTextChar">
    <w:name w:val="Footnote Text Char"/>
    <w:basedOn w:val="DefaultParagraphFont"/>
    <w:link w:val="FootnoteText"/>
    <w:rsid w:val="001C3C01"/>
    <w:rPr>
      <w:lang w:eastAsia="et-EE"/>
    </w:rPr>
  </w:style>
  <w:style w:type="character" w:styleId="FootnoteReference">
    <w:name w:val="footnote reference"/>
    <w:basedOn w:val="DefaultParagraphFont"/>
    <w:rsid w:val="001C3C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rsid w:val="00BC6052"/>
    <w:rPr>
      <w:color w:val="0000FF"/>
      <w:u w:val="single"/>
    </w:rPr>
  </w:style>
  <w:style w:type="character" w:styleId="Emphasis">
    <w:name w:val="Emphasis"/>
    <w:qFormat/>
    <w:rsid w:val="00BC6052"/>
    <w:rPr>
      <w:i/>
      <w:iCs/>
    </w:rPr>
  </w:style>
  <w:style w:type="paragraph" w:customStyle="1" w:styleId="p1">
    <w:name w:val="p1"/>
    <w:basedOn w:val="Normal"/>
    <w:rsid w:val="00C7263B"/>
    <w:rPr>
      <w:rFonts w:ascii="Times" w:hAnsi="Times"/>
      <w:sz w:val="15"/>
      <w:szCs w:val="15"/>
      <w:lang w:val="en-GB" w:eastAsia="en-GB"/>
    </w:rPr>
  </w:style>
  <w:style w:type="character" w:customStyle="1" w:styleId="apple-converted-space">
    <w:name w:val="apple-converted-space"/>
    <w:rsid w:val="00C7263B"/>
  </w:style>
  <w:style w:type="paragraph" w:styleId="BalloonText">
    <w:name w:val="Balloon Text"/>
    <w:basedOn w:val="Normal"/>
    <w:link w:val="BalloonTextChar"/>
    <w:rsid w:val="009F558F"/>
    <w:rPr>
      <w:rFonts w:ascii="Tahoma" w:hAnsi="Tahoma" w:cs="Tahoma"/>
      <w:sz w:val="16"/>
      <w:szCs w:val="16"/>
    </w:rPr>
  </w:style>
  <w:style w:type="character" w:customStyle="1" w:styleId="BalloonTextChar">
    <w:name w:val="Balloon Text Char"/>
    <w:basedOn w:val="DefaultParagraphFont"/>
    <w:link w:val="BalloonText"/>
    <w:rsid w:val="009F558F"/>
    <w:rPr>
      <w:rFonts w:ascii="Tahoma" w:hAnsi="Tahoma" w:cs="Tahoma"/>
      <w:sz w:val="16"/>
      <w:szCs w:val="16"/>
      <w:lang w:eastAsia="et-EE"/>
    </w:rPr>
  </w:style>
  <w:style w:type="paragraph" w:styleId="ListParagraph">
    <w:name w:val="List Paragraph"/>
    <w:basedOn w:val="Normal"/>
    <w:uiPriority w:val="72"/>
    <w:qFormat/>
    <w:rsid w:val="005432AC"/>
    <w:pPr>
      <w:ind w:left="720"/>
      <w:contextualSpacing/>
    </w:pPr>
  </w:style>
  <w:style w:type="paragraph" w:styleId="FootnoteText">
    <w:name w:val="footnote text"/>
    <w:basedOn w:val="Normal"/>
    <w:link w:val="FootnoteTextChar"/>
    <w:rsid w:val="001C3C01"/>
    <w:rPr>
      <w:sz w:val="20"/>
      <w:szCs w:val="20"/>
    </w:rPr>
  </w:style>
  <w:style w:type="character" w:customStyle="1" w:styleId="FootnoteTextChar">
    <w:name w:val="Footnote Text Char"/>
    <w:basedOn w:val="DefaultParagraphFont"/>
    <w:link w:val="FootnoteText"/>
    <w:rsid w:val="001C3C01"/>
    <w:rPr>
      <w:lang w:eastAsia="et-EE"/>
    </w:rPr>
  </w:style>
  <w:style w:type="character" w:styleId="FootnoteReference">
    <w:name w:val="footnote reference"/>
    <w:basedOn w:val="DefaultParagraphFont"/>
    <w:rsid w:val="001C3C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986197">
      <w:bodyDiv w:val="1"/>
      <w:marLeft w:val="0"/>
      <w:marRight w:val="0"/>
      <w:marTop w:val="0"/>
      <w:marBottom w:val="0"/>
      <w:divBdr>
        <w:top w:val="none" w:sz="0" w:space="0" w:color="auto"/>
        <w:left w:val="none" w:sz="0" w:space="0" w:color="auto"/>
        <w:bottom w:val="none" w:sz="0" w:space="0" w:color="auto"/>
        <w:right w:val="none" w:sz="0" w:space="0" w:color="auto"/>
      </w:divBdr>
    </w:div>
    <w:div w:id="660934241">
      <w:bodyDiv w:val="1"/>
      <w:marLeft w:val="0"/>
      <w:marRight w:val="0"/>
      <w:marTop w:val="0"/>
      <w:marBottom w:val="0"/>
      <w:divBdr>
        <w:top w:val="none" w:sz="0" w:space="0" w:color="auto"/>
        <w:left w:val="none" w:sz="0" w:space="0" w:color="auto"/>
        <w:bottom w:val="none" w:sz="0" w:space="0" w:color="auto"/>
        <w:right w:val="none" w:sz="0" w:space="0" w:color="auto"/>
      </w:divBdr>
    </w:div>
    <w:div w:id="685597848">
      <w:bodyDiv w:val="1"/>
      <w:marLeft w:val="0"/>
      <w:marRight w:val="0"/>
      <w:marTop w:val="0"/>
      <w:marBottom w:val="0"/>
      <w:divBdr>
        <w:top w:val="none" w:sz="0" w:space="0" w:color="auto"/>
        <w:left w:val="none" w:sz="0" w:space="0" w:color="auto"/>
        <w:bottom w:val="none" w:sz="0" w:space="0" w:color="auto"/>
        <w:right w:val="none" w:sz="0" w:space="0" w:color="auto"/>
      </w:divBdr>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5889">
      <w:bodyDiv w:val="1"/>
      <w:marLeft w:val="0"/>
      <w:marRight w:val="0"/>
      <w:marTop w:val="0"/>
      <w:marBottom w:val="0"/>
      <w:divBdr>
        <w:top w:val="none" w:sz="0" w:space="0" w:color="auto"/>
        <w:left w:val="none" w:sz="0" w:space="0" w:color="auto"/>
        <w:bottom w:val="none" w:sz="0" w:space="0" w:color="auto"/>
        <w:right w:val="none" w:sz="0" w:space="0" w:color="auto"/>
      </w:divBdr>
    </w:div>
    <w:div w:id="1442647653">
      <w:bodyDiv w:val="1"/>
      <w:marLeft w:val="0"/>
      <w:marRight w:val="0"/>
      <w:marTop w:val="0"/>
      <w:marBottom w:val="0"/>
      <w:divBdr>
        <w:top w:val="none" w:sz="0" w:space="0" w:color="auto"/>
        <w:left w:val="none" w:sz="0" w:space="0" w:color="auto"/>
        <w:bottom w:val="none" w:sz="0" w:space="0" w:color="auto"/>
        <w:right w:val="none" w:sz="0" w:space="0" w:color="auto"/>
      </w:divBdr>
    </w:div>
    <w:div w:id="1603340306">
      <w:bodyDiv w:val="1"/>
      <w:marLeft w:val="0"/>
      <w:marRight w:val="0"/>
      <w:marTop w:val="0"/>
      <w:marBottom w:val="0"/>
      <w:divBdr>
        <w:top w:val="none" w:sz="0" w:space="0" w:color="auto"/>
        <w:left w:val="none" w:sz="0" w:space="0" w:color="auto"/>
        <w:bottom w:val="none" w:sz="0" w:space="0" w:color="auto"/>
        <w:right w:val="none" w:sz="0" w:space="0" w:color="auto"/>
      </w:divBdr>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8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4D3F42C-E5F8-47E2-A2C2-A8A25EC9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683</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Non-pharmacological treatment</vt:lpstr>
    </vt:vector>
  </TitlesOfParts>
  <Company>Ravimiamet</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Non-pharmacological treatment</dc:title>
  <dc:creator>Kasutaja</dc:creator>
  <cp:lastModifiedBy>Alar Irs</cp:lastModifiedBy>
  <cp:revision>6</cp:revision>
  <dcterms:created xsi:type="dcterms:W3CDTF">2017-09-09T18:01:00Z</dcterms:created>
  <dcterms:modified xsi:type="dcterms:W3CDTF">2017-09-10T15:26:00Z</dcterms:modified>
</cp:coreProperties>
</file>