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95" w:rsidRDefault="00A90EC1" w:rsidP="00B63E99">
      <w:pPr>
        <w:spacing w:after="120"/>
        <w:rPr>
          <w:rFonts w:ascii="Verdana" w:hAnsi="Verdana"/>
          <w:b/>
          <w:bCs/>
          <w:color w:val="C00000"/>
          <w:sz w:val="18"/>
          <w:szCs w:val="18"/>
        </w:rPr>
      </w:pPr>
      <w:r>
        <w:rPr>
          <w:rFonts w:ascii="Verdana" w:hAnsi="Verdana"/>
          <w:b/>
          <w:bCs/>
          <w:color w:val="C00000"/>
          <w:sz w:val="18"/>
          <w:szCs w:val="18"/>
        </w:rPr>
        <w:t xml:space="preserve">Trombemboolia riski </w:t>
      </w:r>
      <w:proofErr w:type="spellStart"/>
      <w:r>
        <w:rPr>
          <w:rFonts w:ascii="Verdana" w:hAnsi="Verdana"/>
          <w:b/>
          <w:bCs/>
          <w:color w:val="C00000"/>
          <w:sz w:val="18"/>
          <w:szCs w:val="18"/>
        </w:rPr>
        <w:t>lävend</w:t>
      </w:r>
      <w:proofErr w:type="spellEnd"/>
      <w:r>
        <w:rPr>
          <w:rFonts w:ascii="Verdana" w:hAnsi="Verdana"/>
          <w:b/>
          <w:bCs/>
          <w:color w:val="C00000"/>
          <w:sz w:val="18"/>
          <w:szCs w:val="18"/>
        </w:rPr>
        <w:t xml:space="preserve"> antikoagulatsioonravi alustamiseks</w:t>
      </w:r>
    </w:p>
    <w:p w:rsidR="008D0BA4" w:rsidRDefault="002C0E7F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CA7379">
        <w:rPr>
          <w:rFonts w:ascii="Verdana" w:hAnsi="Verdana"/>
          <w:b/>
          <w:bCs/>
          <w:color w:val="1F497D"/>
          <w:sz w:val="18"/>
          <w:szCs w:val="18"/>
        </w:rPr>
        <w:t>Kliiniline küsimus</w:t>
      </w:r>
      <w:r w:rsidR="00D56EA5" w:rsidRPr="00CA7379">
        <w:rPr>
          <w:rFonts w:ascii="Verdana" w:hAnsi="Verdana"/>
          <w:bCs/>
          <w:color w:val="1F497D"/>
          <w:sz w:val="18"/>
          <w:szCs w:val="18"/>
        </w:rPr>
        <w:t xml:space="preserve">  </w:t>
      </w:r>
    </w:p>
    <w:p w:rsidR="00A90EC1" w:rsidRDefault="00A90EC1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90EC1">
        <w:rPr>
          <w:rFonts w:ascii="Verdana" w:hAnsi="Verdana"/>
          <w:bCs/>
          <w:color w:val="1F497D"/>
          <w:sz w:val="18"/>
          <w:szCs w:val="18"/>
        </w:rPr>
        <w:t>Kas kõ</w:t>
      </w:r>
      <w:r w:rsidR="00422A77">
        <w:rPr>
          <w:rFonts w:ascii="Verdana" w:hAnsi="Verdana"/>
          <w:bCs/>
          <w:color w:val="1F497D"/>
          <w:sz w:val="18"/>
          <w:szCs w:val="18"/>
        </w:rPr>
        <w:t>ikidel KVA patsientidel, kellel CHA2DS2-VASc</w:t>
      </w:r>
      <w:r w:rsidRPr="00A90EC1">
        <w:rPr>
          <w:rFonts w:ascii="Verdana" w:hAnsi="Verdana"/>
          <w:bCs/>
          <w:color w:val="1F497D"/>
          <w:sz w:val="18"/>
          <w:szCs w:val="18"/>
        </w:rPr>
        <w:t xml:space="preserve"> skoori väärtus on </w:t>
      </w:r>
      <w:r w:rsidR="00422A77">
        <w:rPr>
          <w:rFonts w:ascii="Verdana" w:hAnsi="Verdana"/>
          <w:bCs/>
          <w:color w:val="1F497D"/>
          <w:sz w:val="18"/>
          <w:szCs w:val="18"/>
        </w:rPr>
        <w:t xml:space="preserve">≥2 </w:t>
      </w:r>
      <w:r w:rsidRPr="00A90EC1">
        <w:rPr>
          <w:rFonts w:ascii="Verdana" w:hAnsi="Verdana"/>
          <w:bCs/>
          <w:color w:val="1F497D"/>
          <w:sz w:val="18"/>
          <w:szCs w:val="18"/>
        </w:rPr>
        <w:t>on näidustatud antikoagulantravi?</w:t>
      </w:r>
    </w:p>
    <w:p w:rsidR="00422A77" w:rsidRDefault="00422A77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422A77">
        <w:rPr>
          <w:rFonts w:ascii="Verdana" w:hAnsi="Verdana"/>
          <w:bCs/>
          <w:color w:val="1F497D"/>
          <w:sz w:val="18"/>
          <w:szCs w:val="18"/>
        </w:rPr>
        <w:t>Kas kõikidel KVA patsientidel</w:t>
      </w:r>
      <w:r>
        <w:rPr>
          <w:rFonts w:ascii="Verdana" w:hAnsi="Verdana"/>
          <w:bCs/>
          <w:color w:val="1F497D"/>
          <w:sz w:val="18"/>
          <w:szCs w:val="18"/>
        </w:rPr>
        <w:t>,</w:t>
      </w:r>
      <w:r w:rsidRPr="00422A77">
        <w:rPr>
          <w:rFonts w:ascii="Verdana" w:hAnsi="Verdana"/>
          <w:bCs/>
          <w:color w:val="1F497D"/>
          <w:sz w:val="18"/>
          <w:szCs w:val="18"/>
        </w:rPr>
        <w:t xml:space="preserve"> kellel CHA2DS2-VASc skoori väärtus on </w:t>
      </w:r>
      <w:r>
        <w:rPr>
          <w:rFonts w:ascii="Verdana" w:hAnsi="Verdana"/>
          <w:bCs/>
          <w:color w:val="1F497D"/>
          <w:sz w:val="18"/>
          <w:szCs w:val="18"/>
        </w:rPr>
        <w:t xml:space="preserve">≥1 </w:t>
      </w:r>
      <w:r w:rsidRPr="00422A77">
        <w:rPr>
          <w:rFonts w:ascii="Verdana" w:hAnsi="Verdana"/>
          <w:bCs/>
          <w:color w:val="1F497D"/>
          <w:sz w:val="18"/>
          <w:szCs w:val="18"/>
        </w:rPr>
        <w:t>on näidustatud antikoagulantravi?</w:t>
      </w:r>
    </w:p>
    <w:p w:rsidR="008D0BA4" w:rsidRPr="00CA7379" w:rsidRDefault="002C0E7F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 w:rsidRPr="00CA7379">
        <w:rPr>
          <w:rFonts w:ascii="Verdana" w:hAnsi="Verdana"/>
          <w:b/>
          <w:color w:val="1F497D"/>
          <w:sz w:val="18"/>
          <w:szCs w:val="18"/>
        </w:rPr>
        <w:t>Olulised tulemusnäitajad</w:t>
      </w:r>
      <w:r w:rsidR="008D0BA4" w:rsidRPr="00CA7379">
        <w:rPr>
          <w:rFonts w:ascii="Verdana" w:hAnsi="Verdana"/>
          <w:color w:val="1F497D"/>
          <w:sz w:val="18"/>
          <w:szCs w:val="18"/>
        </w:rPr>
        <w:t xml:space="preserve"> </w:t>
      </w:r>
    </w:p>
    <w:p w:rsidR="002C0E7F" w:rsidRDefault="008D0BA4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 w:rsidRPr="00CA7379">
        <w:rPr>
          <w:rFonts w:ascii="Verdana" w:hAnsi="Verdana"/>
          <w:color w:val="1F497D"/>
          <w:sz w:val="18"/>
          <w:szCs w:val="18"/>
        </w:rPr>
        <w:t>Surm, ajuinfarkt, trombemboolia, oluline verejooks, elukvaliteet, koljusisene verejooks, tõsine kõrvaltoime.</w:t>
      </w:r>
    </w:p>
    <w:p w:rsidR="008C39E4" w:rsidRDefault="00874CA4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 xml:space="preserve">Mõõdukalt olulised: </w:t>
      </w:r>
      <w:r w:rsidRPr="00874CA4">
        <w:rPr>
          <w:rFonts w:ascii="Verdana" w:hAnsi="Verdana"/>
          <w:color w:val="1F497D"/>
          <w:sz w:val="18"/>
          <w:szCs w:val="18"/>
        </w:rPr>
        <w:t>hospitaliseerimine, ravi katkestama sundiv kõrvaltoime</w:t>
      </w:r>
      <w:r w:rsidR="008C39E4">
        <w:rPr>
          <w:rFonts w:ascii="Verdana" w:hAnsi="Verdana"/>
          <w:color w:val="1F497D"/>
          <w:sz w:val="18"/>
          <w:szCs w:val="18"/>
        </w:rPr>
        <w:t>.</w:t>
      </w:r>
    </w:p>
    <w:p w:rsidR="00B63E99" w:rsidRDefault="00B63E99" w:rsidP="00B63E99">
      <w:pPr>
        <w:spacing w:after="120"/>
        <w:rPr>
          <w:rFonts w:ascii="Verdana" w:hAnsi="Verdana"/>
          <w:b/>
          <w:bCs/>
          <w:color w:val="1F497D"/>
          <w:sz w:val="18"/>
          <w:szCs w:val="18"/>
        </w:rPr>
      </w:pPr>
      <w:r w:rsidRPr="00CA7379">
        <w:rPr>
          <w:rFonts w:ascii="Verdana" w:hAnsi="Verdana"/>
          <w:b/>
          <w:bCs/>
          <w:color w:val="1F497D"/>
          <w:sz w:val="18"/>
          <w:szCs w:val="18"/>
        </w:rPr>
        <w:t>Kliinilise tõenduse kokkuvõte</w:t>
      </w:r>
    </w:p>
    <w:p w:rsidR="00134112" w:rsidRDefault="008C39E4" w:rsidP="009F558F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>
        <w:rPr>
          <w:rFonts w:ascii="Verdana" w:hAnsi="Verdana"/>
          <w:bCs/>
          <w:color w:val="1F497D"/>
          <w:sz w:val="18"/>
          <w:szCs w:val="18"/>
        </w:rPr>
        <w:t xml:space="preserve">Kuna kõigi antikoagulantide kõrvaltoimeks on verejooksuriski suurenemine, on oluline hinnata trombemboolia riski igal patsiendil, et otsustada, kas ravimist saadav kasu, st </w:t>
      </w:r>
      <w:proofErr w:type="spellStart"/>
      <w:r w:rsidR="00AC692E">
        <w:rPr>
          <w:rFonts w:ascii="Verdana" w:hAnsi="Verdana"/>
          <w:bCs/>
          <w:color w:val="1F497D"/>
          <w:sz w:val="18"/>
          <w:szCs w:val="18"/>
        </w:rPr>
        <w:t>trom</w:t>
      </w:r>
      <w:r>
        <w:rPr>
          <w:rFonts w:ascii="Verdana" w:hAnsi="Verdana"/>
          <w:bCs/>
          <w:color w:val="1F497D"/>
          <w:sz w:val="18"/>
          <w:szCs w:val="18"/>
        </w:rPr>
        <w:t>beemboolia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riski vähendav toime ületab veritsusriski suurenemisest tingitud kahju.</w:t>
      </w:r>
    </w:p>
    <w:p w:rsidR="008C39E4" w:rsidRDefault="008C39E4" w:rsidP="009F558F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>
        <w:rPr>
          <w:rFonts w:ascii="Verdana" w:hAnsi="Verdana"/>
          <w:bCs/>
          <w:color w:val="1F497D"/>
          <w:sz w:val="18"/>
          <w:szCs w:val="18"/>
        </w:rPr>
        <w:t xml:space="preserve">Enamik ravijuhendeid kasutab trombemboolia riski hindamiseks CHADS2 või </w:t>
      </w:r>
      <w:r w:rsidRPr="008C39E4">
        <w:rPr>
          <w:rFonts w:ascii="Verdana" w:hAnsi="Verdana"/>
          <w:bCs/>
          <w:color w:val="1F497D"/>
          <w:sz w:val="18"/>
          <w:szCs w:val="18"/>
        </w:rPr>
        <w:t>CHA2DS2-VASc</w:t>
      </w:r>
      <w:r w:rsidR="00AC692E">
        <w:rPr>
          <w:rFonts w:ascii="Verdana" w:hAnsi="Verdana"/>
          <w:bCs/>
          <w:color w:val="1F497D"/>
          <w:sz w:val="18"/>
          <w:szCs w:val="18"/>
        </w:rPr>
        <w:t xml:space="preserve"> skoori ja mitte ükski ei esita adekvaatset analüüsi ravi alustamise kriteeriumite tõendatuse kohta.</w:t>
      </w:r>
    </w:p>
    <w:p w:rsidR="00AC692E" w:rsidRPr="00AC692E" w:rsidRDefault="00AC692E" w:rsidP="00AC692E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C692E">
        <w:rPr>
          <w:rFonts w:ascii="Verdana" w:hAnsi="Verdana"/>
          <w:bCs/>
          <w:color w:val="1F497D"/>
          <w:sz w:val="18"/>
          <w:szCs w:val="18"/>
        </w:rPr>
        <w:t xml:space="preserve">Antikoagulantravi </w:t>
      </w:r>
      <w:proofErr w:type="spellStart"/>
      <w:r w:rsidRPr="00AC692E">
        <w:rPr>
          <w:rFonts w:ascii="Verdana" w:hAnsi="Verdana"/>
          <w:bCs/>
          <w:color w:val="1F497D"/>
          <w:sz w:val="18"/>
          <w:szCs w:val="18"/>
        </w:rPr>
        <w:t>elulemust</w:t>
      </w:r>
      <w:proofErr w:type="spellEnd"/>
      <w:r w:rsidRPr="00AC692E">
        <w:rPr>
          <w:rFonts w:ascii="Verdana" w:hAnsi="Verdana"/>
          <w:bCs/>
          <w:color w:val="1F497D"/>
          <w:sz w:val="18"/>
          <w:szCs w:val="18"/>
        </w:rPr>
        <w:t xml:space="preserve"> parandav ja trombemboolia riski vähendav toime on hästi teada ja kirjeldatud VKA uuringute alusel</w:t>
      </w:r>
      <w:r>
        <w:rPr>
          <w:rStyle w:val="FootnoteReference"/>
          <w:rFonts w:ascii="Verdana" w:hAnsi="Verdana"/>
          <w:bCs/>
          <w:color w:val="1F497D"/>
          <w:sz w:val="18"/>
          <w:szCs w:val="18"/>
        </w:rPr>
        <w:footnoteReference w:id="1"/>
      </w:r>
      <w:r w:rsidRPr="00AC692E">
        <w:rPr>
          <w:rFonts w:ascii="Verdana" w:hAnsi="Verdana"/>
          <w:bCs/>
          <w:color w:val="1F497D"/>
          <w:sz w:val="18"/>
          <w:szCs w:val="18"/>
        </w:rPr>
        <w:t>.</w:t>
      </w:r>
    </w:p>
    <w:p w:rsidR="00AC692E" w:rsidRPr="00AC692E" w:rsidRDefault="00AC692E" w:rsidP="00AC692E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C692E">
        <w:rPr>
          <w:rFonts w:ascii="Verdana" w:hAnsi="Verdana"/>
          <w:bCs/>
          <w:color w:val="1F497D"/>
          <w:sz w:val="18"/>
          <w:szCs w:val="18"/>
        </w:rPr>
        <w:t xml:space="preserve">Antikoagulatsioonravi alustamist õigustava insuldiriski alampiiri uuringut kirjeldas </w:t>
      </w:r>
      <w:proofErr w:type="spellStart"/>
      <w:r w:rsidRPr="00AC692E">
        <w:rPr>
          <w:rFonts w:ascii="Verdana" w:hAnsi="Verdana"/>
          <w:bCs/>
          <w:color w:val="1F497D"/>
          <w:sz w:val="18"/>
          <w:szCs w:val="18"/>
        </w:rPr>
        <w:t>Eckmann</w:t>
      </w:r>
      <w:proofErr w:type="spellEnd"/>
      <w:r w:rsidRPr="00AC692E">
        <w:rPr>
          <w:rFonts w:ascii="Verdana" w:hAnsi="Verdana"/>
          <w:bCs/>
          <w:color w:val="1F497D"/>
          <w:sz w:val="18"/>
          <w:szCs w:val="18"/>
        </w:rPr>
        <w:t xml:space="preserve">. </w:t>
      </w:r>
      <w:proofErr w:type="spellStart"/>
      <w:r w:rsidRPr="00AC692E">
        <w:rPr>
          <w:rFonts w:ascii="Verdana" w:hAnsi="Verdana"/>
          <w:bCs/>
          <w:color w:val="1F497D"/>
          <w:sz w:val="18"/>
          <w:szCs w:val="18"/>
        </w:rPr>
        <w:t>Markovi</w:t>
      </w:r>
      <w:proofErr w:type="spellEnd"/>
      <w:r w:rsidRPr="00AC692E">
        <w:rPr>
          <w:rFonts w:ascii="Verdana" w:hAnsi="Verdana"/>
          <w:bCs/>
          <w:color w:val="1F497D"/>
          <w:sz w:val="18"/>
          <w:szCs w:val="18"/>
        </w:rPr>
        <w:t xml:space="preserve"> mudeli tulemusena oli VKA kasutamine netokasulik insuldiriski 1,7% aastas puhul ning uue antikoagulandi kasutamine insuldiriski 0,9% puhul</w:t>
      </w:r>
      <w:r>
        <w:rPr>
          <w:rStyle w:val="FootnoteReference"/>
          <w:rFonts w:ascii="Verdana" w:hAnsi="Verdana"/>
          <w:bCs/>
          <w:color w:val="1F497D"/>
          <w:sz w:val="18"/>
          <w:szCs w:val="18"/>
        </w:rPr>
        <w:footnoteReference w:id="2"/>
      </w:r>
      <w:r w:rsidRPr="00AC692E">
        <w:rPr>
          <w:rFonts w:ascii="Verdana" w:hAnsi="Verdana"/>
          <w:bCs/>
          <w:color w:val="1F497D"/>
          <w:sz w:val="18"/>
          <w:szCs w:val="18"/>
        </w:rPr>
        <w:t>.</w:t>
      </w:r>
    </w:p>
    <w:p w:rsidR="00AC692E" w:rsidRDefault="00AC692E" w:rsidP="00AC692E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C692E">
        <w:rPr>
          <w:rFonts w:ascii="Verdana" w:hAnsi="Verdana"/>
          <w:bCs/>
          <w:color w:val="1F497D"/>
          <w:sz w:val="18"/>
          <w:szCs w:val="18"/>
        </w:rPr>
        <w:t>Hiljutised uuringud on viidanud, et varasemate kohortuuringute alusel antud hinnangud erineva CHA2DS2-VASc skooriga patsientide insuldiriskile võivad olla ebatäpsed, st kuna insuldirisk populatsio</w:t>
      </w:r>
      <w:r>
        <w:rPr>
          <w:rFonts w:ascii="Verdana" w:hAnsi="Verdana"/>
          <w:bCs/>
          <w:color w:val="1F497D"/>
          <w:sz w:val="18"/>
          <w:szCs w:val="18"/>
        </w:rPr>
        <w:t xml:space="preserve">onis langeb,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langeb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see ka erine</w:t>
      </w:r>
      <w:r w:rsidRPr="00AC692E">
        <w:rPr>
          <w:rFonts w:ascii="Verdana" w:hAnsi="Verdana"/>
          <w:bCs/>
          <w:color w:val="1F497D"/>
          <w:sz w:val="18"/>
          <w:szCs w:val="18"/>
        </w:rPr>
        <w:t>v</w:t>
      </w:r>
      <w:r>
        <w:rPr>
          <w:rFonts w:ascii="Verdana" w:hAnsi="Verdana"/>
          <w:bCs/>
          <w:color w:val="1F497D"/>
          <w:sz w:val="18"/>
          <w:szCs w:val="18"/>
        </w:rPr>
        <w:t>a</w:t>
      </w:r>
      <w:r w:rsidRPr="00AC692E">
        <w:rPr>
          <w:rFonts w:ascii="Verdana" w:hAnsi="Verdana"/>
          <w:bCs/>
          <w:color w:val="1F497D"/>
          <w:sz w:val="18"/>
          <w:szCs w:val="18"/>
        </w:rPr>
        <w:t>tes CHA2DS2-VASc riskikategooriates. Meta-analüüsi</w:t>
      </w:r>
      <w:r>
        <w:rPr>
          <w:rStyle w:val="FootnoteReference"/>
          <w:rFonts w:ascii="Verdana" w:hAnsi="Verdana"/>
          <w:bCs/>
          <w:color w:val="1F497D"/>
          <w:sz w:val="18"/>
          <w:szCs w:val="18"/>
        </w:rPr>
        <w:footnoteReference w:id="3"/>
      </w:r>
      <w:r w:rsidRPr="00AC692E">
        <w:rPr>
          <w:rFonts w:ascii="Verdana" w:hAnsi="Verdana"/>
          <w:bCs/>
          <w:color w:val="1F497D"/>
          <w:sz w:val="18"/>
          <w:szCs w:val="18"/>
        </w:rPr>
        <w:t xml:space="preserve"> hinnang aastasele insuldiriskile CHA2DS2-VASc = 1 kategoorias oli 1,61 % ning CHA2DS2-VASc = 2 puhul 2</w:t>
      </w:r>
      <w:r>
        <w:rPr>
          <w:rFonts w:ascii="Verdana" w:hAnsi="Verdana"/>
          <w:bCs/>
          <w:color w:val="1F497D"/>
          <w:sz w:val="18"/>
          <w:szCs w:val="18"/>
        </w:rPr>
        <w:t>,49%. Pärast meta-analüüsi aval</w:t>
      </w:r>
      <w:r w:rsidRPr="00AC692E">
        <w:rPr>
          <w:rFonts w:ascii="Verdana" w:hAnsi="Verdana"/>
          <w:bCs/>
          <w:color w:val="1F497D"/>
          <w:sz w:val="18"/>
          <w:szCs w:val="18"/>
        </w:rPr>
        <w:t>datud uuring Ühendkuningriigist (Allan 2017) leidis, et aastane insuldihaigestumus CHA2DS2-VASc = 1 grupis oli 0,6/100pa ning CHA2DS2-VASc = 2 puhul 1,2/100pa</w:t>
      </w:r>
      <w:r>
        <w:rPr>
          <w:rStyle w:val="FootnoteReference"/>
          <w:rFonts w:ascii="Verdana" w:hAnsi="Verdana"/>
          <w:bCs/>
          <w:color w:val="1F497D"/>
          <w:sz w:val="18"/>
          <w:szCs w:val="18"/>
        </w:rPr>
        <w:footnoteReference w:id="4"/>
      </w:r>
      <w:r>
        <w:rPr>
          <w:rFonts w:ascii="Verdana" w:hAnsi="Verdana"/>
          <w:bCs/>
          <w:color w:val="1F497D"/>
          <w:sz w:val="18"/>
          <w:szCs w:val="18"/>
        </w:rPr>
        <w:t>.</w:t>
      </w:r>
    </w:p>
    <w:p w:rsidR="00AC692E" w:rsidRDefault="00AC692E" w:rsidP="00AC692E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C692E">
        <w:rPr>
          <w:rFonts w:ascii="Verdana" w:hAnsi="Verdana"/>
          <w:bCs/>
          <w:color w:val="1F497D"/>
          <w:sz w:val="18"/>
          <w:szCs w:val="18"/>
        </w:rPr>
        <w:t>Hiljutine mittesüsteemne ülevaade</w:t>
      </w:r>
      <w:r>
        <w:rPr>
          <w:rStyle w:val="FootnoteReference"/>
          <w:rFonts w:ascii="Verdana" w:hAnsi="Verdana"/>
          <w:bCs/>
          <w:color w:val="1F497D"/>
          <w:sz w:val="18"/>
          <w:szCs w:val="18"/>
        </w:rPr>
        <w:footnoteReference w:id="5"/>
      </w:r>
      <w:r w:rsidRPr="00AC692E">
        <w:rPr>
          <w:rFonts w:ascii="Verdana" w:hAnsi="Verdana"/>
          <w:bCs/>
          <w:color w:val="1F497D"/>
          <w:sz w:val="18"/>
          <w:szCs w:val="18"/>
        </w:rPr>
        <w:t xml:space="preserve"> summeeris arstide ja patsientide eelistuste uuringud, mis näitasid, et arstide p</w:t>
      </w:r>
      <w:r>
        <w:rPr>
          <w:rFonts w:ascii="Verdana" w:hAnsi="Verdana"/>
          <w:bCs/>
          <w:color w:val="1F497D"/>
          <w:sz w:val="18"/>
          <w:szCs w:val="18"/>
        </w:rPr>
        <w:t xml:space="preserve">eamine mure on ravist tingitud </w:t>
      </w:r>
      <w:r w:rsidRPr="00AC692E">
        <w:rPr>
          <w:rFonts w:ascii="Verdana" w:hAnsi="Verdana"/>
          <w:bCs/>
          <w:color w:val="1F497D"/>
          <w:sz w:val="18"/>
          <w:szCs w:val="18"/>
        </w:rPr>
        <w:t xml:space="preserve">verejooks, ent patsientide jaoks on see alles 5. kohal  pärast ravimi ja toidu koostoimeid, toime kiire </w:t>
      </w:r>
      <w:proofErr w:type="spellStart"/>
      <w:r w:rsidRPr="00AC692E">
        <w:rPr>
          <w:rFonts w:ascii="Verdana" w:hAnsi="Verdana"/>
          <w:bCs/>
          <w:color w:val="1F497D"/>
          <w:sz w:val="18"/>
          <w:szCs w:val="18"/>
        </w:rPr>
        <w:t>antagoniseerimise</w:t>
      </w:r>
      <w:proofErr w:type="spellEnd"/>
      <w:r w:rsidRPr="00AC692E">
        <w:rPr>
          <w:rFonts w:ascii="Verdana" w:hAnsi="Verdana"/>
          <w:bCs/>
          <w:color w:val="1F497D"/>
          <w:sz w:val="18"/>
          <w:szCs w:val="18"/>
        </w:rPr>
        <w:t xml:space="preserve"> võimalust, ravimi kliinilist kasutuskogemust ja analüüside andmise vajadust</w:t>
      </w:r>
      <w:r>
        <w:rPr>
          <w:rStyle w:val="FootnoteReference"/>
          <w:rFonts w:ascii="Verdana" w:hAnsi="Verdana"/>
          <w:bCs/>
          <w:color w:val="1F497D"/>
          <w:sz w:val="18"/>
          <w:szCs w:val="18"/>
        </w:rPr>
        <w:footnoteReference w:id="6"/>
      </w:r>
      <w:r w:rsidRPr="00AC692E">
        <w:rPr>
          <w:rFonts w:ascii="Verdana" w:hAnsi="Verdana"/>
          <w:bCs/>
          <w:color w:val="1F497D"/>
          <w:sz w:val="18"/>
          <w:szCs w:val="18"/>
        </w:rPr>
        <w:t>. Teine uuring viitas, et patsiendid eelistaks kogeda nelja olulist verejooksu pigem kui ühte ajuinfarkti ning ravi aktsepteerimise alampiir oli insuldi absoluutse riski vähenemine 0,8%</w:t>
      </w:r>
      <w:r>
        <w:rPr>
          <w:rStyle w:val="FootnoteReference"/>
          <w:rFonts w:ascii="Verdana" w:hAnsi="Verdana"/>
          <w:bCs/>
          <w:color w:val="1F497D"/>
          <w:sz w:val="18"/>
          <w:szCs w:val="18"/>
        </w:rPr>
        <w:footnoteReference w:id="7"/>
      </w:r>
      <w:r w:rsidRPr="00AC692E">
        <w:rPr>
          <w:rFonts w:ascii="Verdana" w:hAnsi="Verdana"/>
          <w:bCs/>
          <w:color w:val="1F497D"/>
          <w:sz w:val="18"/>
          <w:szCs w:val="18"/>
        </w:rPr>
        <w:t>.</w:t>
      </w:r>
    </w:p>
    <w:p w:rsidR="00F30092" w:rsidRPr="00CA7379" w:rsidRDefault="00A92F11" w:rsidP="00B63E99">
      <w:pPr>
        <w:shd w:val="clear" w:color="auto" w:fill="FFFFFF"/>
        <w:spacing w:after="120"/>
        <w:ind w:right="238"/>
        <w:rPr>
          <w:rFonts w:ascii="Verdana" w:hAnsi="Verdana" w:cs="Arial"/>
          <w:b/>
          <w:color w:val="1F497D"/>
          <w:sz w:val="18"/>
          <w:szCs w:val="18"/>
        </w:rPr>
      </w:pPr>
      <w:r w:rsidRPr="00CA7379">
        <w:rPr>
          <w:rFonts w:ascii="Verdana" w:hAnsi="Verdana" w:cs="Arial"/>
          <w:b/>
          <w:color w:val="1F497D"/>
          <w:sz w:val="18"/>
          <w:szCs w:val="18"/>
        </w:rPr>
        <w:t>Teiste</w:t>
      </w:r>
      <w:r w:rsidR="002C0E7F" w:rsidRPr="00CA7379">
        <w:rPr>
          <w:rFonts w:ascii="Verdana" w:hAnsi="Verdana" w:cs="Arial"/>
          <w:b/>
          <w:color w:val="1F497D"/>
          <w:sz w:val="18"/>
          <w:szCs w:val="18"/>
        </w:rPr>
        <w:t xml:space="preserve"> ravijuhendite soovitus</w:t>
      </w:r>
      <w:r w:rsidRPr="00CA7379">
        <w:rPr>
          <w:rFonts w:ascii="Verdana" w:hAnsi="Verdana" w:cs="Arial"/>
          <w:b/>
          <w:color w:val="1F497D"/>
          <w:sz w:val="18"/>
          <w:szCs w:val="18"/>
        </w:rPr>
        <w:t>ed s</w:t>
      </w:r>
      <w:r w:rsidR="002C0E7F" w:rsidRPr="00CA7379">
        <w:rPr>
          <w:rFonts w:ascii="Verdana" w:hAnsi="Verdana" w:cs="Arial"/>
          <w:b/>
          <w:color w:val="1F497D"/>
          <w:sz w:val="18"/>
          <w:szCs w:val="18"/>
        </w:rPr>
        <w:t>amal teemal</w:t>
      </w:r>
    </w:p>
    <w:p w:rsidR="008C39E4" w:rsidRDefault="000706EC" w:rsidP="00D41D3A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AHA 2014</w:t>
      </w:r>
      <w:r w:rsidR="00F802D0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A92F11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juhend</w:t>
      </w:r>
      <w:r w:rsidR="00F802D0" w:rsidRPr="00CA7379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r w:rsidR="008C39E4">
        <w:rPr>
          <w:rFonts w:ascii="Verdana" w:hAnsi="Verdana" w:cs="ArialMT"/>
          <w:color w:val="1F497D"/>
          <w:sz w:val="18"/>
          <w:szCs w:val="18"/>
          <w:lang w:eastAsia="en-US"/>
        </w:rPr>
        <w:t>soovitab</w:t>
      </w:r>
    </w:p>
    <w:p w:rsidR="00DE70EE" w:rsidRDefault="00CC68CA" w:rsidP="00835FEC">
      <w:pPr>
        <w:pStyle w:val="ListParagraph"/>
        <w:numPr>
          <w:ilvl w:val="0"/>
          <w:numId w:val="6"/>
        </w:numPr>
        <w:shd w:val="clear" w:color="auto" w:fill="FFFFFF"/>
        <w:spacing w:after="120"/>
        <w:ind w:right="238"/>
        <w:rPr>
          <w:rFonts w:ascii="Verdana" w:hAnsi="Verdana" w:cs="ArialMT"/>
          <w:color w:val="1F497D"/>
          <w:sz w:val="18"/>
          <w:szCs w:val="18"/>
          <w:lang w:eastAsia="en-US"/>
        </w:rPr>
      </w:pP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kasutada </w:t>
      </w:r>
      <w:r w:rsidR="008C39E4" w:rsidRPr="008C39E4">
        <w:rPr>
          <w:rFonts w:ascii="Verdana" w:hAnsi="Verdana" w:cs="ArialMT"/>
          <w:color w:val="1F497D"/>
          <w:sz w:val="18"/>
          <w:szCs w:val="18"/>
          <w:lang w:eastAsia="en-US"/>
        </w:rPr>
        <w:t xml:space="preserve">suukaudseid antikoagulante varasema ajuinfarkti, TIA või CHA2DS2-VASc </w:t>
      </w:r>
      <w:r w:rsidR="008C39E4">
        <w:rPr>
          <w:rFonts w:ascii="Verdana" w:hAnsi="Verdana" w:cs="ArialMT"/>
          <w:color w:val="1F497D"/>
          <w:sz w:val="18"/>
          <w:szCs w:val="18"/>
          <w:lang w:eastAsia="en-US"/>
        </w:rPr>
        <w:t>≥2 puhul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 (I A,B)</w:t>
      </w:r>
      <w:r w:rsidR="008C39E4">
        <w:rPr>
          <w:rFonts w:ascii="Verdana" w:hAnsi="Verdana" w:cs="ArialMT"/>
          <w:color w:val="1F497D"/>
          <w:sz w:val="18"/>
          <w:szCs w:val="18"/>
          <w:lang w:eastAsia="en-US"/>
        </w:rPr>
        <w:t>;</w:t>
      </w:r>
    </w:p>
    <w:p w:rsidR="008C39E4" w:rsidRDefault="00CC68CA" w:rsidP="00835FEC">
      <w:pPr>
        <w:pStyle w:val="ListParagraph"/>
        <w:numPr>
          <w:ilvl w:val="0"/>
          <w:numId w:val="6"/>
        </w:numPr>
        <w:shd w:val="clear" w:color="auto" w:fill="FFFFFF"/>
        <w:spacing w:after="120"/>
        <w:ind w:right="238"/>
        <w:rPr>
          <w:rFonts w:ascii="Verdana" w:hAnsi="Verdana" w:cs="ArialMT"/>
          <w:color w:val="1F497D"/>
          <w:sz w:val="18"/>
          <w:szCs w:val="18"/>
          <w:lang w:eastAsia="en-US"/>
        </w:rPr>
      </w:pP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mitte kasutada verehüübivust vähendavaid ravimeid, kui </w:t>
      </w:r>
      <w:r w:rsidRPr="00CC68CA">
        <w:rPr>
          <w:rFonts w:ascii="Verdana" w:hAnsi="Verdana" w:cs="ArialMT"/>
          <w:color w:val="1F497D"/>
          <w:sz w:val="18"/>
          <w:szCs w:val="18"/>
          <w:lang w:eastAsia="en-US"/>
        </w:rPr>
        <w:t>CHA2DS2-VASc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 = 0 (</w:t>
      </w:r>
      <w:proofErr w:type="spellStart"/>
      <w:r>
        <w:rPr>
          <w:rFonts w:ascii="Verdana" w:hAnsi="Verdana" w:cs="ArialMT"/>
          <w:color w:val="1F497D"/>
          <w:sz w:val="18"/>
          <w:szCs w:val="18"/>
          <w:lang w:eastAsia="en-US"/>
        </w:rPr>
        <w:t>IIa</w:t>
      </w:r>
      <w:proofErr w:type="spellEnd"/>
      <w:r>
        <w:rPr>
          <w:rFonts w:ascii="Verdana" w:hAnsi="Verdana" w:cs="ArialMT"/>
          <w:color w:val="1F497D"/>
          <w:sz w:val="18"/>
          <w:szCs w:val="18"/>
          <w:lang w:eastAsia="en-US"/>
        </w:rPr>
        <w:t>, B);</w:t>
      </w:r>
    </w:p>
    <w:p w:rsidR="00CC68CA" w:rsidRPr="008C39E4" w:rsidRDefault="00CC68CA" w:rsidP="00835FEC">
      <w:pPr>
        <w:pStyle w:val="ListParagraph"/>
        <w:numPr>
          <w:ilvl w:val="0"/>
          <w:numId w:val="6"/>
        </w:numPr>
        <w:shd w:val="clear" w:color="auto" w:fill="FFFFFF"/>
        <w:spacing w:after="120"/>
        <w:ind w:right="238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8C39E4">
        <w:rPr>
          <w:rFonts w:ascii="Verdana" w:hAnsi="Verdana" w:cs="ArialMT"/>
          <w:color w:val="1F497D"/>
          <w:sz w:val="18"/>
          <w:szCs w:val="18"/>
          <w:lang w:eastAsia="en-US"/>
        </w:rPr>
        <w:t>CHA2DS2-VASc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 = 1 puhul jätab juhend otsuse vabaks, sobib nii ravimata jätmine, </w:t>
      </w:r>
      <w:proofErr w:type="spellStart"/>
      <w:r>
        <w:rPr>
          <w:rFonts w:ascii="Verdana" w:hAnsi="Verdana" w:cs="ArialMT"/>
          <w:color w:val="1F497D"/>
          <w:sz w:val="18"/>
          <w:szCs w:val="18"/>
          <w:lang w:eastAsia="en-US"/>
        </w:rPr>
        <w:t>atsetüülsalitsüülhape</w:t>
      </w:r>
      <w:proofErr w:type="spellEnd"/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 kui antikoagulant (</w:t>
      </w:r>
      <w:proofErr w:type="spellStart"/>
      <w:r>
        <w:rPr>
          <w:rFonts w:ascii="Verdana" w:hAnsi="Verdana" w:cs="ArialMT"/>
          <w:color w:val="1F497D"/>
          <w:sz w:val="18"/>
          <w:szCs w:val="18"/>
          <w:lang w:eastAsia="en-US"/>
        </w:rPr>
        <w:t>IIb</w:t>
      </w:r>
      <w:proofErr w:type="spellEnd"/>
      <w:r>
        <w:rPr>
          <w:rFonts w:ascii="Verdana" w:hAnsi="Verdana" w:cs="ArialMT"/>
          <w:color w:val="1F497D"/>
          <w:sz w:val="18"/>
          <w:szCs w:val="18"/>
          <w:lang w:eastAsia="en-US"/>
        </w:rPr>
        <w:t>, C).</w:t>
      </w:r>
    </w:p>
    <w:p w:rsidR="000706EC" w:rsidRPr="00CA7379" w:rsidRDefault="00E05442" w:rsidP="00835FEC">
      <w:pPr>
        <w:shd w:val="clear" w:color="auto" w:fill="FFFFFF"/>
        <w:spacing w:after="120"/>
        <w:ind w:right="238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lastRenderedPageBreak/>
        <w:t>Kanada ravijuhend</w:t>
      </w:r>
      <w:r w:rsidR="00F30092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CC68CA" w:rsidRPr="00CC68CA">
        <w:rPr>
          <w:rFonts w:ascii="Verdana" w:hAnsi="Verdana" w:cs="ArialMT"/>
          <w:color w:val="1F497D"/>
          <w:sz w:val="18"/>
          <w:szCs w:val="18"/>
          <w:lang w:eastAsia="en-US"/>
        </w:rPr>
        <w:t xml:space="preserve">soovitab antikoagulatsiooni kõigile, kes üle 65, kel varasem ajuinfarkt või TIA või hüpertensioon või diabeet. Kui neist ühtegi ei ole, ent kaasub </w:t>
      </w:r>
      <w:proofErr w:type="spellStart"/>
      <w:r w:rsidR="00CC68CA" w:rsidRPr="00CC68CA">
        <w:rPr>
          <w:rFonts w:ascii="Verdana" w:hAnsi="Verdana" w:cs="ArialMT"/>
          <w:color w:val="1F497D"/>
          <w:sz w:val="18"/>
          <w:szCs w:val="18"/>
          <w:lang w:eastAsia="en-US"/>
        </w:rPr>
        <w:t>koronaarhaigus</w:t>
      </w:r>
      <w:proofErr w:type="spellEnd"/>
      <w:r w:rsidR="00CC68CA" w:rsidRPr="00CC68CA">
        <w:rPr>
          <w:rFonts w:ascii="Verdana" w:hAnsi="Verdana" w:cs="ArialMT"/>
          <w:color w:val="1F497D"/>
          <w:sz w:val="18"/>
          <w:szCs w:val="18"/>
          <w:lang w:eastAsia="en-US"/>
        </w:rPr>
        <w:t xml:space="preserve"> või perifeersete arterite ateroskleroos, soovitab juhend </w:t>
      </w:r>
      <w:proofErr w:type="spellStart"/>
      <w:r w:rsidR="00CC68CA" w:rsidRPr="00CC68CA">
        <w:rPr>
          <w:rFonts w:ascii="Verdana" w:hAnsi="Verdana" w:cs="ArialMT"/>
          <w:color w:val="1F497D"/>
          <w:sz w:val="18"/>
          <w:szCs w:val="18"/>
          <w:lang w:eastAsia="en-US"/>
        </w:rPr>
        <w:t>atsetüülsalitsüülhapet</w:t>
      </w:r>
      <w:proofErr w:type="spellEnd"/>
      <w:r w:rsidR="00CC68CA" w:rsidRPr="00CC68CA">
        <w:rPr>
          <w:rFonts w:ascii="Verdana" w:hAnsi="Verdana" w:cs="ArialMT"/>
          <w:color w:val="1F497D"/>
          <w:sz w:val="18"/>
          <w:szCs w:val="18"/>
          <w:lang w:eastAsia="en-US"/>
        </w:rPr>
        <w:t>.</w:t>
      </w:r>
      <w:r w:rsidR="00F30092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</w:p>
    <w:p w:rsidR="00CC68CA" w:rsidRDefault="002C0E7F" w:rsidP="00835FEC">
      <w:pPr>
        <w:shd w:val="clear" w:color="auto" w:fill="FFFFFF"/>
        <w:spacing w:after="120"/>
        <w:ind w:right="238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ESC</w:t>
      </w:r>
      <w:r w:rsidR="00A57790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2016</w:t>
      </w: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B63E99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ravijuhend</w:t>
      </w:r>
      <w:r w:rsidR="00F30092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F30092" w:rsidRPr="00F30092">
        <w:rPr>
          <w:rFonts w:ascii="Verdana" w:hAnsi="Verdana" w:cs="ArialMT"/>
          <w:color w:val="1F497D"/>
          <w:sz w:val="18"/>
          <w:szCs w:val="18"/>
          <w:lang w:eastAsia="en-US"/>
        </w:rPr>
        <w:t>soovitab</w:t>
      </w:r>
    </w:p>
    <w:p w:rsidR="00CC68CA" w:rsidRDefault="00CC68CA" w:rsidP="00835FEC">
      <w:pPr>
        <w:pStyle w:val="ListParagraph"/>
        <w:numPr>
          <w:ilvl w:val="0"/>
          <w:numId w:val="7"/>
        </w:numPr>
        <w:shd w:val="clear" w:color="auto" w:fill="FFFFFF"/>
        <w:spacing w:after="120"/>
        <w:ind w:right="238"/>
        <w:rPr>
          <w:rFonts w:ascii="Verdana" w:hAnsi="Verdana" w:cs="ArialMT"/>
          <w:color w:val="1F497D"/>
          <w:sz w:val="18"/>
          <w:szCs w:val="18"/>
          <w:lang w:eastAsia="en-US"/>
        </w:rPr>
      </w:pP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kasutada suukaudseid antikoagulante KVA-ga meestel, kel </w:t>
      </w:r>
      <w:r w:rsidRPr="00CC68CA">
        <w:rPr>
          <w:rFonts w:ascii="Verdana" w:hAnsi="Verdana" w:cs="ArialMT"/>
          <w:color w:val="1F497D"/>
          <w:sz w:val="18"/>
          <w:szCs w:val="18"/>
          <w:lang w:eastAsia="en-US"/>
        </w:rPr>
        <w:t>CHA2DS2-VASc ≥2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 (IA);</w:t>
      </w:r>
    </w:p>
    <w:p w:rsidR="00B63E99" w:rsidRDefault="00CC68CA" w:rsidP="00835FEC">
      <w:pPr>
        <w:pStyle w:val="ListParagraph"/>
        <w:numPr>
          <w:ilvl w:val="0"/>
          <w:numId w:val="7"/>
        </w:numPr>
        <w:shd w:val="clear" w:color="auto" w:fill="FFFFFF"/>
        <w:spacing w:after="120"/>
        <w:ind w:right="238"/>
        <w:rPr>
          <w:rFonts w:ascii="Verdana" w:hAnsi="Verdana" w:cs="ArialMT"/>
          <w:color w:val="1F497D"/>
          <w:sz w:val="18"/>
          <w:szCs w:val="18"/>
          <w:lang w:eastAsia="en-US"/>
        </w:rPr>
      </w:pPr>
      <w:r>
        <w:rPr>
          <w:rFonts w:ascii="Verdana" w:hAnsi="Verdana" w:cs="ArialMT"/>
          <w:color w:val="1F497D"/>
          <w:sz w:val="18"/>
          <w:szCs w:val="18"/>
          <w:lang w:eastAsia="en-US"/>
        </w:rPr>
        <w:t>kasutada suukaudseid antikoagulante KVA-ga naistel, kel CHA2DS2-VASc ≥3 (IA);</w:t>
      </w:r>
    </w:p>
    <w:p w:rsidR="00CC68CA" w:rsidRDefault="00CC68CA" w:rsidP="00835FEC">
      <w:pPr>
        <w:pStyle w:val="ListParagraph"/>
        <w:numPr>
          <w:ilvl w:val="0"/>
          <w:numId w:val="7"/>
        </w:numPr>
        <w:shd w:val="clear" w:color="auto" w:fill="FFFFFF"/>
        <w:spacing w:after="120"/>
        <w:ind w:right="238"/>
        <w:rPr>
          <w:rFonts w:ascii="Verdana" w:hAnsi="Verdana" w:cs="ArialMT"/>
          <w:color w:val="1F497D"/>
          <w:sz w:val="18"/>
          <w:szCs w:val="18"/>
          <w:lang w:eastAsia="en-US"/>
        </w:rPr>
      </w:pPr>
      <w:r>
        <w:rPr>
          <w:rFonts w:ascii="Verdana" w:hAnsi="Verdana" w:cs="ArialMT"/>
          <w:color w:val="1F497D"/>
          <w:sz w:val="18"/>
          <w:szCs w:val="18"/>
          <w:lang w:eastAsia="en-US"/>
        </w:rPr>
        <w:t>kaaluda suukaudsete antikoagulantide kasutamist KVA-ga meestel, kel CHA2DS2-VASc = 1, võttes arvesse patsiendi faktoreid ja eelistusi (</w:t>
      </w:r>
      <w:proofErr w:type="spellStart"/>
      <w:r>
        <w:rPr>
          <w:rFonts w:ascii="Verdana" w:hAnsi="Verdana" w:cs="ArialMT"/>
          <w:color w:val="1F497D"/>
          <w:sz w:val="18"/>
          <w:szCs w:val="18"/>
          <w:lang w:eastAsia="en-US"/>
        </w:rPr>
        <w:t>IIa</w:t>
      </w:r>
      <w:proofErr w:type="spellEnd"/>
      <w:r>
        <w:rPr>
          <w:rFonts w:ascii="Verdana" w:hAnsi="Verdana" w:cs="ArialMT"/>
          <w:color w:val="1F497D"/>
          <w:sz w:val="18"/>
          <w:szCs w:val="18"/>
          <w:lang w:eastAsia="en-US"/>
        </w:rPr>
        <w:t>, B</w:t>
      </w:r>
      <w:r w:rsidRPr="00CC68CA">
        <w:rPr>
          <w:rFonts w:ascii="Verdana" w:hAnsi="Verdana" w:cs="ArialMT"/>
          <w:color w:val="1F497D"/>
          <w:sz w:val="18"/>
          <w:szCs w:val="18"/>
          <w:lang w:eastAsia="en-US"/>
        </w:rPr>
        <w:t>);</w:t>
      </w:r>
    </w:p>
    <w:p w:rsidR="00CC68CA" w:rsidRPr="00CC68CA" w:rsidRDefault="00CC68CA" w:rsidP="00835FEC">
      <w:pPr>
        <w:pStyle w:val="ListParagraph"/>
        <w:numPr>
          <w:ilvl w:val="0"/>
          <w:numId w:val="7"/>
        </w:numPr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C68CA">
        <w:rPr>
          <w:rFonts w:ascii="Verdana" w:hAnsi="Verdana" w:cs="ArialMT"/>
          <w:color w:val="1F497D"/>
          <w:sz w:val="18"/>
          <w:szCs w:val="18"/>
          <w:lang w:eastAsia="en-US"/>
        </w:rPr>
        <w:t xml:space="preserve">kaaluda suukaudsete antikoagulantide kasutamist KVA-ga 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naistel, kel CHA2DS2-VASc = 2</w:t>
      </w:r>
      <w:r w:rsidRPr="00CC68CA">
        <w:rPr>
          <w:rFonts w:ascii="Verdana" w:hAnsi="Verdana" w:cs="ArialMT"/>
          <w:color w:val="1F497D"/>
          <w:sz w:val="18"/>
          <w:szCs w:val="18"/>
          <w:lang w:eastAsia="en-US"/>
        </w:rPr>
        <w:t>, võttes arvesse patsiendi faktoreid ja eelistusi (</w:t>
      </w:r>
      <w:proofErr w:type="spellStart"/>
      <w:r w:rsidRPr="00CC68CA">
        <w:rPr>
          <w:rFonts w:ascii="Verdana" w:hAnsi="Verdana" w:cs="ArialMT"/>
          <w:color w:val="1F497D"/>
          <w:sz w:val="18"/>
          <w:szCs w:val="18"/>
          <w:lang w:eastAsia="en-US"/>
        </w:rPr>
        <w:t>IIa</w:t>
      </w:r>
      <w:proofErr w:type="spellEnd"/>
      <w:r w:rsidRPr="00CC68CA">
        <w:rPr>
          <w:rFonts w:ascii="Verdana" w:hAnsi="Verdana" w:cs="ArialMT"/>
          <w:color w:val="1F497D"/>
          <w:sz w:val="18"/>
          <w:szCs w:val="18"/>
          <w:lang w:eastAsia="en-US"/>
        </w:rPr>
        <w:t>, B);</w:t>
      </w:r>
    </w:p>
    <w:p w:rsidR="00CC68CA" w:rsidRDefault="00CE061E" w:rsidP="00835FEC">
      <w:pPr>
        <w:pStyle w:val="ListParagraph"/>
        <w:numPr>
          <w:ilvl w:val="0"/>
          <w:numId w:val="7"/>
        </w:numPr>
        <w:shd w:val="clear" w:color="auto" w:fill="FFFFFF"/>
        <w:spacing w:after="120"/>
        <w:ind w:right="238"/>
        <w:rPr>
          <w:rFonts w:ascii="Verdana" w:hAnsi="Verdana" w:cs="ArialMT"/>
          <w:color w:val="1F497D"/>
          <w:sz w:val="18"/>
          <w:szCs w:val="18"/>
          <w:lang w:eastAsia="en-US"/>
        </w:rPr>
      </w:pP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meestel ja naistel, kellel ei ole ajuinfarkti riskifaktoreid, ei soovitata kasutada antikoagulante ega </w:t>
      </w:r>
      <w:proofErr w:type="spellStart"/>
      <w:r>
        <w:rPr>
          <w:rFonts w:ascii="Verdana" w:hAnsi="Verdana" w:cs="ArialMT"/>
          <w:color w:val="1F497D"/>
          <w:sz w:val="18"/>
          <w:szCs w:val="18"/>
          <w:lang w:eastAsia="en-US"/>
        </w:rPr>
        <w:t>antiagregante</w:t>
      </w:r>
      <w:proofErr w:type="spellEnd"/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 (III, A);</w:t>
      </w:r>
    </w:p>
    <w:p w:rsidR="00CE061E" w:rsidRPr="00CC68CA" w:rsidRDefault="00CE061E" w:rsidP="00835FEC">
      <w:pPr>
        <w:pStyle w:val="ListParagraph"/>
        <w:numPr>
          <w:ilvl w:val="0"/>
          <w:numId w:val="7"/>
        </w:numPr>
        <w:shd w:val="clear" w:color="auto" w:fill="FFFFFF"/>
        <w:spacing w:after="120"/>
        <w:ind w:right="238"/>
        <w:rPr>
          <w:rFonts w:ascii="Verdana" w:hAnsi="Verdana" w:cs="ArialMT"/>
          <w:color w:val="1F497D"/>
          <w:sz w:val="18"/>
          <w:szCs w:val="18"/>
          <w:lang w:eastAsia="en-US"/>
        </w:rPr>
      </w:pPr>
      <w:r>
        <w:rPr>
          <w:rFonts w:ascii="Verdana" w:hAnsi="Verdana" w:cs="ArialMT"/>
          <w:color w:val="1F497D"/>
          <w:sz w:val="18"/>
          <w:szCs w:val="18"/>
          <w:lang w:eastAsia="en-US"/>
        </w:rPr>
        <w:t>antikoagulatsiooni soovitatakse jätkata ka vasaku koja kõrvakese kirurgilise sulgemise järgselt (I, B)</w:t>
      </w:r>
    </w:p>
    <w:p w:rsidR="00B63E99" w:rsidRDefault="002C0E7F" w:rsidP="00835FEC">
      <w:pPr>
        <w:shd w:val="clear" w:color="auto" w:fill="FFFFFF"/>
        <w:spacing w:after="120"/>
        <w:ind w:right="238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N</w:t>
      </w:r>
      <w:r w:rsidR="00F3677D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ICE</w:t>
      </w:r>
      <w:r w:rsidR="00B63E99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DE70EE" w:rsidRPr="00D41D3A">
        <w:rPr>
          <w:rFonts w:ascii="Verdana" w:hAnsi="Verdana" w:cs="ArialMT"/>
          <w:b/>
          <w:color w:val="1F497D"/>
          <w:sz w:val="18"/>
          <w:szCs w:val="18"/>
          <w:lang w:eastAsia="en-US"/>
        </w:rPr>
        <w:t>ravijuhend</w:t>
      </w:r>
      <w:r w:rsidR="00F3677D" w:rsidRPr="00CA7379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r w:rsidR="00CE061E">
        <w:rPr>
          <w:rFonts w:ascii="Verdana" w:hAnsi="Verdana" w:cs="ArialMT"/>
          <w:color w:val="1F497D"/>
          <w:sz w:val="18"/>
          <w:szCs w:val="18"/>
          <w:lang w:eastAsia="en-US"/>
        </w:rPr>
        <w:t>soovitab</w:t>
      </w:r>
    </w:p>
    <w:p w:rsidR="00CE061E" w:rsidRDefault="00CE061E" w:rsidP="00835FEC">
      <w:pPr>
        <w:pStyle w:val="ListParagraph"/>
        <w:numPr>
          <w:ilvl w:val="0"/>
          <w:numId w:val="8"/>
        </w:numPr>
        <w:shd w:val="clear" w:color="auto" w:fill="FFFFFF"/>
        <w:spacing w:after="120"/>
        <w:ind w:right="238"/>
        <w:rPr>
          <w:rFonts w:ascii="Verdana" w:hAnsi="Verdana" w:cs="ArialMT"/>
          <w:color w:val="1F497D"/>
          <w:sz w:val="18"/>
          <w:szCs w:val="18"/>
          <w:lang w:eastAsia="en-US"/>
        </w:rPr>
      </w:pPr>
      <w:r>
        <w:rPr>
          <w:rFonts w:ascii="Verdana" w:hAnsi="Verdana" w:cs="ArialMT"/>
          <w:color w:val="1F497D"/>
          <w:sz w:val="18"/>
          <w:szCs w:val="18"/>
          <w:lang w:eastAsia="en-US"/>
        </w:rPr>
        <w:t>ärge kasutage i</w:t>
      </w:r>
      <w:r w:rsidR="00835FEC">
        <w:rPr>
          <w:rFonts w:ascii="Verdana" w:hAnsi="Verdana" w:cs="ArialMT"/>
          <w:color w:val="1F497D"/>
          <w:sz w:val="18"/>
          <w:szCs w:val="18"/>
          <w:lang w:eastAsia="en-US"/>
        </w:rPr>
        <w:t>nsuldiennetust alla 65 aastaste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l </w:t>
      </w:r>
      <w:r w:rsidR="00835FEC">
        <w:rPr>
          <w:rFonts w:ascii="Verdana" w:hAnsi="Verdana" w:cs="ArialMT"/>
          <w:color w:val="1F497D"/>
          <w:sz w:val="18"/>
          <w:szCs w:val="18"/>
          <w:lang w:eastAsia="en-US"/>
        </w:rPr>
        <w:t>KVA-ga patsientidel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, kellel ei ole insuldi </w:t>
      </w:r>
      <w:proofErr w:type="spellStart"/>
      <w:r>
        <w:rPr>
          <w:rFonts w:ascii="Verdana" w:hAnsi="Verdana" w:cs="ArialMT"/>
          <w:color w:val="1F497D"/>
          <w:sz w:val="18"/>
          <w:szCs w:val="18"/>
          <w:lang w:eastAsia="en-US"/>
        </w:rPr>
        <w:t>riskifatoreid</w:t>
      </w:r>
      <w:proofErr w:type="spellEnd"/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 (v.a sugu), st kui </w:t>
      </w:r>
      <w:r w:rsidRPr="00CC68CA">
        <w:rPr>
          <w:rFonts w:ascii="Verdana" w:hAnsi="Verdana" w:cs="ArialMT"/>
          <w:color w:val="1F497D"/>
          <w:sz w:val="18"/>
          <w:szCs w:val="18"/>
          <w:lang w:eastAsia="en-US"/>
        </w:rPr>
        <w:t>CHA2DS2-VASc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 = 0 meestel ja </w:t>
      </w:r>
      <w:r w:rsidRPr="00CC68CA">
        <w:rPr>
          <w:rFonts w:ascii="Verdana" w:hAnsi="Verdana" w:cs="ArialMT"/>
          <w:color w:val="1F497D"/>
          <w:sz w:val="18"/>
          <w:szCs w:val="18"/>
          <w:lang w:eastAsia="en-US"/>
        </w:rPr>
        <w:t>CHA2DS2-VASc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 = 1 naistel);</w:t>
      </w:r>
    </w:p>
    <w:p w:rsidR="00CE061E" w:rsidRDefault="00835FEC" w:rsidP="00835FEC">
      <w:pPr>
        <w:pStyle w:val="ListParagraph"/>
        <w:numPr>
          <w:ilvl w:val="0"/>
          <w:numId w:val="8"/>
        </w:numPr>
        <w:shd w:val="clear" w:color="auto" w:fill="FFFFFF"/>
        <w:spacing w:after="120"/>
        <w:ind w:right="238"/>
        <w:rPr>
          <w:rFonts w:ascii="Verdana" w:hAnsi="Verdana" w:cs="ArialMT"/>
          <w:color w:val="1F497D"/>
          <w:sz w:val="18"/>
          <w:szCs w:val="18"/>
          <w:lang w:eastAsia="en-US"/>
        </w:rPr>
      </w:pPr>
      <w:r>
        <w:rPr>
          <w:rFonts w:ascii="Verdana" w:hAnsi="Verdana" w:cs="ArialMT"/>
          <w:color w:val="1F497D"/>
          <w:sz w:val="18"/>
          <w:szCs w:val="18"/>
          <w:lang w:eastAsia="en-US"/>
        </w:rPr>
        <w:t>k</w:t>
      </w:r>
      <w:r w:rsidR="00CE061E">
        <w:rPr>
          <w:rFonts w:ascii="Verdana" w:hAnsi="Verdana" w:cs="ArialMT"/>
          <w:color w:val="1F497D"/>
          <w:sz w:val="18"/>
          <w:szCs w:val="18"/>
          <w:lang w:eastAsia="en-US"/>
        </w:rPr>
        <w:t xml:space="preserve">aaluge antikoagulatsiooni 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KVA-ga </w:t>
      </w:r>
      <w:r w:rsidR="00CE061E">
        <w:rPr>
          <w:rFonts w:ascii="Verdana" w:hAnsi="Verdana" w:cs="ArialMT"/>
          <w:color w:val="1F497D"/>
          <w:sz w:val="18"/>
          <w:szCs w:val="18"/>
          <w:lang w:eastAsia="en-US"/>
        </w:rPr>
        <w:t xml:space="preserve">meestel, kelle </w:t>
      </w:r>
      <w:r w:rsidR="00CE061E" w:rsidRPr="00CC68CA">
        <w:rPr>
          <w:rFonts w:ascii="Verdana" w:hAnsi="Verdana" w:cs="ArialMT"/>
          <w:color w:val="1F497D"/>
          <w:sz w:val="18"/>
          <w:szCs w:val="18"/>
          <w:lang w:eastAsia="en-US"/>
        </w:rPr>
        <w:t>CHA2DS2-VASc</w:t>
      </w:r>
      <w:r w:rsidR="00CE061E">
        <w:rPr>
          <w:rFonts w:ascii="Verdana" w:hAnsi="Verdana" w:cs="ArialMT"/>
          <w:color w:val="1F497D"/>
          <w:sz w:val="18"/>
          <w:szCs w:val="18"/>
          <w:lang w:eastAsia="en-US"/>
        </w:rPr>
        <w:t xml:space="preserve"> = 1. Võtke arvesse verejooksuriski;</w:t>
      </w:r>
    </w:p>
    <w:p w:rsidR="00CE061E" w:rsidRDefault="00835FEC" w:rsidP="00835FEC">
      <w:pPr>
        <w:pStyle w:val="ListParagraph"/>
        <w:numPr>
          <w:ilvl w:val="0"/>
          <w:numId w:val="8"/>
        </w:numPr>
        <w:shd w:val="clear" w:color="auto" w:fill="FFFFFF"/>
        <w:spacing w:after="120"/>
        <w:ind w:right="238"/>
        <w:rPr>
          <w:rFonts w:ascii="Verdana" w:hAnsi="Verdana" w:cs="ArialMT"/>
          <w:color w:val="1F497D"/>
          <w:sz w:val="18"/>
          <w:szCs w:val="18"/>
          <w:lang w:eastAsia="en-US"/>
        </w:rPr>
      </w:pP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kasutage antikoagulatsiooni KVA-ga patsientidel, kelle </w:t>
      </w:r>
      <w:r w:rsidRPr="00CC68CA">
        <w:rPr>
          <w:rFonts w:ascii="Verdana" w:hAnsi="Verdana" w:cs="ArialMT"/>
          <w:color w:val="1F497D"/>
          <w:sz w:val="18"/>
          <w:szCs w:val="18"/>
          <w:lang w:eastAsia="en-US"/>
        </w:rPr>
        <w:t>CHA2DS2-VASc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 ≥ 2. Võtke arvesse verejooksuriski.</w:t>
      </w:r>
    </w:p>
    <w:p w:rsidR="00835FEC" w:rsidRDefault="00F3677D" w:rsidP="00B63E99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Soome</w:t>
      </w:r>
      <w:r w:rsidR="00B63E99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ravijuhend</w:t>
      </w:r>
      <w:r w:rsidR="00A65437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835FEC">
        <w:rPr>
          <w:rFonts w:ascii="Verdana" w:hAnsi="Verdana" w:cs="ArialMT"/>
          <w:color w:val="1F497D"/>
          <w:sz w:val="18"/>
          <w:szCs w:val="18"/>
          <w:lang w:eastAsia="en-US"/>
        </w:rPr>
        <w:t xml:space="preserve">soovitab </w:t>
      </w:r>
    </w:p>
    <w:p w:rsidR="00835FEC" w:rsidRDefault="00835FEC" w:rsidP="00835FEC">
      <w:pPr>
        <w:pStyle w:val="ListParagraph"/>
        <w:numPr>
          <w:ilvl w:val="0"/>
          <w:numId w:val="9"/>
        </w:num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kasutada </w:t>
      </w:r>
      <w:r w:rsidRPr="00835FEC">
        <w:rPr>
          <w:rFonts w:ascii="Verdana" w:hAnsi="Verdana" w:cs="ArialMT"/>
          <w:color w:val="1F497D"/>
          <w:sz w:val="18"/>
          <w:szCs w:val="18"/>
          <w:lang w:eastAsia="en-US"/>
        </w:rPr>
        <w:t>antikoagulatsiooni, kui CHA2DS2-VASc ≥ 2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;</w:t>
      </w:r>
    </w:p>
    <w:p w:rsidR="003B0510" w:rsidRDefault="00835FEC" w:rsidP="00835FEC">
      <w:pPr>
        <w:pStyle w:val="ListParagraph"/>
        <w:numPr>
          <w:ilvl w:val="0"/>
          <w:numId w:val="9"/>
        </w:num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835FEC">
        <w:rPr>
          <w:rFonts w:ascii="Verdana" w:hAnsi="Verdana" w:cs="ArialMT"/>
          <w:color w:val="1F497D"/>
          <w:sz w:val="18"/>
          <w:szCs w:val="18"/>
          <w:lang w:eastAsia="en-US"/>
        </w:rPr>
        <w:t xml:space="preserve">kaaluda antikoagulatsiooni, kui </w:t>
      </w:r>
      <w:r w:rsidRPr="00835FEC">
        <w:rPr>
          <w:rFonts w:ascii="Verdana" w:hAnsi="Verdana" w:cs="ArialMT"/>
          <w:color w:val="1F497D"/>
          <w:sz w:val="18"/>
          <w:szCs w:val="18"/>
          <w:lang w:eastAsia="en-US"/>
        </w:rPr>
        <w:t xml:space="preserve">CHA2DS2-VASc </w:t>
      </w:r>
      <w:r w:rsidRPr="00835FEC">
        <w:rPr>
          <w:rFonts w:ascii="Verdana" w:hAnsi="Verdana" w:cs="ArialMT"/>
          <w:color w:val="1F497D"/>
          <w:sz w:val="18"/>
          <w:szCs w:val="18"/>
          <w:lang w:eastAsia="en-US"/>
        </w:rPr>
        <w:t xml:space="preserve">= 1, võttes arvesse riskifaktorite ravi tulemusi, teisi </w:t>
      </w:r>
      <w:proofErr w:type="spellStart"/>
      <w:r w:rsidRPr="00835FEC">
        <w:rPr>
          <w:rFonts w:ascii="Verdana" w:hAnsi="Verdana" w:cs="ArialMT"/>
          <w:color w:val="1F497D"/>
          <w:sz w:val="18"/>
          <w:szCs w:val="18"/>
          <w:lang w:eastAsia="en-US"/>
        </w:rPr>
        <w:t>kardiovaskulaarseid</w:t>
      </w:r>
      <w:proofErr w:type="spellEnd"/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 riskitegureid, verejooksuriski;</w:t>
      </w:r>
    </w:p>
    <w:p w:rsidR="00835FEC" w:rsidRPr="00835FEC" w:rsidRDefault="00835FEC" w:rsidP="00835FEC">
      <w:pPr>
        <w:pStyle w:val="ListParagraph"/>
        <w:numPr>
          <w:ilvl w:val="0"/>
          <w:numId w:val="9"/>
        </w:num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mitte kasutada antikoagulatsiooni, kui </w:t>
      </w:r>
      <w:r w:rsidRPr="00CC68CA">
        <w:rPr>
          <w:rFonts w:ascii="Verdana" w:hAnsi="Verdana" w:cs="ArialMT"/>
          <w:color w:val="1F497D"/>
          <w:sz w:val="18"/>
          <w:szCs w:val="18"/>
          <w:lang w:eastAsia="en-US"/>
        </w:rPr>
        <w:t>CHA2DS2-VASc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= 0.</w:t>
      </w:r>
    </w:p>
    <w:p w:rsidR="008F5E95" w:rsidRPr="008F5E95" w:rsidRDefault="008F5E95" w:rsidP="003B0510">
      <w:pPr>
        <w:autoSpaceDE w:val="0"/>
        <w:autoSpaceDN w:val="0"/>
        <w:adjustRightInd w:val="0"/>
        <w:jc w:val="both"/>
        <w:rPr>
          <w:rFonts w:ascii="Verdana" w:hAnsi="Verdana" w:cs="ArialMT"/>
          <w:b/>
          <w:color w:val="1F497D"/>
          <w:sz w:val="18"/>
          <w:szCs w:val="18"/>
          <w:lang w:eastAsia="en-US"/>
        </w:rPr>
      </w:pPr>
    </w:p>
    <w:p w:rsidR="00446C67" w:rsidRPr="00AC692E" w:rsidRDefault="008F5E95" w:rsidP="003B0510">
      <w:pPr>
        <w:autoSpaceDE w:val="0"/>
        <w:autoSpaceDN w:val="0"/>
        <w:adjustRightInd w:val="0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8F5E95">
        <w:rPr>
          <w:rFonts w:ascii="Verdana" w:hAnsi="Verdana" w:cs="ArialMT"/>
          <w:b/>
          <w:color w:val="1F497D"/>
          <w:sz w:val="18"/>
          <w:szCs w:val="18"/>
          <w:lang w:eastAsia="en-US"/>
        </w:rPr>
        <w:t>Viited</w:t>
      </w:r>
      <w:r w:rsidR="00AC692E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– </w:t>
      </w:r>
      <w:r w:rsidR="00AC692E" w:rsidRPr="00AC692E">
        <w:rPr>
          <w:rFonts w:ascii="Verdana" w:hAnsi="Verdana" w:cs="ArialMT"/>
          <w:color w:val="1F497D"/>
          <w:sz w:val="18"/>
          <w:szCs w:val="18"/>
          <w:lang w:eastAsia="en-US"/>
        </w:rPr>
        <w:t xml:space="preserve">vt </w:t>
      </w:r>
      <w:proofErr w:type="spellStart"/>
      <w:r w:rsidR="00AC692E" w:rsidRPr="00AC692E">
        <w:rPr>
          <w:rFonts w:ascii="Verdana" w:hAnsi="Verdana" w:cs="ArialMT"/>
          <w:i/>
          <w:color w:val="1F497D"/>
          <w:sz w:val="18"/>
          <w:szCs w:val="18"/>
          <w:lang w:eastAsia="en-US"/>
        </w:rPr>
        <w:t>footnote</w:t>
      </w:r>
      <w:proofErr w:type="spellEnd"/>
      <w:r w:rsidR="00AC692E" w:rsidRPr="00AC692E">
        <w:rPr>
          <w:rFonts w:ascii="Verdana" w:hAnsi="Verdana" w:cs="ArialMT"/>
          <w:color w:val="1F497D"/>
          <w:sz w:val="18"/>
          <w:szCs w:val="18"/>
          <w:lang w:eastAsia="en-US"/>
        </w:rPr>
        <w:t>.</w:t>
      </w:r>
    </w:p>
    <w:p w:rsidR="00A65437" w:rsidRDefault="00A65437" w:rsidP="00A65437">
      <w:pPr>
        <w:rPr>
          <w:rFonts w:ascii="Verdana" w:hAnsi="Verdana"/>
          <w:i/>
          <w:color w:val="1F497D"/>
          <w:sz w:val="18"/>
          <w:szCs w:val="18"/>
        </w:rPr>
      </w:pPr>
    </w:p>
    <w:p w:rsidR="00A27890" w:rsidRPr="00A27890" w:rsidRDefault="00A27890" w:rsidP="00A65437">
      <w:pPr>
        <w:rPr>
          <w:rFonts w:ascii="Verdana" w:hAnsi="Verdana"/>
          <w:b/>
          <w:color w:val="1F497D"/>
          <w:sz w:val="18"/>
          <w:szCs w:val="18"/>
        </w:rPr>
      </w:pPr>
      <w:r w:rsidRPr="00A27890">
        <w:rPr>
          <w:rFonts w:ascii="Verdana" w:hAnsi="Verdana"/>
          <w:b/>
          <w:color w:val="1F497D"/>
          <w:sz w:val="18"/>
          <w:szCs w:val="18"/>
        </w:rPr>
        <w:t>Insuldirisk 100 patsiendiaasta kohta CHA2DS2-VASc algse kohordi</w:t>
      </w:r>
      <w:r w:rsidR="00487227">
        <w:rPr>
          <w:rFonts w:ascii="Verdana" w:hAnsi="Verdana"/>
          <w:b/>
          <w:color w:val="1F497D"/>
          <w:sz w:val="18"/>
          <w:szCs w:val="18"/>
        </w:rPr>
        <w:t xml:space="preserve"> (lilla veerg)</w:t>
      </w:r>
      <w:r w:rsidRPr="00A27890">
        <w:rPr>
          <w:rFonts w:ascii="Verdana" w:hAnsi="Verdana"/>
          <w:b/>
          <w:color w:val="1F497D"/>
          <w:sz w:val="18"/>
          <w:szCs w:val="18"/>
        </w:rPr>
        <w:t xml:space="preserve"> ja hiljutise uuringu</w:t>
      </w:r>
      <w:r w:rsidRPr="00A27890">
        <w:rPr>
          <w:rStyle w:val="FootnoteReference"/>
          <w:rFonts w:ascii="Verdana" w:hAnsi="Verdana"/>
          <w:b/>
          <w:color w:val="1F497D"/>
          <w:sz w:val="18"/>
          <w:szCs w:val="18"/>
        </w:rPr>
        <w:footnoteReference w:id="8"/>
      </w:r>
      <w:r w:rsidRPr="00A27890">
        <w:rPr>
          <w:rFonts w:ascii="Verdana" w:hAnsi="Verdana"/>
          <w:b/>
          <w:color w:val="1F497D"/>
          <w:sz w:val="18"/>
          <w:szCs w:val="18"/>
        </w:rPr>
        <w:t xml:space="preserve"> alusel.</w:t>
      </w:r>
    </w:p>
    <w:p w:rsidR="00AC692E" w:rsidRPr="008F5E95" w:rsidRDefault="00AC692E" w:rsidP="00A65437">
      <w:pPr>
        <w:rPr>
          <w:rFonts w:ascii="Verdana" w:hAnsi="Verdana"/>
          <w:i/>
          <w:color w:val="1F497D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</w:tblGrid>
      <w:tr w:rsidR="00A27890" w:rsidTr="00487227">
        <w:tc>
          <w:tcPr>
            <w:tcW w:w="3936" w:type="dxa"/>
          </w:tcPr>
          <w:p w:rsidR="00A27890" w:rsidRDefault="00A27890" w:rsidP="00487227">
            <w:pPr>
              <w:rPr>
                <w:rFonts w:ascii="Verdana" w:hAnsi="Verdana"/>
                <w:b/>
                <w:i/>
                <w:color w:val="1F497D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6738C96" wp14:editId="09E5210D">
                  <wp:extent cx="466667" cy="1980953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667" cy="1980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487227">
              <w:rPr>
                <w:noProof/>
              </w:rPr>
              <w:t xml:space="preserve"> </w:t>
            </w:r>
            <w:r w:rsidR="00487227">
              <w:rPr>
                <w:noProof/>
              </w:rPr>
              <w:drawing>
                <wp:inline distT="0" distB="0" distL="0" distR="0" wp14:anchorId="526CFEBA" wp14:editId="3A74F8AB">
                  <wp:extent cx="345057" cy="181154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913" cy="1810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7227">
              <w:rPr>
                <w:noProof/>
              </w:rPr>
              <w:drawing>
                <wp:inline distT="0" distB="0" distL="0" distR="0" wp14:anchorId="5B9A0550" wp14:editId="3ECAB6AA">
                  <wp:extent cx="466667" cy="2076191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667" cy="20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8F5E95" w:rsidRPr="008F5E95" w:rsidRDefault="008F5E95" w:rsidP="008F5E95">
      <w:pPr>
        <w:rPr>
          <w:rFonts w:ascii="Verdana" w:hAnsi="Verdana"/>
          <w:b/>
          <w:i/>
          <w:color w:val="1F497D"/>
          <w:sz w:val="16"/>
          <w:szCs w:val="16"/>
        </w:rPr>
      </w:pPr>
    </w:p>
    <w:p w:rsidR="00A65437" w:rsidRPr="00A65437" w:rsidRDefault="00A65437" w:rsidP="00A65437">
      <w:pPr>
        <w:rPr>
          <w:rFonts w:ascii="Verdana" w:hAnsi="Verdana"/>
          <w:b/>
          <w:i/>
          <w:color w:val="1F497D"/>
          <w:sz w:val="16"/>
          <w:szCs w:val="16"/>
        </w:rPr>
      </w:pPr>
    </w:p>
    <w:p w:rsidR="00A65437" w:rsidRPr="00A65437" w:rsidRDefault="00A65437" w:rsidP="00A65437">
      <w:pPr>
        <w:rPr>
          <w:rFonts w:ascii="Verdana" w:hAnsi="Verdana"/>
          <w:b/>
          <w:i/>
          <w:color w:val="1F497D"/>
          <w:sz w:val="16"/>
          <w:szCs w:val="16"/>
        </w:rPr>
      </w:pPr>
    </w:p>
    <w:p w:rsidR="00D2340A" w:rsidRPr="00CA7379" w:rsidRDefault="00D2340A" w:rsidP="00CA7379">
      <w:pPr>
        <w:rPr>
          <w:i/>
          <w:sz w:val="16"/>
          <w:szCs w:val="16"/>
        </w:rPr>
      </w:pPr>
    </w:p>
    <w:sectPr w:rsidR="00D2340A" w:rsidRPr="00CA7379" w:rsidSect="00CA737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3D6" w:rsidRDefault="007473D6" w:rsidP="00AC692E">
      <w:r>
        <w:separator/>
      </w:r>
    </w:p>
  </w:endnote>
  <w:endnote w:type="continuationSeparator" w:id="0">
    <w:p w:rsidR="007473D6" w:rsidRDefault="007473D6" w:rsidP="00AC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altName w:val="Calibri"/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3D6" w:rsidRDefault="007473D6" w:rsidP="00AC692E">
      <w:r>
        <w:separator/>
      </w:r>
    </w:p>
  </w:footnote>
  <w:footnote w:type="continuationSeparator" w:id="0">
    <w:p w:rsidR="007473D6" w:rsidRDefault="007473D6" w:rsidP="00AC692E">
      <w:r>
        <w:continuationSeparator/>
      </w:r>
    </w:p>
  </w:footnote>
  <w:footnote w:id="1">
    <w:p w:rsidR="00AC692E" w:rsidRPr="00AC692E" w:rsidRDefault="00AC692E">
      <w:pPr>
        <w:pStyle w:val="FootnoteText"/>
        <w:rPr>
          <w:rFonts w:ascii="Verdana" w:hAnsi="Verdana"/>
          <w:color w:val="1F497D"/>
          <w:sz w:val="16"/>
          <w:szCs w:val="16"/>
        </w:rPr>
      </w:pPr>
      <w:r w:rsidRPr="00AC692E">
        <w:rPr>
          <w:rStyle w:val="FootnoteReference"/>
          <w:rFonts w:ascii="Verdana" w:hAnsi="Verdana"/>
          <w:color w:val="1F497D"/>
          <w:sz w:val="16"/>
          <w:szCs w:val="16"/>
        </w:rPr>
        <w:footnoteRef/>
      </w:r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Hart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RG</w:t>
      </w:r>
      <w:r>
        <w:rPr>
          <w:rFonts w:ascii="Verdana" w:hAnsi="Verdana"/>
          <w:color w:val="1F497D"/>
          <w:sz w:val="16"/>
          <w:szCs w:val="16"/>
        </w:rPr>
        <w:t xml:space="preserve"> jt</w:t>
      </w:r>
      <w:r w:rsidRPr="00AC692E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Meta-analysis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: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antithrombotic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therapy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to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prevent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stroke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in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patients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who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have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nonvalvular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>. Ann Intern Med 2007; 146:857–867.</w:t>
      </w:r>
    </w:p>
  </w:footnote>
  <w:footnote w:id="2">
    <w:p w:rsidR="00AC692E" w:rsidRPr="00AC692E" w:rsidRDefault="00AC692E">
      <w:pPr>
        <w:pStyle w:val="FootnoteText"/>
        <w:rPr>
          <w:rFonts w:ascii="Verdana" w:hAnsi="Verdana"/>
          <w:color w:val="1F497D"/>
          <w:sz w:val="16"/>
          <w:szCs w:val="16"/>
        </w:rPr>
      </w:pPr>
      <w:r w:rsidRPr="00AC692E">
        <w:rPr>
          <w:rStyle w:val="FootnoteReference"/>
          <w:rFonts w:ascii="Verdana" w:hAnsi="Verdana"/>
          <w:color w:val="1F497D"/>
          <w:sz w:val="16"/>
          <w:szCs w:val="16"/>
        </w:rPr>
        <w:footnoteRef/>
      </w:r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Eckman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MH jt.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Moving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the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Tipping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Poin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. The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Decision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to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Anticoagulate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Patients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With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Circ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Cardiovasc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Qual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Outcomes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>. 2011;4:14-21.</w:t>
      </w:r>
    </w:p>
  </w:footnote>
  <w:footnote w:id="3">
    <w:p w:rsidR="00AC692E" w:rsidRPr="00AC692E" w:rsidRDefault="00AC692E">
      <w:pPr>
        <w:pStyle w:val="FootnoteText"/>
        <w:rPr>
          <w:rFonts w:ascii="Verdana" w:hAnsi="Verdana"/>
          <w:color w:val="1F497D"/>
          <w:sz w:val="16"/>
          <w:szCs w:val="16"/>
        </w:rPr>
      </w:pPr>
      <w:r w:rsidRPr="00AC692E">
        <w:rPr>
          <w:rStyle w:val="FootnoteReference"/>
          <w:rFonts w:ascii="Verdana" w:hAnsi="Verdana"/>
          <w:color w:val="1F497D"/>
          <w:sz w:val="16"/>
          <w:szCs w:val="16"/>
        </w:rPr>
        <w:footnoteRef/>
      </w:r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Joundi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RA jt.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Ischemic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stroke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risk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in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patients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with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and CHA2DS2-VASc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score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of 1: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systematic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review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and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meta-analysis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Stroke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2016;47:1364–7.</w:t>
      </w:r>
    </w:p>
  </w:footnote>
  <w:footnote w:id="4">
    <w:p w:rsidR="00AC692E" w:rsidRPr="00AC692E" w:rsidRDefault="00AC692E">
      <w:pPr>
        <w:pStyle w:val="FootnoteText"/>
        <w:rPr>
          <w:rFonts w:ascii="Verdana" w:hAnsi="Verdana"/>
          <w:color w:val="1F497D"/>
          <w:sz w:val="16"/>
          <w:szCs w:val="16"/>
        </w:rPr>
      </w:pPr>
      <w:r w:rsidRPr="00AC692E">
        <w:rPr>
          <w:rStyle w:val="FootnoteReference"/>
          <w:rFonts w:ascii="Verdana" w:hAnsi="Verdana"/>
          <w:color w:val="1F497D"/>
          <w:sz w:val="16"/>
          <w:szCs w:val="16"/>
        </w:rPr>
        <w:footnoteRef/>
      </w:r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r w:rsidRPr="00AC692E">
        <w:rPr>
          <w:rFonts w:ascii="Verdana" w:hAnsi="Verdana"/>
          <w:color w:val="1F497D"/>
          <w:sz w:val="16"/>
          <w:szCs w:val="16"/>
        </w:rPr>
        <w:t xml:space="preserve">Allan V jt. Net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clinical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benefit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of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warfarin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in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individuals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with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across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stroke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risk and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across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primary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and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secondary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care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Heart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. 2017 Feb;103(3):210-218.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doi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>: 10.1136/heartjnl-2016-309910.</w:t>
      </w:r>
    </w:p>
  </w:footnote>
  <w:footnote w:id="5">
    <w:p w:rsidR="00AC692E" w:rsidRPr="00AC692E" w:rsidRDefault="00AC692E">
      <w:pPr>
        <w:pStyle w:val="FootnoteText"/>
        <w:rPr>
          <w:rFonts w:ascii="Verdana" w:hAnsi="Verdana"/>
          <w:color w:val="1F497D"/>
          <w:sz w:val="16"/>
          <w:szCs w:val="16"/>
        </w:rPr>
      </w:pPr>
      <w:r w:rsidRPr="00AC692E">
        <w:rPr>
          <w:rStyle w:val="FootnoteReference"/>
          <w:rFonts w:ascii="Verdana" w:hAnsi="Verdana"/>
          <w:color w:val="1F497D"/>
          <w:sz w:val="16"/>
          <w:szCs w:val="16"/>
        </w:rPr>
        <w:footnoteRef/>
      </w:r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Potpara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T jt.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Decision-Making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in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Clinical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Practice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: Oral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Anticoagulant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Therapy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in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Patients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with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Non-valvular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and a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Single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Additional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Stroke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Risk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Factor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Adv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Ther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(2017) 34:357–377.</w:t>
      </w:r>
    </w:p>
  </w:footnote>
  <w:footnote w:id="6">
    <w:p w:rsidR="00AC692E" w:rsidRPr="00AC692E" w:rsidRDefault="00AC692E">
      <w:pPr>
        <w:pStyle w:val="FootnoteText"/>
        <w:rPr>
          <w:rFonts w:ascii="Verdana" w:hAnsi="Verdana"/>
          <w:color w:val="1F497D"/>
          <w:sz w:val="16"/>
          <w:szCs w:val="16"/>
        </w:rPr>
      </w:pPr>
      <w:r w:rsidRPr="00AC692E">
        <w:rPr>
          <w:rStyle w:val="FootnoteReference"/>
          <w:rFonts w:ascii="Verdana" w:hAnsi="Verdana"/>
          <w:color w:val="1F497D"/>
          <w:sz w:val="16"/>
          <w:szCs w:val="16"/>
        </w:rPr>
        <w:footnoteRef/>
      </w:r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r w:rsidRPr="00AC692E">
        <w:rPr>
          <w:rFonts w:ascii="Verdana" w:hAnsi="Verdana"/>
          <w:color w:val="1F497D"/>
          <w:sz w:val="16"/>
          <w:szCs w:val="16"/>
        </w:rPr>
        <w:t xml:space="preserve">Andrade JG jt.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Values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and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preferences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ofphysicians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and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patients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with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nonvalvular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who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receive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oral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anticoagulation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therapy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for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stroke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prevention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Can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J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Cardiol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>. 2016;32:747–53.</w:t>
      </w:r>
    </w:p>
  </w:footnote>
  <w:footnote w:id="7">
    <w:p w:rsidR="00AC692E" w:rsidRDefault="00AC692E">
      <w:pPr>
        <w:pStyle w:val="FootnoteText"/>
      </w:pPr>
      <w:r w:rsidRPr="00AC692E">
        <w:rPr>
          <w:rStyle w:val="FootnoteReference"/>
          <w:rFonts w:ascii="Verdana" w:hAnsi="Verdana"/>
          <w:color w:val="1F497D"/>
          <w:sz w:val="16"/>
          <w:szCs w:val="16"/>
        </w:rPr>
        <w:footnoteRef/>
      </w:r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Lahaye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S jt.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Evaluation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of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patients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’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attitudes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towards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stroke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prevention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and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bleeding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risk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in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C692E">
        <w:rPr>
          <w:rFonts w:ascii="Verdana" w:hAnsi="Verdana"/>
          <w:color w:val="1F497D"/>
          <w:sz w:val="16"/>
          <w:szCs w:val="16"/>
        </w:rPr>
        <w:t>Thromb</w:t>
      </w:r>
      <w:proofErr w:type="spellEnd"/>
      <w:r w:rsidRPr="00AC692E">
        <w:rPr>
          <w:rFonts w:ascii="Verdana" w:hAnsi="Verdana"/>
          <w:color w:val="1F497D"/>
          <w:sz w:val="16"/>
          <w:szCs w:val="16"/>
        </w:rPr>
        <w:t xml:space="preserve"> Haemost.2014;111:465–73.</w:t>
      </w:r>
    </w:p>
  </w:footnote>
  <w:footnote w:id="8">
    <w:p w:rsidR="00A27890" w:rsidRPr="00A27890" w:rsidRDefault="00A27890" w:rsidP="00A27890">
      <w:pPr>
        <w:pStyle w:val="FootnoteText"/>
        <w:rPr>
          <w:rFonts w:ascii="Verdana" w:hAnsi="Verdana"/>
          <w:sz w:val="16"/>
          <w:szCs w:val="16"/>
        </w:rPr>
      </w:pPr>
      <w:r w:rsidRPr="00A27890">
        <w:rPr>
          <w:rStyle w:val="FootnoteReference"/>
          <w:rFonts w:ascii="Verdana" w:hAnsi="Verdana"/>
          <w:color w:val="1F497D"/>
          <w:sz w:val="16"/>
          <w:szCs w:val="16"/>
        </w:rPr>
        <w:footnoteRef/>
      </w:r>
      <w:r w:rsidRPr="00A27890">
        <w:rPr>
          <w:rFonts w:ascii="Verdana" w:hAnsi="Verdana"/>
          <w:color w:val="1F497D"/>
          <w:sz w:val="16"/>
          <w:szCs w:val="16"/>
        </w:rPr>
        <w:t xml:space="preserve"> </w:t>
      </w:r>
      <w:r w:rsidRPr="00A27890">
        <w:rPr>
          <w:rFonts w:ascii="Verdana" w:hAnsi="Verdana"/>
          <w:color w:val="1F497D"/>
          <w:sz w:val="16"/>
          <w:szCs w:val="16"/>
        </w:rPr>
        <w:t xml:space="preserve">van </w:t>
      </w:r>
      <w:proofErr w:type="spellStart"/>
      <w:r w:rsidRPr="00A27890">
        <w:rPr>
          <w:rFonts w:ascii="Verdana" w:hAnsi="Verdana"/>
          <w:color w:val="1F497D"/>
          <w:sz w:val="16"/>
          <w:szCs w:val="16"/>
        </w:rPr>
        <w:t>den</w:t>
      </w:r>
      <w:proofErr w:type="spellEnd"/>
      <w:r w:rsidRPr="00A2789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27890">
        <w:rPr>
          <w:rFonts w:ascii="Verdana" w:hAnsi="Verdana"/>
          <w:color w:val="1F497D"/>
          <w:sz w:val="16"/>
          <w:szCs w:val="16"/>
        </w:rPr>
        <w:t>Ham</w:t>
      </w:r>
      <w:proofErr w:type="spellEnd"/>
      <w:r w:rsidRPr="00A27890">
        <w:rPr>
          <w:rFonts w:ascii="Verdana" w:hAnsi="Verdana"/>
          <w:color w:val="1F497D"/>
          <w:sz w:val="16"/>
          <w:szCs w:val="16"/>
        </w:rPr>
        <w:t xml:space="preserve"> HA jt. </w:t>
      </w:r>
      <w:proofErr w:type="spellStart"/>
      <w:r w:rsidRPr="00A27890">
        <w:rPr>
          <w:rFonts w:ascii="Verdana" w:hAnsi="Verdana"/>
          <w:color w:val="1F497D"/>
          <w:sz w:val="16"/>
          <w:szCs w:val="16"/>
        </w:rPr>
        <w:t>Comparative</w:t>
      </w:r>
      <w:proofErr w:type="spellEnd"/>
      <w:r w:rsidRPr="00A2789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27890">
        <w:rPr>
          <w:rFonts w:ascii="Verdana" w:hAnsi="Verdana"/>
          <w:color w:val="1F497D"/>
          <w:sz w:val="16"/>
          <w:szCs w:val="16"/>
        </w:rPr>
        <w:t>Performance</w:t>
      </w:r>
      <w:proofErr w:type="spellEnd"/>
      <w:r w:rsidRPr="00A27890">
        <w:rPr>
          <w:rFonts w:ascii="Verdana" w:hAnsi="Verdana"/>
          <w:color w:val="1F497D"/>
          <w:sz w:val="16"/>
          <w:szCs w:val="16"/>
        </w:rPr>
        <w:t xml:space="preserve"> of ATRIA,</w:t>
      </w:r>
      <w:r w:rsidRPr="00A27890">
        <w:rPr>
          <w:rFonts w:ascii="Verdana" w:hAnsi="Verdana"/>
          <w:color w:val="1F497D"/>
          <w:sz w:val="16"/>
          <w:szCs w:val="16"/>
        </w:rPr>
        <w:t xml:space="preserve"> </w:t>
      </w:r>
      <w:r w:rsidRPr="00A27890">
        <w:rPr>
          <w:rFonts w:ascii="Verdana" w:hAnsi="Verdana"/>
          <w:color w:val="1F497D"/>
          <w:sz w:val="16"/>
          <w:szCs w:val="16"/>
        </w:rPr>
        <w:t>CHADS2, and CHA2DS2-VASc</w:t>
      </w:r>
      <w:r w:rsidRPr="00A27890">
        <w:rPr>
          <w:rFonts w:ascii="Verdana" w:hAnsi="Verdana"/>
          <w:color w:val="1F497D"/>
          <w:sz w:val="16"/>
          <w:szCs w:val="16"/>
        </w:rPr>
        <w:t xml:space="preserve"> </w:t>
      </w:r>
      <w:r w:rsidRPr="00A27890">
        <w:rPr>
          <w:rFonts w:ascii="Verdana" w:hAnsi="Verdana"/>
          <w:color w:val="1F497D"/>
          <w:sz w:val="16"/>
          <w:szCs w:val="16"/>
        </w:rPr>
        <w:t xml:space="preserve">Risk </w:t>
      </w:r>
      <w:proofErr w:type="spellStart"/>
      <w:r w:rsidRPr="00A27890">
        <w:rPr>
          <w:rFonts w:ascii="Verdana" w:hAnsi="Verdana"/>
          <w:color w:val="1F497D"/>
          <w:sz w:val="16"/>
          <w:szCs w:val="16"/>
        </w:rPr>
        <w:t>Scores</w:t>
      </w:r>
      <w:proofErr w:type="spellEnd"/>
      <w:r w:rsidRPr="00A2789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27890">
        <w:rPr>
          <w:rFonts w:ascii="Verdana" w:hAnsi="Verdana"/>
          <w:color w:val="1F497D"/>
          <w:sz w:val="16"/>
          <w:szCs w:val="16"/>
        </w:rPr>
        <w:t>Predicting</w:t>
      </w:r>
      <w:proofErr w:type="spellEnd"/>
      <w:r w:rsidRPr="00A2789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27890">
        <w:rPr>
          <w:rFonts w:ascii="Verdana" w:hAnsi="Verdana"/>
          <w:color w:val="1F497D"/>
          <w:sz w:val="16"/>
          <w:szCs w:val="16"/>
        </w:rPr>
        <w:t>Stroke</w:t>
      </w:r>
      <w:proofErr w:type="spellEnd"/>
      <w:r w:rsidRPr="00A2789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27890">
        <w:rPr>
          <w:rFonts w:ascii="Verdana" w:hAnsi="Verdana"/>
          <w:color w:val="1F497D"/>
          <w:sz w:val="16"/>
          <w:szCs w:val="16"/>
        </w:rPr>
        <w:t>in</w:t>
      </w:r>
      <w:proofErr w:type="spellEnd"/>
      <w:r w:rsidRPr="00A2789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27890">
        <w:rPr>
          <w:rFonts w:ascii="Verdana" w:hAnsi="Verdana"/>
          <w:color w:val="1F497D"/>
          <w:sz w:val="16"/>
          <w:szCs w:val="16"/>
        </w:rPr>
        <w:t>Patients</w:t>
      </w:r>
      <w:proofErr w:type="spellEnd"/>
      <w:r w:rsidRPr="00A2789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27890">
        <w:rPr>
          <w:rFonts w:ascii="Verdana" w:hAnsi="Verdana"/>
          <w:color w:val="1F497D"/>
          <w:sz w:val="16"/>
          <w:szCs w:val="16"/>
        </w:rPr>
        <w:t>With</w:t>
      </w:r>
      <w:proofErr w:type="spellEnd"/>
      <w:r w:rsidRPr="00A2789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27890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2789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27890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27890">
        <w:rPr>
          <w:rFonts w:ascii="Verdana" w:hAnsi="Verdana"/>
          <w:color w:val="1F497D"/>
          <w:sz w:val="16"/>
          <w:szCs w:val="16"/>
        </w:rPr>
        <w:t>. JACC 2015;66(17): 1851 – 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24DD"/>
    <w:multiLevelType w:val="hybridMultilevel"/>
    <w:tmpl w:val="827E9D1C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130653"/>
    <w:multiLevelType w:val="hybridMultilevel"/>
    <w:tmpl w:val="856854DA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987658"/>
    <w:multiLevelType w:val="multilevel"/>
    <w:tmpl w:val="D82E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A662C"/>
    <w:multiLevelType w:val="multilevel"/>
    <w:tmpl w:val="DBB2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B60555"/>
    <w:multiLevelType w:val="hybridMultilevel"/>
    <w:tmpl w:val="7FF442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628C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F14226"/>
    <w:multiLevelType w:val="hybridMultilevel"/>
    <w:tmpl w:val="DFAAF752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C93A65"/>
    <w:multiLevelType w:val="hybridMultilevel"/>
    <w:tmpl w:val="E15401A4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7A7A2E"/>
    <w:multiLevelType w:val="multilevel"/>
    <w:tmpl w:val="0CF0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  <w:lvlOverride w:ilvl="0">
      <w:startOverride w:val="30"/>
    </w:lvlOverride>
  </w:num>
  <w:num w:numId="4">
    <w:abstractNumId w:val="2"/>
    <w:lvlOverride w:ilvl="0">
      <w:startOverride w:val="31"/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DE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0F3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06EC"/>
    <w:rsid w:val="00071076"/>
    <w:rsid w:val="0007107C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338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5ED"/>
    <w:rsid w:val="000A692C"/>
    <w:rsid w:val="000A7B10"/>
    <w:rsid w:val="000A7D46"/>
    <w:rsid w:val="000B0705"/>
    <w:rsid w:val="000B07C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4112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DB1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6F4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2A1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6242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454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F3"/>
    <w:rsid w:val="00253F7A"/>
    <w:rsid w:val="002541F9"/>
    <w:rsid w:val="002548FB"/>
    <w:rsid w:val="00255397"/>
    <w:rsid w:val="00255A1C"/>
    <w:rsid w:val="00255A8A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156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6437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0E7F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4A75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6F72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857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4FB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510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F53"/>
    <w:rsid w:val="003E0296"/>
    <w:rsid w:val="003E0698"/>
    <w:rsid w:val="003E0FEA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B4B"/>
    <w:rsid w:val="00401BB6"/>
    <w:rsid w:val="0040228C"/>
    <w:rsid w:val="004022B2"/>
    <w:rsid w:val="004024CA"/>
    <w:rsid w:val="004025F9"/>
    <w:rsid w:val="00402CDE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201F5"/>
    <w:rsid w:val="00420CF0"/>
    <w:rsid w:val="004211B1"/>
    <w:rsid w:val="00421476"/>
    <w:rsid w:val="00421A31"/>
    <w:rsid w:val="00422175"/>
    <w:rsid w:val="0042262A"/>
    <w:rsid w:val="0042270E"/>
    <w:rsid w:val="00422A77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394"/>
    <w:rsid w:val="004319F0"/>
    <w:rsid w:val="004320AD"/>
    <w:rsid w:val="004321FE"/>
    <w:rsid w:val="004323B4"/>
    <w:rsid w:val="00432AB7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C67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227"/>
    <w:rsid w:val="0048737F"/>
    <w:rsid w:val="004875A3"/>
    <w:rsid w:val="0049057C"/>
    <w:rsid w:val="004907DA"/>
    <w:rsid w:val="004917D6"/>
    <w:rsid w:val="00491A58"/>
    <w:rsid w:val="0049208E"/>
    <w:rsid w:val="00492EC0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1F1"/>
    <w:rsid w:val="004B25A8"/>
    <w:rsid w:val="004B3B18"/>
    <w:rsid w:val="004B4626"/>
    <w:rsid w:val="004B4B6B"/>
    <w:rsid w:val="004B4DAE"/>
    <w:rsid w:val="004B5D97"/>
    <w:rsid w:val="004B64E1"/>
    <w:rsid w:val="004B683C"/>
    <w:rsid w:val="004B71F2"/>
    <w:rsid w:val="004B738F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C58"/>
    <w:rsid w:val="004C7FC7"/>
    <w:rsid w:val="004D1135"/>
    <w:rsid w:val="004D1567"/>
    <w:rsid w:val="004D18B5"/>
    <w:rsid w:val="004D20D3"/>
    <w:rsid w:val="004D28B5"/>
    <w:rsid w:val="004D2E78"/>
    <w:rsid w:val="004D5AF9"/>
    <w:rsid w:val="004D5DD3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7C97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6A34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6EA5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702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730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5C1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278A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3C3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1969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BB7"/>
    <w:rsid w:val="00714E80"/>
    <w:rsid w:val="007155DA"/>
    <w:rsid w:val="00716388"/>
    <w:rsid w:val="0071686E"/>
    <w:rsid w:val="00717593"/>
    <w:rsid w:val="007175AA"/>
    <w:rsid w:val="007177CF"/>
    <w:rsid w:val="00720399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473D6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17D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1AB3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469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5FEC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C03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6D6F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F48"/>
    <w:rsid w:val="0087352B"/>
    <w:rsid w:val="008738B7"/>
    <w:rsid w:val="00873E4D"/>
    <w:rsid w:val="008741D5"/>
    <w:rsid w:val="00874CA4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C49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E4"/>
    <w:rsid w:val="008C39F4"/>
    <w:rsid w:val="008C3D25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0BA4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2E97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601"/>
    <w:rsid w:val="008F1E6B"/>
    <w:rsid w:val="008F22C3"/>
    <w:rsid w:val="008F3879"/>
    <w:rsid w:val="008F3CC6"/>
    <w:rsid w:val="008F3CEB"/>
    <w:rsid w:val="008F3F1A"/>
    <w:rsid w:val="008F48B1"/>
    <w:rsid w:val="008F4FE0"/>
    <w:rsid w:val="008F5E95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208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448D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58F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890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3C3"/>
    <w:rsid w:val="00A57790"/>
    <w:rsid w:val="00A57815"/>
    <w:rsid w:val="00A6076A"/>
    <w:rsid w:val="00A6108C"/>
    <w:rsid w:val="00A61A43"/>
    <w:rsid w:val="00A61B1E"/>
    <w:rsid w:val="00A6201F"/>
    <w:rsid w:val="00A62273"/>
    <w:rsid w:val="00A63619"/>
    <w:rsid w:val="00A63642"/>
    <w:rsid w:val="00A63A22"/>
    <w:rsid w:val="00A64731"/>
    <w:rsid w:val="00A64AB3"/>
    <w:rsid w:val="00A64FF3"/>
    <w:rsid w:val="00A65437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45C"/>
    <w:rsid w:val="00A84689"/>
    <w:rsid w:val="00A86009"/>
    <w:rsid w:val="00A86431"/>
    <w:rsid w:val="00A869B5"/>
    <w:rsid w:val="00A86CE7"/>
    <w:rsid w:val="00A875E1"/>
    <w:rsid w:val="00A87A25"/>
    <w:rsid w:val="00A90EC1"/>
    <w:rsid w:val="00A91375"/>
    <w:rsid w:val="00A917CD"/>
    <w:rsid w:val="00A91E40"/>
    <w:rsid w:val="00A91EF3"/>
    <w:rsid w:val="00A91FF3"/>
    <w:rsid w:val="00A92020"/>
    <w:rsid w:val="00A92AA5"/>
    <w:rsid w:val="00A92F11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2E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2DB0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5CFE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32A4"/>
    <w:rsid w:val="00B63E99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BFC"/>
    <w:rsid w:val="00B930D0"/>
    <w:rsid w:val="00B933D3"/>
    <w:rsid w:val="00B9356B"/>
    <w:rsid w:val="00B93A58"/>
    <w:rsid w:val="00B94372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052"/>
    <w:rsid w:val="00BC6430"/>
    <w:rsid w:val="00BC660B"/>
    <w:rsid w:val="00BC695E"/>
    <w:rsid w:val="00BC73A6"/>
    <w:rsid w:val="00BC78EA"/>
    <w:rsid w:val="00BC7A1C"/>
    <w:rsid w:val="00BD1E97"/>
    <w:rsid w:val="00BD20E6"/>
    <w:rsid w:val="00BD2780"/>
    <w:rsid w:val="00BD3021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C26"/>
    <w:rsid w:val="00C12D4B"/>
    <w:rsid w:val="00C13963"/>
    <w:rsid w:val="00C14773"/>
    <w:rsid w:val="00C14D74"/>
    <w:rsid w:val="00C1536E"/>
    <w:rsid w:val="00C15A94"/>
    <w:rsid w:val="00C15B5D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28A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D27"/>
    <w:rsid w:val="00C3326D"/>
    <w:rsid w:val="00C337D7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263B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379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531"/>
    <w:rsid w:val="00CB6A5B"/>
    <w:rsid w:val="00CB6B45"/>
    <w:rsid w:val="00CB6EB5"/>
    <w:rsid w:val="00CB725E"/>
    <w:rsid w:val="00CB7601"/>
    <w:rsid w:val="00CC05E8"/>
    <w:rsid w:val="00CC0C91"/>
    <w:rsid w:val="00CC0DA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68CA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1E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5B40"/>
    <w:rsid w:val="00CE6FD5"/>
    <w:rsid w:val="00CE722B"/>
    <w:rsid w:val="00CE73B4"/>
    <w:rsid w:val="00CF04ED"/>
    <w:rsid w:val="00CF080B"/>
    <w:rsid w:val="00CF08A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4EB4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40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4A3"/>
    <w:rsid w:val="00D3665E"/>
    <w:rsid w:val="00D3681A"/>
    <w:rsid w:val="00D368CA"/>
    <w:rsid w:val="00D36A6A"/>
    <w:rsid w:val="00D36ACA"/>
    <w:rsid w:val="00D37256"/>
    <w:rsid w:val="00D40736"/>
    <w:rsid w:val="00D4093A"/>
    <w:rsid w:val="00D40E68"/>
    <w:rsid w:val="00D41D3A"/>
    <w:rsid w:val="00D42AC7"/>
    <w:rsid w:val="00D4338F"/>
    <w:rsid w:val="00D434D5"/>
    <w:rsid w:val="00D43941"/>
    <w:rsid w:val="00D4469C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6EA5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B9E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0EE"/>
    <w:rsid w:val="00DE7B8A"/>
    <w:rsid w:val="00DF05F5"/>
    <w:rsid w:val="00DF08CD"/>
    <w:rsid w:val="00DF0A25"/>
    <w:rsid w:val="00DF1331"/>
    <w:rsid w:val="00DF289B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442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DA4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550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0F27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01E"/>
    <w:rsid w:val="00EF54C2"/>
    <w:rsid w:val="00EF5662"/>
    <w:rsid w:val="00EF588D"/>
    <w:rsid w:val="00EF5CF3"/>
    <w:rsid w:val="00EF60FE"/>
    <w:rsid w:val="00EF643F"/>
    <w:rsid w:val="00EF6D38"/>
    <w:rsid w:val="00EF703E"/>
    <w:rsid w:val="00F0025D"/>
    <w:rsid w:val="00F00398"/>
    <w:rsid w:val="00F0085D"/>
    <w:rsid w:val="00F008CB"/>
    <w:rsid w:val="00F00D15"/>
    <w:rsid w:val="00F00DA9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092"/>
    <w:rsid w:val="00F306BE"/>
    <w:rsid w:val="00F3080A"/>
    <w:rsid w:val="00F3103E"/>
    <w:rsid w:val="00F31327"/>
    <w:rsid w:val="00F31C42"/>
    <w:rsid w:val="00F31D8F"/>
    <w:rsid w:val="00F32045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677D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3F"/>
    <w:rsid w:val="00F500A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2D0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4CC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abstractlabel">
    <w:name w:val="sub_abstract_label"/>
    <w:rsid w:val="00402CDE"/>
    <w:rPr>
      <w:b/>
      <w:bCs/>
      <w:sz w:val="24"/>
      <w:szCs w:val="24"/>
    </w:rPr>
  </w:style>
  <w:style w:type="table" w:styleId="TableGrid">
    <w:name w:val="Table Grid"/>
    <w:basedOn w:val="TableNormal"/>
    <w:rsid w:val="0040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term-highlight1">
    <w:name w:val="search-term-highlight1"/>
    <w:rsid w:val="00196F4C"/>
    <w:rPr>
      <w:b/>
      <w:bCs/>
      <w:color w:val="CC0000"/>
    </w:rPr>
  </w:style>
  <w:style w:type="character" w:styleId="HTMLCite">
    <w:name w:val="HTML Cite"/>
    <w:rsid w:val="00C337D7"/>
    <w:rPr>
      <w:i/>
      <w:iCs/>
    </w:rPr>
  </w:style>
  <w:style w:type="character" w:customStyle="1" w:styleId="cit-vol1">
    <w:name w:val="cit-vol1"/>
    <w:rsid w:val="00C337D7"/>
    <w:rPr>
      <w:b w:val="0"/>
      <w:bCs w:val="0"/>
    </w:rPr>
  </w:style>
  <w:style w:type="character" w:customStyle="1" w:styleId="cit-title1">
    <w:name w:val="cit-title1"/>
    <w:basedOn w:val="DefaultParagraphFont"/>
    <w:rsid w:val="00C337D7"/>
  </w:style>
  <w:style w:type="character" w:customStyle="1" w:styleId="cit-authcit-auth-type-author">
    <w:name w:val="cit-auth cit-auth-type-author"/>
    <w:basedOn w:val="DefaultParagraphFont"/>
    <w:rsid w:val="00C337D7"/>
  </w:style>
  <w:style w:type="character" w:customStyle="1" w:styleId="cit-sepcit-sep-separator">
    <w:name w:val="cit-sep cit-sep-separator"/>
    <w:basedOn w:val="DefaultParagraphFont"/>
    <w:rsid w:val="00C337D7"/>
  </w:style>
  <w:style w:type="character" w:customStyle="1" w:styleId="cit-print-date">
    <w:name w:val="cit-print-date"/>
    <w:basedOn w:val="DefaultParagraphFont"/>
    <w:rsid w:val="00C337D7"/>
  </w:style>
  <w:style w:type="character" w:customStyle="1" w:styleId="cit-sepcit-sep-after-article-print-date">
    <w:name w:val="cit-sep cit-sep-after-article-print-date"/>
    <w:basedOn w:val="DefaultParagraphFont"/>
    <w:rsid w:val="00C337D7"/>
  </w:style>
  <w:style w:type="character" w:customStyle="1" w:styleId="cit-sepcit-sep-after-article-vol">
    <w:name w:val="cit-sep cit-sep-after-article-vol"/>
    <w:basedOn w:val="DefaultParagraphFont"/>
    <w:rsid w:val="00C337D7"/>
  </w:style>
  <w:style w:type="character" w:customStyle="1" w:styleId="cit-first-page">
    <w:name w:val="cit-first-page"/>
    <w:basedOn w:val="DefaultParagraphFont"/>
    <w:rsid w:val="00C337D7"/>
  </w:style>
  <w:style w:type="character" w:styleId="Hyperlink">
    <w:name w:val="Hyperlink"/>
    <w:rsid w:val="00BC6052"/>
    <w:rPr>
      <w:color w:val="0000FF"/>
      <w:u w:val="single"/>
    </w:rPr>
  </w:style>
  <w:style w:type="character" w:styleId="Emphasis">
    <w:name w:val="Emphasis"/>
    <w:qFormat/>
    <w:rsid w:val="00BC6052"/>
    <w:rPr>
      <w:i/>
      <w:iCs/>
    </w:rPr>
  </w:style>
  <w:style w:type="paragraph" w:customStyle="1" w:styleId="p1">
    <w:name w:val="p1"/>
    <w:basedOn w:val="Normal"/>
    <w:rsid w:val="00C7263B"/>
    <w:rPr>
      <w:rFonts w:ascii="Times" w:hAnsi="Times"/>
      <w:sz w:val="15"/>
      <w:szCs w:val="15"/>
      <w:lang w:val="en-GB" w:eastAsia="en-GB"/>
    </w:rPr>
  </w:style>
  <w:style w:type="character" w:customStyle="1" w:styleId="apple-converted-space">
    <w:name w:val="apple-converted-space"/>
    <w:rsid w:val="00C7263B"/>
  </w:style>
  <w:style w:type="paragraph" w:styleId="BalloonText">
    <w:name w:val="Balloon Text"/>
    <w:basedOn w:val="Normal"/>
    <w:link w:val="BalloonTextChar"/>
    <w:rsid w:val="009F5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558F"/>
    <w:rPr>
      <w:rFonts w:ascii="Tahoma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72"/>
    <w:qFormat/>
    <w:rsid w:val="008C39E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C69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C692E"/>
    <w:rPr>
      <w:lang w:eastAsia="et-EE"/>
    </w:rPr>
  </w:style>
  <w:style w:type="character" w:styleId="FootnoteReference">
    <w:name w:val="footnote reference"/>
    <w:basedOn w:val="DefaultParagraphFont"/>
    <w:rsid w:val="00AC69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abstractlabel">
    <w:name w:val="sub_abstract_label"/>
    <w:rsid w:val="00402CDE"/>
    <w:rPr>
      <w:b/>
      <w:bCs/>
      <w:sz w:val="24"/>
      <w:szCs w:val="24"/>
    </w:rPr>
  </w:style>
  <w:style w:type="table" w:styleId="TableGrid">
    <w:name w:val="Table Grid"/>
    <w:basedOn w:val="TableNormal"/>
    <w:rsid w:val="0040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term-highlight1">
    <w:name w:val="search-term-highlight1"/>
    <w:rsid w:val="00196F4C"/>
    <w:rPr>
      <w:b/>
      <w:bCs/>
      <w:color w:val="CC0000"/>
    </w:rPr>
  </w:style>
  <w:style w:type="character" w:styleId="HTMLCite">
    <w:name w:val="HTML Cite"/>
    <w:rsid w:val="00C337D7"/>
    <w:rPr>
      <w:i/>
      <w:iCs/>
    </w:rPr>
  </w:style>
  <w:style w:type="character" w:customStyle="1" w:styleId="cit-vol1">
    <w:name w:val="cit-vol1"/>
    <w:rsid w:val="00C337D7"/>
    <w:rPr>
      <w:b w:val="0"/>
      <w:bCs w:val="0"/>
    </w:rPr>
  </w:style>
  <w:style w:type="character" w:customStyle="1" w:styleId="cit-title1">
    <w:name w:val="cit-title1"/>
    <w:basedOn w:val="DefaultParagraphFont"/>
    <w:rsid w:val="00C337D7"/>
  </w:style>
  <w:style w:type="character" w:customStyle="1" w:styleId="cit-authcit-auth-type-author">
    <w:name w:val="cit-auth cit-auth-type-author"/>
    <w:basedOn w:val="DefaultParagraphFont"/>
    <w:rsid w:val="00C337D7"/>
  </w:style>
  <w:style w:type="character" w:customStyle="1" w:styleId="cit-sepcit-sep-separator">
    <w:name w:val="cit-sep cit-sep-separator"/>
    <w:basedOn w:val="DefaultParagraphFont"/>
    <w:rsid w:val="00C337D7"/>
  </w:style>
  <w:style w:type="character" w:customStyle="1" w:styleId="cit-print-date">
    <w:name w:val="cit-print-date"/>
    <w:basedOn w:val="DefaultParagraphFont"/>
    <w:rsid w:val="00C337D7"/>
  </w:style>
  <w:style w:type="character" w:customStyle="1" w:styleId="cit-sepcit-sep-after-article-print-date">
    <w:name w:val="cit-sep cit-sep-after-article-print-date"/>
    <w:basedOn w:val="DefaultParagraphFont"/>
    <w:rsid w:val="00C337D7"/>
  </w:style>
  <w:style w:type="character" w:customStyle="1" w:styleId="cit-sepcit-sep-after-article-vol">
    <w:name w:val="cit-sep cit-sep-after-article-vol"/>
    <w:basedOn w:val="DefaultParagraphFont"/>
    <w:rsid w:val="00C337D7"/>
  </w:style>
  <w:style w:type="character" w:customStyle="1" w:styleId="cit-first-page">
    <w:name w:val="cit-first-page"/>
    <w:basedOn w:val="DefaultParagraphFont"/>
    <w:rsid w:val="00C337D7"/>
  </w:style>
  <w:style w:type="character" w:styleId="Hyperlink">
    <w:name w:val="Hyperlink"/>
    <w:rsid w:val="00BC6052"/>
    <w:rPr>
      <w:color w:val="0000FF"/>
      <w:u w:val="single"/>
    </w:rPr>
  </w:style>
  <w:style w:type="character" w:styleId="Emphasis">
    <w:name w:val="Emphasis"/>
    <w:qFormat/>
    <w:rsid w:val="00BC6052"/>
    <w:rPr>
      <w:i/>
      <w:iCs/>
    </w:rPr>
  </w:style>
  <w:style w:type="paragraph" w:customStyle="1" w:styleId="p1">
    <w:name w:val="p1"/>
    <w:basedOn w:val="Normal"/>
    <w:rsid w:val="00C7263B"/>
    <w:rPr>
      <w:rFonts w:ascii="Times" w:hAnsi="Times"/>
      <w:sz w:val="15"/>
      <w:szCs w:val="15"/>
      <w:lang w:val="en-GB" w:eastAsia="en-GB"/>
    </w:rPr>
  </w:style>
  <w:style w:type="character" w:customStyle="1" w:styleId="apple-converted-space">
    <w:name w:val="apple-converted-space"/>
    <w:rsid w:val="00C7263B"/>
  </w:style>
  <w:style w:type="paragraph" w:styleId="BalloonText">
    <w:name w:val="Balloon Text"/>
    <w:basedOn w:val="Normal"/>
    <w:link w:val="BalloonTextChar"/>
    <w:rsid w:val="009F5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558F"/>
    <w:rPr>
      <w:rFonts w:ascii="Tahoma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72"/>
    <w:qFormat/>
    <w:rsid w:val="008C39E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C69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C692E"/>
    <w:rPr>
      <w:lang w:eastAsia="et-EE"/>
    </w:rPr>
  </w:style>
  <w:style w:type="character" w:styleId="FootnoteReference">
    <w:name w:val="footnote reference"/>
    <w:basedOn w:val="DefaultParagraphFont"/>
    <w:rsid w:val="00AC6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0559">
              <w:marLeft w:val="0"/>
              <w:marRight w:val="0"/>
              <w:marTop w:val="0"/>
              <w:marBottom w:val="0"/>
              <w:divBdr>
                <w:top w:val="single" w:sz="2" w:space="0" w:color="B8B6B6"/>
                <w:left w:val="single" w:sz="6" w:space="0" w:color="B8B6B6"/>
                <w:bottom w:val="single" w:sz="6" w:space="0" w:color="B8B6B6"/>
                <w:right w:val="single" w:sz="6" w:space="0" w:color="B8B6B6"/>
              </w:divBdr>
              <w:divsChild>
                <w:div w:id="15271389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88029">
                          <w:marLeft w:val="15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405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17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1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8AA6B8D-25C2-4656-993C-C55B4B90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682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Non-pharmacological treatment</vt:lpstr>
    </vt:vector>
  </TitlesOfParts>
  <Company>Ravimiamet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Non-pharmacological treatment</dc:title>
  <dc:creator>Kasutaja</dc:creator>
  <cp:lastModifiedBy>Alar Irs</cp:lastModifiedBy>
  <cp:revision>5</cp:revision>
  <dcterms:created xsi:type="dcterms:W3CDTF">2017-09-09T18:02:00Z</dcterms:created>
  <dcterms:modified xsi:type="dcterms:W3CDTF">2017-09-10T16:55:00Z</dcterms:modified>
</cp:coreProperties>
</file>