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731622" w:rsidR="002C0E7F" w:rsidP="7BB9BC80" w:rsidRDefault="0050263B" w14:paraId="79F6AB4C" wp14:textId="77777777">
      <w:pPr>
        <w:rPr>
          <w:rFonts w:ascii="Verdana" w:hAnsi="Verdana"/>
          <w:b w:val="1"/>
          <w:bCs w:val="1"/>
          <w:color w:val="C00000"/>
          <w:sz w:val="18"/>
          <w:szCs w:val="18"/>
        </w:rPr>
      </w:pPr>
      <w:r w:rsidRPr="7BB9BC80" w:rsidR="7BB9BC80">
        <w:rPr>
          <w:rFonts w:ascii="Verdana" w:hAnsi="Verdana"/>
          <w:b w:val="1"/>
          <w:bCs w:val="1"/>
          <w:color w:val="C00000"/>
          <w:sz w:val="18"/>
          <w:szCs w:val="18"/>
        </w:rPr>
        <w:t xml:space="preserve">Madala(ma) trombembooliariskiga KVA patsiendi </w:t>
      </w:r>
      <w:proofErr w:type="spellStart"/>
      <w:r w:rsidRPr="7BB9BC80" w:rsidR="7BB9BC80">
        <w:rPr>
          <w:rFonts w:ascii="Verdana" w:hAnsi="Verdana"/>
          <w:b w:val="1"/>
          <w:bCs w:val="1"/>
          <w:color w:val="C00000"/>
          <w:sz w:val="18"/>
          <w:szCs w:val="18"/>
        </w:rPr>
        <w:t>antitrombootiline</w:t>
      </w:r>
      <w:proofErr w:type="spellEnd"/>
      <w:r w:rsidRPr="7BB9BC80" w:rsidR="7BB9BC80">
        <w:rPr>
          <w:rFonts w:ascii="Verdana" w:hAnsi="Verdana"/>
          <w:b w:val="1"/>
          <w:bCs w:val="1"/>
          <w:color w:val="C00000"/>
          <w:sz w:val="18"/>
          <w:szCs w:val="18"/>
        </w:rPr>
        <w:t xml:space="preserve"> ravi</w:t>
      </w:r>
      <w:r w:rsidRPr="7BB9BC80" w:rsidR="7BB9BC80">
        <w:rPr>
          <w:rFonts w:ascii="Verdana" w:hAnsi="Verdana"/>
          <w:b w:val="1"/>
          <w:bCs w:val="1"/>
          <w:color w:val="C00000"/>
          <w:sz w:val="18"/>
          <w:szCs w:val="18"/>
        </w:rPr>
        <w:t xml:space="preserve"> – kliinilise tõenduse kokkuvõte</w:t>
      </w:r>
    </w:p>
    <w:p xmlns:wp14="http://schemas.microsoft.com/office/word/2010/wordml" w:rsidRPr="00731622" w:rsidR="002C0E7F" w:rsidP="003B0510" w:rsidRDefault="002C0E7F" w14:paraId="510764AE" wp14:textId="77777777">
      <w:pPr>
        <w:rPr>
          <w:rFonts w:ascii="Verdana" w:hAnsi="Verdana"/>
          <w:bCs/>
          <w:color w:val="1F497D"/>
          <w:sz w:val="18"/>
          <w:szCs w:val="18"/>
        </w:rPr>
      </w:pPr>
    </w:p>
    <w:p xmlns:wp14="http://schemas.microsoft.com/office/word/2010/wordml" w:rsidRPr="00731622" w:rsidR="00731622" w:rsidP="458ADAC5" w:rsidRDefault="002C0E7F" w14:paraId="6E334AD9" wp14:textId="77777777" wp14:noSpellErr="1">
      <w:pPr>
        <w:rPr>
          <w:rFonts w:ascii="Verdana" w:hAnsi="Verdana"/>
          <w:color w:val="1F497D"/>
          <w:sz w:val="18"/>
          <w:szCs w:val="18"/>
        </w:rPr>
      </w:pPr>
      <w:r w:rsidRPr="458ADAC5" w:rsidR="458ADAC5">
        <w:rPr>
          <w:rFonts w:ascii="Verdana" w:hAnsi="Verdana"/>
          <w:b w:val="1"/>
          <w:bCs w:val="1"/>
          <w:color w:val="1F497D"/>
          <w:sz w:val="18"/>
          <w:szCs w:val="18"/>
        </w:rPr>
        <w:t>Kliiniline küsimus</w:t>
      </w:r>
      <w:r w:rsidRPr="458ADAC5" w:rsidR="458ADAC5">
        <w:rPr>
          <w:rFonts w:ascii="Verdana" w:hAnsi="Verdana"/>
          <w:color w:val="1F497D"/>
          <w:sz w:val="18"/>
          <w:szCs w:val="18"/>
        </w:rPr>
        <w:t xml:space="preserve"> </w:t>
      </w:r>
    </w:p>
    <w:p xmlns:wp14="http://schemas.microsoft.com/office/word/2010/wordml" w:rsidRPr="00731622" w:rsidR="0050263B" w:rsidP="7BB9BC80" w:rsidRDefault="0050263B" w14:paraId="3AF626F4" wp14:textId="77777777">
      <w:pPr>
        <w:rPr>
          <w:rFonts w:ascii="Verdana" w:hAnsi="Verdana"/>
          <w:color w:val="1F497D"/>
          <w:sz w:val="18"/>
          <w:szCs w:val="18"/>
        </w:rPr>
      </w:pPr>
      <w:r w:rsidRPr="7BB9BC80" w:rsidR="7BB9BC80">
        <w:rPr>
          <w:rFonts w:ascii="Verdana" w:hAnsi="Verdana"/>
          <w:color w:val="1F497D"/>
          <w:sz w:val="18"/>
          <w:szCs w:val="18"/>
        </w:rPr>
        <w:t xml:space="preserve">Kas madala(ma) trombembooliariskiga KVA patsientidel tuleks </w:t>
      </w:r>
      <w:proofErr w:type="spellStart"/>
      <w:r w:rsidRPr="7BB9BC80" w:rsidR="7BB9BC80">
        <w:rPr>
          <w:rFonts w:ascii="Verdana" w:hAnsi="Verdana"/>
          <w:color w:val="1F497D"/>
          <w:sz w:val="18"/>
          <w:szCs w:val="18"/>
        </w:rPr>
        <w:t>tromboprofülaktikaks</w:t>
      </w:r>
      <w:proofErr w:type="spellEnd"/>
      <w:r w:rsidRPr="7BB9BC80" w:rsidR="7BB9BC80">
        <w:rPr>
          <w:rFonts w:ascii="Verdana" w:hAnsi="Verdana"/>
          <w:color w:val="1F497D"/>
          <w:sz w:val="18"/>
          <w:szCs w:val="18"/>
        </w:rPr>
        <w:t xml:space="preserve"> </w:t>
      </w:r>
      <w:r w:rsidRPr="7BB9BC80" w:rsidR="7BB9BC80">
        <w:rPr>
          <w:rFonts w:ascii="Verdana" w:hAnsi="Verdana"/>
          <w:color w:val="1F497D"/>
          <w:sz w:val="18"/>
          <w:szCs w:val="18"/>
        </w:rPr>
        <w:t xml:space="preserve">kasutada </w:t>
      </w:r>
      <w:proofErr w:type="spellStart"/>
      <w:r w:rsidRPr="7BB9BC80" w:rsidR="7BB9BC80">
        <w:rPr>
          <w:rFonts w:ascii="Verdana" w:hAnsi="Verdana"/>
          <w:color w:val="1F497D"/>
          <w:sz w:val="18"/>
          <w:szCs w:val="18"/>
        </w:rPr>
        <w:t>antiagregante</w:t>
      </w:r>
      <w:proofErr w:type="spellEnd"/>
      <w:r w:rsidRPr="7BB9BC80" w:rsidR="7BB9BC80">
        <w:rPr>
          <w:rFonts w:ascii="Verdana" w:hAnsi="Verdana"/>
          <w:color w:val="1F497D"/>
          <w:sz w:val="18"/>
          <w:szCs w:val="18"/>
        </w:rPr>
        <w:t xml:space="preserve"> vs ei</w:t>
      </w:r>
      <w:r w:rsidRPr="7BB9BC80" w:rsidR="7BB9BC80">
        <w:rPr>
          <w:rFonts w:ascii="Verdana" w:hAnsi="Verdana"/>
          <w:color w:val="1F497D"/>
          <w:sz w:val="18"/>
          <w:szCs w:val="18"/>
        </w:rPr>
        <w:t xml:space="preserve"> </w:t>
      </w:r>
      <w:r w:rsidRPr="7BB9BC80" w:rsidR="7BB9BC80">
        <w:rPr>
          <w:rFonts w:ascii="Verdana" w:hAnsi="Verdana"/>
          <w:color w:val="1F497D"/>
          <w:sz w:val="18"/>
          <w:szCs w:val="18"/>
        </w:rPr>
        <w:t xml:space="preserve">midagi vs </w:t>
      </w:r>
      <w:proofErr w:type="spellStart"/>
      <w:r w:rsidRPr="7BB9BC80" w:rsidR="7BB9BC80">
        <w:rPr>
          <w:rFonts w:ascii="Verdana" w:hAnsi="Verdana"/>
          <w:color w:val="1F497D"/>
          <w:sz w:val="18"/>
          <w:szCs w:val="18"/>
        </w:rPr>
        <w:t>antikoagulante</w:t>
      </w:r>
      <w:proofErr w:type="spellEnd"/>
      <w:r w:rsidRPr="7BB9BC80" w:rsidR="7BB9BC80">
        <w:rPr>
          <w:rFonts w:ascii="Verdana" w:hAnsi="Verdana"/>
          <w:color w:val="1F497D"/>
          <w:sz w:val="18"/>
          <w:szCs w:val="18"/>
        </w:rPr>
        <w:t>?</w:t>
      </w:r>
    </w:p>
    <w:p xmlns:wp14="http://schemas.microsoft.com/office/word/2010/wordml" w:rsidRPr="00731622" w:rsidR="003B0510" w:rsidP="003B0510" w:rsidRDefault="003B0510" w14:paraId="3C4B9A5F" wp14:textId="77777777">
      <w:pPr>
        <w:rPr>
          <w:rFonts w:ascii="Verdana" w:hAnsi="Verdana"/>
          <w:b/>
          <w:color w:val="1F497D"/>
          <w:sz w:val="18"/>
          <w:szCs w:val="18"/>
        </w:rPr>
      </w:pPr>
    </w:p>
    <w:p xmlns:wp14="http://schemas.microsoft.com/office/word/2010/wordml" w:rsidRPr="00731622" w:rsidR="00731622" w:rsidP="458ADAC5" w:rsidRDefault="002C0E7F" w14:paraId="00008D23" wp14:textId="77777777" wp14:noSpellErr="1">
      <w:pPr>
        <w:rPr>
          <w:rFonts w:ascii="Verdana" w:hAnsi="Verdana"/>
          <w:b w:val="1"/>
          <w:bCs w:val="1"/>
          <w:color w:val="1F497D"/>
          <w:sz w:val="18"/>
          <w:szCs w:val="18"/>
        </w:rPr>
      </w:pPr>
      <w:r w:rsidRPr="458ADAC5" w:rsidR="458ADAC5">
        <w:rPr>
          <w:rFonts w:ascii="Verdana" w:hAnsi="Verdana"/>
          <w:b w:val="1"/>
          <w:bCs w:val="1"/>
          <w:color w:val="1F497D"/>
          <w:sz w:val="18"/>
          <w:szCs w:val="18"/>
        </w:rPr>
        <w:t xml:space="preserve">Olulised tulemusnäitajad </w:t>
      </w:r>
    </w:p>
    <w:p xmlns:wp14="http://schemas.microsoft.com/office/word/2010/wordml" w:rsidRPr="00731622" w:rsidR="002C0E7F" w:rsidP="458ADAC5" w:rsidRDefault="00731622" w14:paraId="316CEABF" wp14:textId="77777777" wp14:noSpellErr="1">
      <w:pPr>
        <w:rPr>
          <w:rFonts w:ascii="Verdana" w:hAnsi="Verdana"/>
          <w:color w:val="1F497D"/>
          <w:sz w:val="18"/>
          <w:szCs w:val="18"/>
        </w:rPr>
      </w:pPr>
      <w:r w:rsidRPr="458ADAC5" w:rsidR="458ADAC5">
        <w:rPr>
          <w:rFonts w:ascii="Verdana" w:hAnsi="Verdana"/>
          <w:color w:val="1F497D"/>
          <w:sz w:val="18"/>
          <w:szCs w:val="18"/>
        </w:rPr>
        <w:t>S</w:t>
      </w:r>
      <w:r w:rsidRPr="458ADAC5" w:rsidR="458ADAC5">
        <w:rPr>
          <w:rFonts w:ascii="Verdana" w:hAnsi="Verdana"/>
          <w:color w:val="1F497D"/>
          <w:sz w:val="18"/>
          <w:szCs w:val="18"/>
        </w:rPr>
        <w:t>urm, ajuinfarkt, trombemboolia, oluline verejooks, elukvaliteet, koljusisene verejooks, tõsine kõrvaltoime.</w:t>
      </w:r>
    </w:p>
    <w:p xmlns:wp14="http://schemas.microsoft.com/office/word/2010/wordml" w:rsidRPr="00731622" w:rsidR="003B0510" w:rsidP="003B0510" w:rsidRDefault="003B0510" w14:paraId="398489FB" wp14:textId="77777777">
      <w:pPr>
        <w:shd w:val="clear" w:color="auto" w:fill="FFFFFF"/>
        <w:spacing w:after="120"/>
        <w:ind w:right="240"/>
        <w:jc w:val="both"/>
        <w:rPr>
          <w:rFonts w:ascii="Verdana" w:hAnsi="Verdana"/>
          <w:color w:val="000080"/>
          <w:sz w:val="18"/>
          <w:szCs w:val="18"/>
        </w:rPr>
      </w:pPr>
    </w:p>
    <w:p xmlns:wp14="http://schemas.microsoft.com/office/word/2010/wordml" w:rsidRPr="00731622" w:rsidR="00650D1E" w:rsidP="7BB9BC80" w:rsidRDefault="00650D1E" w14:paraId="0E2D78A1"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b w:val="1"/>
          <w:bCs w:val="1"/>
          <w:color w:val="1F497D"/>
          <w:sz w:val="18"/>
          <w:szCs w:val="18"/>
        </w:rPr>
      </w:pPr>
      <w:r w:rsidRPr="7BB9BC80" w:rsidR="7BB9BC80">
        <w:rPr>
          <w:rFonts w:ascii="Verdana" w:hAnsi="Verdana" w:cs="ArialMT"/>
          <w:b w:val="1"/>
          <w:bCs w:val="1"/>
          <w:color w:val="1F497D"/>
          <w:sz w:val="18"/>
          <w:szCs w:val="18"/>
          <w:lang w:eastAsia="en-US"/>
        </w:rPr>
        <w:t>CHA2DS2-VASc</w:t>
      </w:r>
      <w:r w:rsidRPr="7BB9BC80" w:rsidR="7BB9BC80">
        <w:rPr>
          <w:rFonts w:ascii="Verdana" w:hAnsi="Verdana" w:cs="ArialMT"/>
          <w:b w:val="1"/>
          <w:bCs w:val="1"/>
          <w:color w:val="1F497D"/>
          <w:sz w:val="18"/>
          <w:szCs w:val="18"/>
          <w:lang w:eastAsia="en-US"/>
        </w:rPr>
        <w:t xml:space="preserve"> skoor</w:t>
      </w:r>
      <w:r w:rsidRPr="7BB9BC80" w:rsidR="7BB9BC80">
        <w:rPr>
          <w:rFonts w:ascii="Verdana" w:hAnsi="Verdana" w:cs="ArialMT"/>
          <w:b w:val="1"/>
          <w:bCs w:val="1"/>
          <w:color w:val="1F497D"/>
          <w:sz w:val="18"/>
          <w:szCs w:val="18"/>
          <w:lang w:eastAsia="en-US"/>
        </w:rPr>
        <w:t xml:space="preserve"> ja </w:t>
      </w:r>
      <w:proofErr w:type="spellStart"/>
      <w:r w:rsidRPr="7BB9BC80" w:rsidR="7BB9BC80">
        <w:rPr>
          <w:rFonts w:ascii="Verdana" w:hAnsi="Verdana" w:cs="ArialMT"/>
          <w:b w:val="1"/>
          <w:bCs w:val="1"/>
          <w:color w:val="1F497D"/>
          <w:sz w:val="18"/>
          <w:szCs w:val="18"/>
          <w:lang w:eastAsia="en-US"/>
        </w:rPr>
        <w:t>atsetüülsalitsüülhape</w:t>
      </w:r>
      <w:proofErr w:type="spellEnd"/>
      <w:r w:rsidRPr="7BB9BC80" w:rsidR="7BB9BC80">
        <w:rPr>
          <w:rFonts w:ascii="Verdana" w:hAnsi="Verdana" w:cs="ArialMT"/>
          <w:b w:val="1"/>
          <w:bCs w:val="1"/>
          <w:color w:val="1F497D"/>
          <w:sz w:val="18"/>
          <w:szCs w:val="18"/>
          <w:lang w:eastAsia="en-US"/>
        </w:rPr>
        <w:t xml:space="preserve"> (ASH)</w:t>
      </w:r>
    </w:p>
    <w:p xmlns:wp14="http://schemas.microsoft.com/office/word/2010/wordml" w:rsidRPr="00731622" w:rsidR="002C0E7F" w:rsidP="458ADAC5" w:rsidRDefault="00F124E9" w14:paraId="45CD61CC" wp14:textId="77777777" wp14:noSpellErr="1">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olor w:val="1F497D"/>
          <w:sz w:val="18"/>
          <w:szCs w:val="18"/>
        </w:rPr>
      </w:pPr>
      <w:r w:rsidRPr="458ADAC5" w:rsidR="458ADAC5">
        <w:rPr>
          <w:rFonts w:ascii="Verdana" w:hAnsi="Verdana"/>
          <w:color w:val="1F497D"/>
          <w:sz w:val="18"/>
          <w:szCs w:val="18"/>
        </w:rPr>
        <w:t>Puudu</w:t>
      </w:r>
      <w:r w:rsidRPr="458ADAC5" w:rsidR="458ADAC5">
        <w:rPr>
          <w:rFonts w:ascii="Verdana" w:hAnsi="Verdana"/>
          <w:color w:val="1F497D"/>
          <w:sz w:val="18"/>
          <w:szCs w:val="18"/>
        </w:rPr>
        <w:t xml:space="preserve">vad </w:t>
      </w:r>
      <w:r w:rsidRPr="458ADAC5" w:rsidR="458ADAC5">
        <w:rPr>
          <w:rFonts w:ascii="Verdana" w:hAnsi="Verdana"/>
          <w:color w:val="1F497D"/>
          <w:sz w:val="18"/>
          <w:szCs w:val="18"/>
        </w:rPr>
        <w:t xml:space="preserve">randomiseeritud kliinilised </w:t>
      </w:r>
      <w:r w:rsidRPr="458ADAC5" w:rsidR="458ADAC5">
        <w:rPr>
          <w:rFonts w:ascii="Verdana" w:hAnsi="Verdana"/>
          <w:color w:val="1F497D"/>
          <w:sz w:val="18"/>
          <w:szCs w:val="18"/>
        </w:rPr>
        <w:t xml:space="preserve">uuringud, mis hindaks </w:t>
      </w:r>
      <w:r w:rsidRPr="458ADAC5" w:rsidR="458ADAC5">
        <w:rPr>
          <w:rFonts w:ascii="Verdana" w:hAnsi="Verdana" w:cs="ArialMT"/>
          <w:color w:val="1F497D"/>
          <w:sz w:val="18"/>
          <w:szCs w:val="18"/>
          <w:lang w:eastAsia="en-US"/>
        </w:rPr>
        <w:t>ASH</w:t>
      </w:r>
      <w:r w:rsidRPr="458ADAC5" w:rsidR="458ADAC5">
        <w:rPr>
          <w:rFonts w:ascii="Verdana" w:hAnsi="Verdana" w:cs="ArialMT"/>
          <w:color w:val="1F497D"/>
          <w:sz w:val="18"/>
          <w:szCs w:val="18"/>
          <w:lang w:eastAsia="en-US"/>
        </w:rPr>
        <w:t xml:space="preserve"> kasutamist </w:t>
      </w:r>
      <w:r w:rsidRPr="458ADAC5" w:rsidR="458ADAC5">
        <w:rPr>
          <w:rFonts w:ascii="Verdana" w:hAnsi="Verdana"/>
          <w:color w:val="1F497D"/>
          <w:sz w:val="18"/>
          <w:szCs w:val="18"/>
        </w:rPr>
        <w:t xml:space="preserve">ajuinsuldi </w:t>
      </w:r>
      <w:r w:rsidRPr="458ADAC5" w:rsidR="458ADAC5">
        <w:rPr>
          <w:rFonts w:ascii="Verdana" w:hAnsi="Verdana"/>
          <w:color w:val="1F497D"/>
          <w:sz w:val="18"/>
          <w:szCs w:val="18"/>
        </w:rPr>
        <w:t>madala</w:t>
      </w:r>
      <w:r w:rsidRPr="458ADAC5" w:rsidR="458ADAC5">
        <w:rPr>
          <w:rFonts w:ascii="Verdana" w:hAnsi="Verdana"/>
          <w:color w:val="1F497D"/>
          <w:sz w:val="18"/>
          <w:szCs w:val="18"/>
        </w:rPr>
        <w:t xml:space="preserve"> riskiga patsientide</w:t>
      </w:r>
      <w:r w:rsidRPr="458ADAC5" w:rsidR="458ADAC5">
        <w:rPr>
          <w:rFonts w:ascii="Verdana" w:hAnsi="Verdana"/>
          <w:color w:val="1F497D"/>
          <w:sz w:val="18"/>
          <w:szCs w:val="18"/>
        </w:rPr>
        <w:t>l</w:t>
      </w:r>
      <w:r w:rsidRPr="458ADAC5" w:rsidR="458ADAC5">
        <w:rPr>
          <w:rFonts w:ascii="Verdana" w:hAnsi="Verdana"/>
          <w:color w:val="1F497D"/>
          <w:sz w:val="18"/>
          <w:szCs w:val="18"/>
        </w:rPr>
        <w:t xml:space="preserve"> </w:t>
      </w:r>
      <w:r w:rsidRPr="458ADAC5" w:rsidR="458ADAC5">
        <w:rPr>
          <w:rFonts w:ascii="Verdana" w:hAnsi="Verdana"/>
          <w:color w:val="1F497D"/>
          <w:sz w:val="18"/>
          <w:szCs w:val="18"/>
        </w:rPr>
        <w:t>(CHA2DS2-VASc = 0</w:t>
      </w:r>
      <w:r w:rsidRPr="458ADAC5" w:rsidR="458ADAC5">
        <w:rPr>
          <w:rFonts w:ascii="Verdana" w:hAnsi="Verdana"/>
          <w:color w:val="1F497D"/>
          <w:sz w:val="18"/>
          <w:szCs w:val="18"/>
        </w:rPr>
        <w:t xml:space="preserve"> meestel ja</w:t>
      </w:r>
      <w:r w:rsidRPr="458ADAC5" w:rsidR="458ADAC5">
        <w:rPr>
          <w:rFonts w:ascii="Verdana" w:hAnsi="Verdana"/>
          <w:color w:val="1F497D"/>
          <w:sz w:val="18"/>
          <w:szCs w:val="18"/>
        </w:rPr>
        <w:t xml:space="preserve"> ilma ühegi lisariskita</w:t>
      </w:r>
      <w:r w:rsidRPr="458ADAC5" w:rsidR="458ADAC5">
        <w:rPr>
          <w:rFonts w:ascii="Verdana" w:hAnsi="Verdana"/>
          <w:color w:val="1F497D"/>
          <w:sz w:val="18"/>
          <w:szCs w:val="18"/>
        </w:rPr>
        <w:t xml:space="preserve"> naistel</w:t>
      </w:r>
      <w:r w:rsidRPr="458ADAC5" w:rsidR="458ADAC5">
        <w:rPr>
          <w:rFonts w:ascii="Verdana" w:hAnsi="Verdana"/>
          <w:color w:val="1F497D"/>
          <w:sz w:val="18"/>
          <w:szCs w:val="18"/>
        </w:rPr>
        <w:t>)</w:t>
      </w:r>
      <w:r w:rsidRPr="458ADAC5" w:rsidR="458ADAC5">
        <w:rPr>
          <w:rFonts w:ascii="Verdana" w:hAnsi="Verdana"/>
          <w:color w:val="1F497D"/>
          <w:sz w:val="18"/>
          <w:szCs w:val="18"/>
        </w:rPr>
        <w:t>.</w:t>
      </w:r>
    </w:p>
    <w:p xmlns:wp14="http://schemas.microsoft.com/office/word/2010/wordml" w:rsidRPr="00731622" w:rsidR="005B3EBC" w:rsidP="7BB9BC80" w:rsidRDefault="00094595" w14:paraId="6E2ACB21" wp14:textId="6767281B">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proofErr w:type="spellStart"/>
      <w:r w:rsidRPr="7BB9BC80" w:rsidR="7BB9BC80">
        <w:rPr>
          <w:rFonts w:ascii="Verdana" w:hAnsi="Verdana" w:cs="ArialMT"/>
          <w:color w:val="1F497D"/>
          <w:sz w:val="18"/>
          <w:szCs w:val="18"/>
          <w:lang w:eastAsia="en-US"/>
        </w:rPr>
        <w:t>Cochrane</w:t>
      </w:r>
      <w:proofErr w:type="spellEnd"/>
      <w:r w:rsidRPr="7BB9BC80" w:rsidR="7BB9BC80">
        <w:rPr>
          <w:rFonts w:ascii="Verdana" w:hAnsi="Verdana" w:cs="ArialMT"/>
          <w:color w:val="1F497D"/>
          <w:sz w:val="18"/>
          <w:szCs w:val="18"/>
          <w:lang w:eastAsia="en-US"/>
        </w:rPr>
        <w:t xml:space="preserve"> ülevaade (</w:t>
      </w:r>
      <w:proofErr w:type="spellStart"/>
      <w:r w:rsidRPr="7BB9BC80" w:rsidR="7BB9BC80">
        <w:rPr>
          <w:rFonts w:ascii="Verdana" w:hAnsi="Verdana" w:cs="ArialMT"/>
          <w:color w:val="1F497D"/>
          <w:sz w:val="18"/>
          <w:szCs w:val="18"/>
          <w:lang w:eastAsia="en-US"/>
        </w:rPr>
        <w:t>Aguilar</w:t>
      </w:r>
      <w:proofErr w:type="spellEnd"/>
      <w:r w:rsidRPr="7BB9BC80" w:rsidR="7BB9BC80">
        <w:rPr>
          <w:rFonts w:ascii="Verdana" w:hAnsi="Verdana" w:cs="ArialMT"/>
          <w:color w:val="1F497D"/>
          <w:sz w:val="18"/>
          <w:szCs w:val="18"/>
          <w:lang w:eastAsia="en-US"/>
        </w:rPr>
        <w:t xml:space="preserve"> 2005) leidis </w:t>
      </w:r>
      <w:r w:rsidRPr="7BB9BC80" w:rsidR="7BB9BC80">
        <w:rPr>
          <w:rFonts w:ascii="Verdana" w:hAnsi="Verdana" w:cs="ArialMT"/>
          <w:color w:val="1F497D"/>
          <w:sz w:val="18"/>
          <w:szCs w:val="18"/>
          <w:lang w:eastAsia="en-US"/>
        </w:rPr>
        <w:t>3 uuringut</w:t>
      </w:r>
      <w:r w:rsidRPr="7BB9BC80" w:rsidR="7BB9BC80">
        <w:rPr>
          <w:rFonts w:ascii="Verdana" w:hAnsi="Verdana" w:cs="ArialMT"/>
          <w:color w:val="1F497D"/>
          <w:sz w:val="18"/>
          <w:szCs w:val="18"/>
          <w:lang w:eastAsia="en-US"/>
        </w:rPr>
        <w:t>, mis</w:t>
      </w:r>
      <w:r w:rsidRPr="7BB9BC80" w:rsidR="7BB9BC80">
        <w:rPr>
          <w:rFonts w:ascii="Verdana" w:hAnsi="Verdana" w:cs="ArialMT"/>
          <w:color w:val="1F497D"/>
          <w:sz w:val="18"/>
          <w:szCs w:val="18"/>
          <w:lang w:eastAsia="en-US"/>
        </w:rPr>
        <w:t xml:space="preserve"> uurisid </w:t>
      </w:r>
      <w:r w:rsidRPr="7BB9BC80" w:rsidR="7BB9BC80">
        <w:rPr>
          <w:rFonts w:ascii="Verdana" w:hAnsi="Verdana" w:cs="ArialMT"/>
          <w:color w:val="1F497D"/>
          <w:sz w:val="18"/>
          <w:szCs w:val="18"/>
          <w:lang w:eastAsia="en-US"/>
        </w:rPr>
        <w:t>ASH</w:t>
      </w:r>
      <w:r w:rsidRPr="7BB9BC80" w:rsidR="7BB9BC80">
        <w:rPr>
          <w:rFonts w:ascii="Verdana" w:hAnsi="Verdana" w:cs="ArialMT"/>
          <w:color w:val="1F497D"/>
          <w:sz w:val="18"/>
          <w:szCs w:val="18"/>
          <w:lang w:eastAsia="en-US"/>
        </w:rPr>
        <w:t xml:space="preserve"> </w:t>
      </w:r>
      <w:r w:rsidRPr="7BB9BC80" w:rsidR="7BB9BC80">
        <w:rPr>
          <w:rFonts w:ascii="Verdana" w:hAnsi="Verdana" w:cs="ArialMT"/>
          <w:color w:val="1F497D"/>
          <w:sz w:val="18"/>
          <w:szCs w:val="18"/>
          <w:lang w:eastAsia="en-US"/>
        </w:rPr>
        <w:t>annustes</w:t>
      </w:r>
      <w:r w:rsidRPr="7BB9BC80" w:rsidR="7BB9BC80">
        <w:rPr>
          <w:rFonts w:ascii="Verdana" w:hAnsi="Verdana" w:cs="ArialMT"/>
          <w:color w:val="1F497D"/>
          <w:sz w:val="18"/>
          <w:szCs w:val="18"/>
          <w:lang w:eastAsia="en-US"/>
        </w:rPr>
        <w:t xml:space="preserve"> 75 mg kuni 325 mg päevas ja 125 mg ülepäeva võrreldes platseeboga (2 uuringut) ja kontrolliga (1 uuring) kokku 1965 KVA patsiendil ilma eelneva ajuinsuldi ja TIA-ta. </w:t>
      </w:r>
    </w:p>
    <w:p xmlns:wp14="http://schemas.microsoft.com/office/word/2010/wordml" w:rsidRPr="00731622" w:rsidR="000755B3" w:rsidP="7BB9BC80" w:rsidRDefault="00094595" w14:paraId="39803A08"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7BB9BC80" w:rsidR="7BB9BC80">
        <w:rPr>
          <w:rFonts w:ascii="Verdana" w:hAnsi="Verdana" w:cs="ArialMT"/>
          <w:color w:val="1F497D"/>
          <w:sz w:val="18"/>
          <w:szCs w:val="18"/>
          <w:lang w:eastAsia="en-US"/>
        </w:rPr>
        <w:t>Aspiriin</w:t>
      </w:r>
      <w:r w:rsidRPr="7BB9BC80" w:rsidR="7BB9BC80">
        <w:rPr>
          <w:rFonts w:ascii="Verdana" w:hAnsi="Verdana" w:cs="ArialMT"/>
          <w:color w:val="1F497D"/>
          <w:sz w:val="18"/>
          <w:szCs w:val="18"/>
          <w:lang w:eastAsia="en-US"/>
        </w:rPr>
        <w:t>i kasutamine</w:t>
      </w:r>
      <w:r w:rsidRPr="7BB9BC80" w:rsidR="7BB9BC80">
        <w:rPr>
          <w:rFonts w:ascii="Verdana" w:hAnsi="Verdana" w:cs="ArialMT"/>
          <w:color w:val="1F497D"/>
          <w:sz w:val="18"/>
          <w:szCs w:val="18"/>
          <w:lang w:eastAsia="en-US"/>
        </w:rPr>
        <w:t xml:space="preserve"> vähendas statistiliselt mitteoluliselt ajuinsuldi (</w:t>
      </w:r>
      <w:r w:rsidRPr="7BB9BC80" w:rsidR="7BB9BC80">
        <w:rPr>
          <w:rFonts w:ascii="Verdana" w:hAnsi="Verdana" w:cs="ArialMT"/>
          <w:color w:val="1F497D"/>
          <w:sz w:val="18"/>
          <w:szCs w:val="18"/>
          <w:lang w:eastAsia="en-US"/>
        </w:rPr>
        <w:t>šansisuhe</w:t>
      </w:r>
      <w:r w:rsidRPr="7BB9BC80" w:rsidR="7BB9BC80">
        <w:rPr>
          <w:rFonts w:ascii="Verdana" w:hAnsi="Verdana" w:cs="ArialMT"/>
          <w:color w:val="1F497D"/>
          <w:sz w:val="18"/>
          <w:szCs w:val="18"/>
          <w:lang w:eastAsia="en-US"/>
        </w:rPr>
        <w:t xml:space="preserve"> (OR) 0.70, 95% </w:t>
      </w:r>
      <w:r w:rsidRPr="7BB9BC80" w:rsidR="7BB9BC80">
        <w:rPr>
          <w:rFonts w:ascii="Verdana" w:hAnsi="Verdana" w:cs="ArialMT"/>
          <w:color w:val="1F497D"/>
          <w:sz w:val="18"/>
          <w:szCs w:val="18"/>
          <w:lang w:eastAsia="en-US"/>
        </w:rPr>
        <w:t>CI</w:t>
      </w:r>
      <w:r w:rsidRPr="7BB9BC80" w:rsidR="7BB9BC80">
        <w:rPr>
          <w:rFonts w:ascii="Verdana" w:hAnsi="Verdana" w:cs="ArialMT"/>
          <w:color w:val="1F497D"/>
          <w:sz w:val="18"/>
          <w:szCs w:val="18"/>
          <w:lang w:eastAsia="en-US"/>
        </w:rPr>
        <w:t xml:space="preserve"> 0.47 </w:t>
      </w:r>
      <w:r w:rsidRPr="7BB9BC80" w:rsidR="7BB9BC80">
        <w:rPr>
          <w:rFonts w:ascii="Verdana" w:hAnsi="Verdana" w:cs="ArialMT"/>
          <w:color w:val="1F497D"/>
          <w:sz w:val="18"/>
          <w:szCs w:val="18"/>
          <w:lang w:eastAsia="en-US"/>
        </w:rPr>
        <w:t>-</w:t>
      </w:r>
      <w:r w:rsidRPr="7BB9BC80" w:rsidR="7BB9BC80">
        <w:rPr>
          <w:rFonts w:ascii="Verdana" w:hAnsi="Verdana" w:cs="ArialMT"/>
          <w:color w:val="1F497D"/>
          <w:sz w:val="18"/>
          <w:szCs w:val="18"/>
          <w:lang w:eastAsia="en-US"/>
        </w:rPr>
        <w:t xml:space="preserve"> 1.07), </w:t>
      </w:r>
      <w:r w:rsidRPr="7BB9BC80" w:rsidR="7BB9BC80">
        <w:rPr>
          <w:rFonts w:ascii="Verdana" w:hAnsi="Verdana" w:cs="ArialMT"/>
          <w:color w:val="1F497D"/>
          <w:sz w:val="18"/>
          <w:szCs w:val="18"/>
          <w:lang w:eastAsia="en-US"/>
        </w:rPr>
        <w:t>isheemilise insuldi</w:t>
      </w:r>
      <w:r w:rsidRPr="7BB9BC80" w:rsidR="7BB9BC80">
        <w:rPr>
          <w:rFonts w:ascii="Verdana" w:hAnsi="Verdana" w:cs="ArialMT"/>
          <w:color w:val="1F497D"/>
          <w:sz w:val="18"/>
          <w:szCs w:val="18"/>
          <w:lang w:eastAsia="en-US"/>
        </w:rPr>
        <w:t xml:space="preserve"> (OR 0.70, 95% CI 0.46 </w:t>
      </w:r>
      <w:r w:rsidRPr="7BB9BC80" w:rsidR="7BB9BC80">
        <w:rPr>
          <w:rFonts w:ascii="Verdana" w:hAnsi="Verdana" w:cs="ArialMT"/>
          <w:color w:val="1F497D"/>
          <w:sz w:val="18"/>
          <w:szCs w:val="18"/>
          <w:lang w:eastAsia="en-US"/>
        </w:rPr>
        <w:t>-</w:t>
      </w:r>
      <w:r w:rsidRPr="7BB9BC80" w:rsidR="7BB9BC80">
        <w:rPr>
          <w:rFonts w:ascii="Verdana" w:hAnsi="Verdana" w:cs="ArialMT"/>
          <w:color w:val="1F497D"/>
          <w:sz w:val="18"/>
          <w:szCs w:val="18"/>
          <w:lang w:eastAsia="en-US"/>
        </w:rPr>
        <w:t xml:space="preserve"> 1.07), </w:t>
      </w:r>
      <w:r w:rsidRPr="7BB9BC80" w:rsidR="7BB9BC80">
        <w:rPr>
          <w:rFonts w:ascii="Verdana" w:hAnsi="Verdana" w:cs="ArialMT"/>
          <w:color w:val="1F497D"/>
          <w:sz w:val="18"/>
          <w:szCs w:val="18"/>
          <w:lang w:eastAsia="en-US"/>
        </w:rPr>
        <w:t>fataalse insuldi</w:t>
      </w:r>
      <w:r w:rsidRPr="7BB9BC80" w:rsidR="7BB9BC80">
        <w:rPr>
          <w:rFonts w:ascii="Verdana" w:hAnsi="Verdana" w:cs="ArialMT"/>
          <w:color w:val="1F497D"/>
          <w:sz w:val="18"/>
          <w:szCs w:val="18"/>
          <w:lang w:eastAsia="en-US"/>
        </w:rPr>
        <w:t xml:space="preserve"> (OR 0.86, 95% CI 0.50 </w:t>
      </w:r>
      <w:r w:rsidRPr="7BB9BC80" w:rsidR="7BB9BC80">
        <w:rPr>
          <w:rFonts w:ascii="Verdana" w:hAnsi="Verdana" w:cs="ArialMT"/>
          <w:color w:val="1F497D"/>
          <w:sz w:val="18"/>
          <w:szCs w:val="18"/>
          <w:lang w:eastAsia="en-US"/>
        </w:rPr>
        <w:t>-</w:t>
      </w:r>
      <w:r w:rsidRPr="7BB9BC80" w:rsidR="7BB9BC80">
        <w:rPr>
          <w:rFonts w:ascii="Verdana" w:hAnsi="Verdana" w:cs="ArialMT"/>
          <w:color w:val="1F497D"/>
          <w:sz w:val="18"/>
          <w:szCs w:val="18"/>
          <w:lang w:eastAsia="en-US"/>
        </w:rPr>
        <w:t xml:space="preserve"> 1.49) </w:t>
      </w:r>
      <w:proofErr w:type="spellStart"/>
      <w:r w:rsidRPr="7BB9BC80" w:rsidR="7BB9BC80">
        <w:rPr>
          <w:rFonts w:ascii="Verdana" w:hAnsi="Verdana" w:cs="ArialMT"/>
          <w:color w:val="1F497D"/>
          <w:sz w:val="18"/>
          <w:szCs w:val="18"/>
          <w:lang w:eastAsia="en-US"/>
        </w:rPr>
        <w:t>üldsuremuse</w:t>
      </w:r>
      <w:proofErr w:type="spellEnd"/>
      <w:r w:rsidRPr="7BB9BC80" w:rsidR="7BB9BC80">
        <w:rPr>
          <w:rFonts w:ascii="Verdana" w:hAnsi="Verdana" w:cs="ArialMT"/>
          <w:color w:val="1F497D"/>
          <w:sz w:val="18"/>
          <w:szCs w:val="18"/>
          <w:lang w:eastAsia="en-US"/>
        </w:rPr>
        <w:t xml:space="preserve"> (OR 0.75, 95% CI 0.54 </w:t>
      </w:r>
      <w:r w:rsidRPr="7BB9BC80" w:rsidR="7BB9BC80">
        <w:rPr>
          <w:rFonts w:ascii="Verdana" w:hAnsi="Verdana" w:cs="ArialMT"/>
          <w:color w:val="1F497D"/>
          <w:sz w:val="18"/>
          <w:szCs w:val="18"/>
          <w:lang w:eastAsia="en-US"/>
        </w:rPr>
        <w:t>-</w:t>
      </w:r>
      <w:r w:rsidRPr="7BB9BC80" w:rsidR="7BB9BC80">
        <w:rPr>
          <w:rFonts w:ascii="Verdana" w:hAnsi="Verdana" w:cs="ArialMT"/>
          <w:color w:val="1F497D"/>
          <w:sz w:val="18"/>
          <w:szCs w:val="18"/>
          <w:lang w:eastAsia="en-US"/>
        </w:rPr>
        <w:t xml:space="preserve"> 1.04)</w:t>
      </w:r>
      <w:r w:rsidRPr="7BB9BC80" w:rsidR="7BB9BC80">
        <w:rPr>
          <w:rFonts w:ascii="Verdana" w:hAnsi="Verdana" w:cs="ArialMT"/>
          <w:color w:val="1F497D"/>
          <w:sz w:val="18"/>
          <w:szCs w:val="18"/>
          <w:lang w:eastAsia="en-US"/>
        </w:rPr>
        <w:t xml:space="preserve"> riski</w:t>
      </w:r>
      <w:r w:rsidRPr="7BB9BC80" w:rsidR="7BB9BC80">
        <w:rPr>
          <w:rFonts w:ascii="Verdana" w:hAnsi="Verdana" w:cs="ArialMT"/>
          <w:color w:val="1F497D"/>
          <w:sz w:val="18"/>
          <w:szCs w:val="18"/>
          <w:lang w:eastAsia="en-US"/>
        </w:rPr>
        <w:t xml:space="preserve">. Intrakraniaalse verejooksu või olulise </w:t>
      </w:r>
      <w:proofErr w:type="spellStart"/>
      <w:r w:rsidRPr="7BB9BC80" w:rsidR="7BB9BC80">
        <w:rPr>
          <w:rFonts w:ascii="Verdana" w:hAnsi="Verdana" w:cs="ArialMT"/>
          <w:color w:val="1F497D"/>
          <w:sz w:val="18"/>
          <w:szCs w:val="18"/>
          <w:lang w:eastAsia="en-US"/>
        </w:rPr>
        <w:t>ekstrakraniaalse</w:t>
      </w:r>
      <w:proofErr w:type="spellEnd"/>
      <w:r w:rsidRPr="7BB9BC80" w:rsidR="7BB9BC80">
        <w:rPr>
          <w:rFonts w:ascii="Verdana" w:hAnsi="Verdana" w:cs="ArialMT"/>
          <w:color w:val="1F497D"/>
          <w:sz w:val="18"/>
          <w:szCs w:val="18"/>
          <w:lang w:eastAsia="en-US"/>
        </w:rPr>
        <w:t xml:space="preserve"> verejooksu oht ei suurenenud. </w:t>
      </w:r>
      <w:r w:rsidRPr="7BB9BC80" w:rsidR="7BB9BC80">
        <w:rPr>
          <w:rFonts w:ascii="Verdana" w:hAnsi="Verdana" w:cs="ArialMT"/>
          <w:color w:val="1F497D"/>
          <w:sz w:val="18"/>
          <w:szCs w:val="18"/>
          <w:lang w:eastAsia="en-US"/>
        </w:rPr>
        <w:t>Antud uuringutes ei olnud täpsustatud CHA2DS2-VASc skoor.</w:t>
      </w:r>
    </w:p>
    <w:p xmlns:wp14="http://schemas.microsoft.com/office/word/2010/wordml" w:rsidRPr="00731622" w:rsidR="005B3EBC" w:rsidP="7BB9BC80" w:rsidRDefault="00460072" w14:paraId="4780BAFB"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7BB9BC80" w:rsidR="7BB9BC80">
        <w:rPr>
          <w:rFonts w:ascii="Verdana" w:hAnsi="Verdana" w:cs="ArialMT"/>
          <w:color w:val="1F497D"/>
          <w:sz w:val="18"/>
          <w:szCs w:val="18"/>
          <w:lang w:eastAsia="en-US"/>
        </w:rPr>
        <w:t>1 uuringu andmetest (</w:t>
      </w:r>
      <w:proofErr w:type="spellStart"/>
      <w:r w:rsidRPr="7BB9BC80" w:rsidR="7BB9BC80">
        <w:rPr>
          <w:rFonts w:ascii="Verdana" w:hAnsi="Verdana" w:cs="ArialMT"/>
          <w:color w:val="1F497D"/>
          <w:sz w:val="18"/>
          <w:szCs w:val="18"/>
          <w:lang w:eastAsia="en-US"/>
        </w:rPr>
        <w:t>Coppens</w:t>
      </w:r>
      <w:proofErr w:type="spellEnd"/>
      <w:r w:rsidRPr="7BB9BC80" w:rsidR="7BB9BC80">
        <w:rPr>
          <w:rFonts w:ascii="Verdana" w:hAnsi="Verdana" w:cs="ArialMT"/>
          <w:color w:val="1F497D"/>
          <w:sz w:val="18"/>
          <w:szCs w:val="18"/>
          <w:lang w:eastAsia="en-US"/>
        </w:rPr>
        <w:t xml:space="preserve"> et </w:t>
      </w:r>
      <w:proofErr w:type="spellStart"/>
      <w:r w:rsidRPr="7BB9BC80" w:rsidR="7BB9BC80">
        <w:rPr>
          <w:rFonts w:ascii="Verdana" w:hAnsi="Verdana" w:cs="ArialMT"/>
          <w:color w:val="1F497D"/>
          <w:sz w:val="18"/>
          <w:szCs w:val="18"/>
          <w:lang w:eastAsia="en-US"/>
        </w:rPr>
        <w:t>al</w:t>
      </w:r>
      <w:proofErr w:type="spellEnd"/>
      <w:r w:rsidRPr="7BB9BC80" w:rsidR="7BB9BC80">
        <w:rPr>
          <w:rFonts w:ascii="Verdana" w:hAnsi="Verdana" w:cs="ArialMT"/>
          <w:color w:val="1F497D"/>
          <w:sz w:val="18"/>
          <w:szCs w:val="18"/>
          <w:lang w:eastAsia="en-US"/>
        </w:rPr>
        <w:t>.</w:t>
      </w:r>
      <w:r w:rsidRPr="7BB9BC80" w:rsidR="7BB9BC80">
        <w:rPr>
          <w:rFonts w:ascii="Verdana" w:hAnsi="Verdana" w:cs="ArialMT"/>
          <w:color w:val="1F497D"/>
          <w:sz w:val="18"/>
          <w:szCs w:val="18"/>
          <w:lang w:eastAsia="en-US"/>
        </w:rPr>
        <w:t xml:space="preserve"> Tabel 4</w:t>
      </w:r>
      <w:r w:rsidRPr="7BB9BC80" w:rsidR="7BB9BC80">
        <w:rPr>
          <w:rFonts w:ascii="Verdana" w:hAnsi="Verdana" w:cs="ArialMT"/>
          <w:color w:val="1F497D"/>
          <w:sz w:val="18"/>
          <w:szCs w:val="18"/>
          <w:lang w:eastAsia="en-US"/>
        </w:rPr>
        <w:t>) leiab CHA2DS2-VASc 1 skooriga ja aspiriini tarvitavatel KVA patsientidel</w:t>
      </w:r>
      <w:r w:rsidRPr="7BB9BC80" w:rsidR="7BB9BC80">
        <w:rPr>
          <w:rFonts w:ascii="Verdana" w:hAnsi="Verdana" w:cs="ArialMT"/>
          <w:color w:val="1F497D"/>
          <w:sz w:val="18"/>
          <w:szCs w:val="18"/>
          <w:lang w:eastAsia="en-US"/>
        </w:rPr>
        <w:t xml:space="preserve"> (mehed)</w:t>
      </w:r>
      <w:r w:rsidRPr="7BB9BC80" w:rsidR="7BB9BC80">
        <w:rPr>
          <w:rFonts w:ascii="Verdana" w:hAnsi="Verdana" w:cs="ArialMT"/>
          <w:color w:val="1F497D"/>
          <w:sz w:val="18"/>
          <w:szCs w:val="18"/>
          <w:lang w:eastAsia="en-US"/>
        </w:rPr>
        <w:t xml:space="preserve"> esineva isheemilise ajuinsuldi, täpsustamata ajuinsuldi ja mitte-</w:t>
      </w:r>
      <w:proofErr w:type="spellStart"/>
      <w:r w:rsidRPr="7BB9BC80" w:rsidR="7BB9BC80">
        <w:rPr>
          <w:rFonts w:ascii="Verdana" w:hAnsi="Verdana" w:cs="ArialMT"/>
          <w:color w:val="1F497D"/>
          <w:sz w:val="18"/>
          <w:szCs w:val="18"/>
          <w:lang w:eastAsia="en-US"/>
        </w:rPr>
        <w:t>kesknärvisüsteemi</w:t>
      </w:r>
      <w:proofErr w:type="spellEnd"/>
      <w:r w:rsidRPr="7BB9BC80" w:rsidR="7BB9BC80">
        <w:rPr>
          <w:rFonts w:ascii="Verdana" w:hAnsi="Verdana" w:cs="ArialMT"/>
          <w:color w:val="1F497D"/>
          <w:sz w:val="18"/>
          <w:szCs w:val="18"/>
          <w:lang w:eastAsia="en-US"/>
        </w:rPr>
        <w:t xml:space="preserve"> </w:t>
      </w:r>
      <w:proofErr w:type="spellStart"/>
      <w:r w:rsidRPr="7BB9BC80" w:rsidR="7BB9BC80">
        <w:rPr>
          <w:rFonts w:ascii="Verdana" w:hAnsi="Verdana" w:cs="ArialMT"/>
          <w:color w:val="1F497D"/>
          <w:sz w:val="18"/>
          <w:szCs w:val="18"/>
          <w:lang w:eastAsia="en-US"/>
        </w:rPr>
        <w:t>emboli</w:t>
      </w:r>
      <w:proofErr w:type="spellEnd"/>
      <w:r w:rsidRPr="7BB9BC80" w:rsidR="7BB9BC80">
        <w:rPr>
          <w:rFonts w:ascii="Verdana" w:hAnsi="Verdana" w:cs="ArialMT"/>
          <w:color w:val="1F497D"/>
          <w:sz w:val="18"/>
          <w:szCs w:val="18"/>
          <w:lang w:eastAsia="en-US"/>
        </w:rPr>
        <w:t xml:space="preserve"> haigestumuskordaja 1,1 (0,6-1,8) 100 patsient-aasta kohta, HR 1. </w:t>
      </w:r>
    </w:p>
    <w:p xmlns:wp14="http://schemas.microsoft.com/office/word/2010/wordml" w:rsidRPr="00731622" w:rsidR="00460072" w:rsidP="458ADAC5" w:rsidRDefault="00460072" w14:paraId="731029E7" wp14:textId="77777777" wp14:noSpellErr="1">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458ADAC5" w:rsidR="458ADAC5">
        <w:rPr>
          <w:rFonts w:ascii="Verdana" w:hAnsi="Verdana" w:cs="ArialMT"/>
          <w:color w:val="1F497D"/>
          <w:sz w:val="18"/>
          <w:szCs w:val="18"/>
          <w:lang w:eastAsia="en-US"/>
        </w:rPr>
        <w:t xml:space="preserve">CHA2DS2-VASc 2 ja aspiriini tarvitavate KV patsientide puhul oli haigestumuskordaja 2.3 (1.8–3.1), HR 2,2 (95% CI 1,3-3,9). </w:t>
      </w:r>
    </w:p>
    <w:p xmlns:wp14="http://schemas.microsoft.com/office/word/2010/wordml" w:rsidRPr="00731622" w:rsidR="00650D1E" w:rsidP="7BB9BC80" w:rsidRDefault="00650D1E" w14:paraId="305D9F79"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b w:val="1"/>
          <w:bCs w:val="1"/>
          <w:color w:val="1F497D"/>
          <w:sz w:val="18"/>
          <w:szCs w:val="18"/>
          <w:lang w:eastAsia="en-US"/>
        </w:rPr>
      </w:pPr>
      <w:r w:rsidRPr="7BB9BC80" w:rsidR="7BB9BC80">
        <w:rPr>
          <w:rFonts w:ascii="Verdana" w:hAnsi="Verdana" w:cs="ArialMT"/>
          <w:b w:val="1"/>
          <w:bCs w:val="1"/>
          <w:color w:val="1F497D"/>
          <w:sz w:val="18"/>
          <w:szCs w:val="18"/>
          <w:lang w:eastAsia="en-US"/>
        </w:rPr>
        <w:t xml:space="preserve">CHA2DS2-VASc skoor ja </w:t>
      </w:r>
      <w:proofErr w:type="spellStart"/>
      <w:r w:rsidRPr="7BB9BC80" w:rsidR="7BB9BC80">
        <w:rPr>
          <w:rFonts w:ascii="Verdana" w:hAnsi="Verdana" w:cs="ArialMT"/>
          <w:b w:val="1"/>
          <w:bCs w:val="1"/>
          <w:color w:val="1F497D"/>
          <w:sz w:val="18"/>
          <w:szCs w:val="18"/>
          <w:lang w:eastAsia="en-US"/>
        </w:rPr>
        <w:t>antiagregantravi</w:t>
      </w:r>
      <w:proofErr w:type="spellEnd"/>
    </w:p>
    <w:p xmlns:wp14="http://schemas.microsoft.com/office/word/2010/wordml" w:rsidRPr="00731622" w:rsidR="00DF2FF2" w:rsidP="7BB9BC80" w:rsidRDefault="00DF2FF2" w14:paraId="4E70FA60"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7BB9BC80" w:rsidR="7BB9BC80">
        <w:rPr>
          <w:rFonts w:ascii="Verdana" w:hAnsi="Verdana" w:cs="ArialMT"/>
          <w:color w:val="1F497D"/>
          <w:sz w:val="18"/>
          <w:szCs w:val="18"/>
          <w:lang w:eastAsia="en-US"/>
        </w:rPr>
        <w:t xml:space="preserve">Soovitused ravijuhendites mõõduka riskiga patsientide (CHA2DS2-VASc = 1 meestel ja CHA2DS2-VASc = 2 naistel)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kohta tulenevad peamiselt vaatlusuuringutest, kus hinnati ajuinsuldi tekkeriski patsientidel, kes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ei saanud</w:t>
      </w:r>
      <w:r w:rsidRPr="7BB9BC80" w:rsidR="7BB9BC80">
        <w:rPr>
          <w:rFonts w:ascii="Verdana" w:hAnsi="Verdana" w:cs="ArialMT"/>
          <w:color w:val="1F497D"/>
          <w:sz w:val="18"/>
          <w:szCs w:val="18"/>
          <w:lang w:eastAsia="en-US"/>
        </w:rPr>
        <w:t xml:space="preserve">. Uuringute tulemused on varieeruva ajuinsuldi </w:t>
      </w:r>
      <w:r w:rsidRPr="7BB9BC80" w:rsidR="7BB9BC80">
        <w:rPr>
          <w:rFonts w:ascii="Verdana" w:hAnsi="Verdana" w:cs="ArialMT"/>
          <w:color w:val="1F497D"/>
          <w:sz w:val="18"/>
          <w:szCs w:val="18"/>
          <w:lang w:eastAsia="en-US"/>
        </w:rPr>
        <w:t>esinemissagedusega</w:t>
      </w:r>
      <w:r w:rsidRPr="7BB9BC80" w:rsidR="7BB9BC80">
        <w:rPr>
          <w:rFonts w:ascii="Verdana" w:hAnsi="Verdana" w:cs="ArialMT"/>
          <w:color w:val="1F497D"/>
          <w:sz w:val="18"/>
          <w:szCs w:val="18"/>
          <w:lang w:eastAsia="en-US"/>
        </w:rPr>
        <w:t xml:space="preserve">, sõltuvalt erinevatest populatsioonidest ja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staatusest.</w:t>
      </w:r>
      <w:r w:rsidRPr="7BB9BC80" w:rsidR="7BB9BC80">
        <w:rPr>
          <w:rFonts w:ascii="Verdana" w:hAnsi="Verdana" w:cs="ArialMT"/>
          <w:color w:val="1F497D"/>
          <w:sz w:val="18"/>
          <w:szCs w:val="18"/>
          <w:lang w:eastAsia="en-US"/>
        </w:rPr>
        <w:t xml:space="preserve"> </w:t>
      </w:r>
    </w:p>
    <w:p xmlns:wp14="http://schemas.microsoft.com/office/word/2010/wordml" w:rsidRPr="00731622" w:rsidR="00CF25A9" w:rsidP="7BB9BC80" w:rsidRDefault="00CF25A9" w14:paraId="14C657F3" wp14:textId="52D69922">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7BB9BC80" w:rsidR="7BB9BC80">
        <w:rPr>
          <w:rFonts w:ascii="Verdana" w:hAnsi="Verdana" w:cs="ArialMT"/>
          <w:color w:val="1F497D"/>
          <w:sz w:val="18"/>
          <w:szCs w:val="18"/>
          <w:lang w:eastAsia="en-US"/>
        </w:rPr>
        <w:t xml:space="preserve">Seetõttu </w:t>
      </w:r>
      <w:r w:rsidRPr="7BB9BC80" w:rsidR="7BB9BC80">
        <w:rPr>
          <w:rFonts w:ascii="Verdana" w:hAnsi="Verdana" w:cs="ArialMT"/>
          <w:color w:val="1F497D"/>
          <w:sz w:val="18"/>
          <w:szCs w:val="18"/>
          <w:lang w:eastAsia="en-US"/>
        </w:rPr>
        <w:t xml:space="preserve">viis </w:t>
      </w:r>
      <w:r w:rsidRPr="7BB9BC80" w:rsidR="7BB9BC80">
        <w:rPr>
          <w:rFonts w:ascii="Verdana" w:hAnsi="Verdana" w:cs="ArialMT"/>
          <w:color w:val="1F497D"/>
          <w:sz w:val="18"/>
          <w:szCs w:val="18"/>
          <w:lang w:eastAsia="en-US"/>
        </w:rPr>
        <w:t>ESC läbi omapoolse kohortuuringu andmetest (</w:t>
      </w:r>
      <w:proofErr w:type="spellStart"/>
      <w:r w:rsidRPr="7BB9BC80" w:rsidR="7BB9BC80">
        <w:rPr>
          <w:rFonts w:ascii="Verdana" w:hAnsi="Verdana" w:cs="ArialMT"/>
          <w:color w:val="1F497D"/>
          <w:sz w:val="18"/>
          <w:szCs w:val="18"/>
          <w:lang w:eastAsia="en-US"/>
        </w:rPr>
        <w:t>Allen</w:t>
      </w:r>
      <w:proofErr w:type="spellEnd"/>
      <w:r w:rsidRPr="7BB9BC80" w:rsidR="7BB9BC80">
        <w:rPr>
          <w:rFonts w:ascii="Verdana" w:hAnsi="Verdana" w:cs="ArialMT"/>
          <w:color w:val="1F497D"/>
          <w:sz w:val="18"/>
          <w:szCs w:val="18"/>
          <w:lang w:eastAsia="en-US"/>
        </w:rPr>
        <w:t xml:space="preserve"> 2016, </w:t>
      </w:r>
      <w:proofErr w:type="spellStart"/>
      <w:r w:rsidRPr="7BB9BC80" w:rsidR="7BB9BC80">
        <w:rPr>
          <w:rFonts w:ascii="Verdana" w:hAnsi="Verdana" w:cs="ArialMT"/>
          <w:color w:val="1F497D"/>
          <w:sz w:val="18"/>
          <w:szCs w:val="18"/>
          <w:lang w:eastAsia="en-US"/>
        </w:rPr>
        <w:t>web</w:t>
      </w:r>
      <w:proofErr w:type="spellEnd"/>
      <w:r w:rsidRPr="7BB9BC80" w:rsidR="7BB9BC80">
        <w:rPr>
          <w:rFonts w:ascii="Verdana" w:hAnsi="Verdana" w:cs="ArialMT"/>
          <w:color w:val="1F497D"/>
          <w:sz w:val="18"/>
          <w:szCs w:val="18"/>
          <w:lang w:eastAsia="en-US"/>
        </w:rPr>
        <w:t xml:space="preserve"> </w:t>
      </w:r>
      <w:proofErr w:type="spellStart"/>
      <w:r w:rsidRPr="7BB9BC80" w:rsidR="7BB9BC80">
        <w:rPr>
          <w:rFonts w:ascii="Verdana" w:hAnsi="Verdana" w:cs="ArialMT"/>
          <w:color w:val="1F497D"/>
          <w:sz w:val="18"/>
          <w:szCs w:val="18"/>
          <w:lang w:eastAsia="en-US"/>
        </w:rPr>
        <w:t>table</w:t>
      </w:r>
      <w:proofErr w:type="spellEnd"/>
      <w:r w:rsidRPr="7BB9BC80" w:rsidR="7BB9BC80">
        <w:rPr>
          <w:rFonts w:ascii="Verdana" w:hAnsi="Verdana" w:cs="ArialMT"/>
          <w:color w:val="1F497D"/>
          <w:sz w:val="18"/>
          <w:szCs w:val="18"/>
          <w:lang w:eastAsia="en-US"/>
        </w:rPr>
        <w:t xml:space="preserve"> 1, viimane rida), kus </w:t>
      </w:r>
      <w:proofErr w:type="spellStart"/>
      <w:r w:rsidRPr="7BB9BC80" w:rsidR="7BB9BC80">
        <w:rPr>
          <w:rFonts w:ascii="Verdana" w:hAnsi="Verdana" w:cs="ArialMT"/>
          <w:color w:val="1F497D"/>
          <w:sz w:val="18"/>
          <w:szCs w:val="18"/>
          <w:lang w:eastAsia="en-US"/>
        </w:rPr>
        <w:t>võrreldis</w:t>
      </w:r>
      <w:proofErr w:type="spellEnd"/>
      <w:r w:rsidRPr="7BB9BC80" w:rsidR="7BB9BC80">
        <w:rPr>
          <w:rFonts w:ascii="Verdana" w:hAnsi="Verdana" w:cs="ArialMT"/>
          <w:color w:val="1F497D"/>
          <w:sz w:val="18"/>
          <w:szCs w:val="18"/>
          <w:lang w:eastAsia="en-US"/>
        </w:rPr>
        <w:t xml:space="preserve"> CHA2DS2-VASc skoori järgi isheemilise insuldi esinemissagedust</w:t>
      </w:r>
      <w:r w:rsidRPr="7BB9BC80" w:rsidR="7BB9BC80">
        <w:rPr>
          <w:rFonts w:ascii="Verdana" w:hAnsi="Verdana" w:cs="ArialMT"/>
          <w:color w:val="1F497D"/>
          <w:sz w:val="18"/>
          <w:szCs w:val="18"/>
          <w:lang w:eastAsia="en-US"/>
        </w:rPr>
        <w:t xml:space="preserve"> </w:t>
      </w:r>
      <w:proofErr w:type="spellStart"/>
      <w:r w:rsidRPr="7BB9BC80" w:rsidR="7BB9BC80">
        <w:rPr>
          <w:rFonts w:ascii="Verdana" w:hAnsi="Verdana" w:cs="ArialMT"/>
          <w:color w:val="1F497D"/>
          <w:sz w:val="18"/>
          <w:szCs w:val="18"/>
          <w:lang w:eastAsia="en-US"/>
        </w:rPr>
        <w:t>varfariin</w:t>
      </w:r>
      <w:proofErr w:type="spellEnd"/>
      <w:r w:rsidRPr="7BB9BC80" w:rsidR="7BB9BC80">
        <w:rPr>
          <w:rFonts w:ascii="Verdana" w:hAnsi="Verdana" w:cs="ArialMT"/>
          <w:color w:val="1F497D"/>
          <w:sz w:val="18"/>
          <w:szCs w:val="18"/>
          <w:lang w:eastAsia="en-US"/>
        </w:rPr>
        <w:t xml:space="preserve"> raviga vs  ilma </w:t>
      </w:r>
      <w:proofErr w:type="spellStart"/>
      <w:r w:rsidRPr="7BB9BC80" w:rsidR="7BB9BC80">
        <w:rPr>
          <w:rFonts w:ascii="Verdana" w:hAnsi="Verdana" w:cs="ArialMT"/>
          <w:color w:val="1F497D"/>
          <w:sz w:val="18"/>
          <w:szCs w:val="18"/>
          <w:lang w:eastAsia="en-US"/>
        </w:rPr>
        <w:t>antitrombootilise</w:t>
      </w:r>
      <w:proofErr w:type="spellEnd"/>
      <w:r w:rsidRPr="7BB9BC80" w:rsidR="7BB9BC80">
        <w:rPr>
          <w:rFonts w:ascii="Verdana" w:hAnsi="Verdana" w:cs="ArialMT"/>
          <w:color w:val="1F497D"/>
          <w:sz w:val="18"/>
          <w:szCs w:val="18"/>
          <w:lang w:eastAsia="en-US"/>
        </w:rPr>
        <w:t xml:space="preserve"> ravita.</w:t>
      </w:r>
    </w:p>
    <w:p xmlns:wp14="http://schemas.microsoft.com/office/word/2010/wordml" w:rsidRPr="00731622" w:rsidR="00B45116" w:rsidP="458ADAC5" w:rsidRDefault="00B45116" w14:paraId="6E364F78" wp14:textId="77777777" wp14:noSpellErr="1">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MT"/>
          <w:color w:val="1F497D"/>
          <w:sz w:val="18"/>
          <w:szCs w:val="18"/>
          <w:lang w:eastAsia="en-US"/>
        </w:rPr>
      </w:pPr>
      <w:r w:rsidRPr="458ADAC5" w:rsidR="458ADAC5">
        <w:rPr>
          <w:rFonts w:ascii="Verdana" w:hAnsi="Verdana" w:cs="ArialMT"/>
          <w:color w:val="1F497D"/>
          <w:sz w:val="18"/>
          <w:szCs w:val="18"/>
          <w:lang w:eastAsia="en-US"/>
        </w:rPr>
        <w:t>Tulemused:</w:t>
      </w:r>
    </w:p>
    <w:p xmlns:wp14="http://schemas.microsoft.com/office/word/2010/wordml" w:rsidRPr="00731622" w:rsidR="00B45116" w:rsidP="7BB9BC80" w:rsidRDefault="00B45116" w14:paraId="27F1CF37"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
          <w:color w:val="1F497D"/>
          <w:sz w:val="18"/>
          <w:szCs w:val="18"/>
        </w:rPr>
      </w:pPr>
      <w:r w:rsidRPr="7BB9BC80" w:rsidR="7BB9BC80">
        <w:rPr>
          <w:rFonts w:ascii="Verdana" w:hAnsi="Verdana" w:cs="Arial"/>
          <w:color w:val="1F497D"/>
          <w:sz w:val="18"/>
          <w:szCs w:val="18"/>
        </w:rPr>
        <w:t>CHA</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DS</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-VASc=0 (IR (95% CI)/100</w:t>
      </w:r>
      <w:r w:rsidRPr="7BB9BC80" w:rsidR="7BB9BC80">
        <w:rPr>
          <w:rFonts w:ascii="Arial" w:hAnsi="Arial" w:cs="Arial"/>
          <w:color w:val="1F497D"/>
          <w:sz w:val="18"/>
          <w:szCs w:val="18"/>
        </w:rPr>
        <w:t> </w:t>
      </w:r>
      <w:r w:rsidRPr="7BB9BC80" w:rsidR="7BB9BC80">
        <w:rPr>
          <w:rFonts w:ascii="Verdana" w:hAnsi="Verdana" w:cs="Arial"/>
          <w:color w:val="1F497D"/>
          <w:sz w:val="18"/>
          <w:szCs w:val="18"/>
        </w:rPr>
        <w:t xml:space="preserve">PY: 0.4 (0.2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0.8) vs 0.2 (0.1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0.3), p </w:t>
      </w:r>
      <w:proofErr w:type="spellStart"/>
      <w:r w:rsidRPr="7BB9BC80" w:rsidR="7BB9BC80">
        <w:rPr>
          <w:rFonts w:ascii="Verdana" w:hAnsi="Verdana" w:cs="Arial"/>
          <w:color w:val="1F497D"/>
          <w:sz w:val="18"/>
          <w:szCs w:val="18"/>
        </w:rPr>
        <w:t>value</w:t>
      </w:r>
      <w:proofErr w:type="spellEnd"/>
      <w:r w:rsidRPr="7BB9BC80" w:rsidR="7BB9BC80">
        <w:rPr>
          <w:rFonts w:ascii="Verdana" w:hAnsi="Verdana" w:cs="Arial"/>
          <w:color w:val="1F497D"/>
          <w:sz w:val="18"/>
          <w:szCs w:val="18"/>
        </w:rPr>
        <w:t>=0.16).</w:t>
      </w:r>
    </w:p>
    <w:p xmlns:wp14="http://schemas.microsoft.com/office/word/2010/wordml" w:rsidRPr="00731622" w:rsidR="00B45116" w:rsidP="7BB9BC80" w:rsidRDefault="00B45116" w14:paraId="36106D20"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
          <w:color w:val="1F497D"/>
          <w:sz w:val="18"/>
          <w:szCs w:val="18"/>
        </w:rPr>
      </w:pPr>
      <w:r w:rsidRPr="7BB9BC80" w:rsidR="7BB9BC80">
        <w:rPr>
          <w:rFonts w:ascii="Verdana" w:hAnsi="Verdana" w:cs="Arial"/>
          <w:color w:val="1F497D"/>
          <w:sz w:val="18"/>
          <w:szCs w:val="18"/>
        </w:rPr>
        <w:t>CHA</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DS</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-VASc=1 IR (95% CI)/100</w:t>
      </w:r>
      <w:r w:rsidRPr="7BB9BC80" w:rsidR="7BB9BC80">
        <w:rPr>
          <w:rFonts w:ascii="Arial" w:hAnsi="Arial" w:cs="Arial"/>
          <w:color w:val="1F497D"/>
          <w:sz w:val="18"/>
          <w:szCs w:val="18"/>
        </w:rPr>
        <w:t> </w:t>
      </w:r>
      <w:r w:rsidRPr="7BB9BC80" w:rsidR="7BB9BC80">
        <w:rPr>
          <w:rFonts w:ascii="Verdana" w:hAnsi="Verdana" w:cs="Arial"/>
          <w:color w:val="1F497D"/>
          <w:sz w:val="18"/>
          <w:szCs w:val="18"/>
        </w:rPr>
        <w:t xml:space="preserve">PY: 0.4 (0.3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0.7) vs 0.7 (0.6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0.8), p </w:t>
      </w:r>
      <w:proofErr w:type="spellStart"/>
      <w:r w:rsidRPr="7BB9BC80" w:rsidR="7BB9BC80">
        <w:rPr>
          <w:rFonts w:ascii="Verdana" w:hAnsi="Verdana" w:cs="Arial"/>
          <w:color w:val="1F497D"/>
          <w:sz w:val="18"/>
          <w:szCs w:val="18"/>
        </w:rPr>
        <w:t>value</w:t>
      </w:r>
      <w:proofErr w:type="spellEnd"/>
      <w:r w:rsidRPr="7BB9BC80" w:rsidR="7BB9BC80">
        <w:rPr>
          <w:rFonts w:ascii="Verdana" w:hAnsi="Verdana" w:cs="Arial"/>
          <w:color w:val="1F497D"/>
          <w:sz w:val="18"/>
          <w:szCs w:val="18"/>
        </w:rPr>
        <w:t>=0.03)</w:t>
      </w:r>
    </w:p>
    <w:p xmlns:wp14="http://schemas.microsoft.com/office/word/2010/wordml" w:rsidRPr="00731622" w:rsidR="00002EC4" w:rsidP="7BB9BC80" w:rsidRDefault="00B45116" w14:paraId="323F3F1B"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
          <w:color w:val="1F497D"/>
          <w:sz w:val="18"/>
          <w:szCs w:val="18"/>
        </w:rPr>
      </w:pPr>
      <w:r w:rsidRPr="7BB9BC80" w:rsidR="7BB9BC80">
        <w:rPr>
          <w:rFonts w:ascii="Verdana" w:hAnsi="Verdana" w:cs="Arial"/>
          <w:color w:val="1F497D"/>
          <w:sz w:val="18"/>
          <w:szCs w:val="18"/>
        </w:rPr>
        <w:t>CHA</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DS</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-VASc=2 (IR (95% CI)/100</w:t>
      </w:r>
      <w:r w:rsidRPr="7BB9BC80" w:rsidR="7BB9BC80">
        <w:rPr>
          <w:rFonts w:ascii="Arial" w:hAnsi="Arial" w:cs="Arial"/>
          <w:color w:val="1F497D"/>
          <w:sz w:val="18"/>
          <w:szCs w:val="18"/>
        </w:rPr>
        <w:t> </w:t>
      </w:r>
      <w:r w:rsidRPr="7BB9BC80" w:rsidR="7BB9BC80">
        <w:rPr>
          <w:rFonts w:ascii="Verdana" w:hAnsi="Verdana" w:cs="Arial"/>
          <w:color w:val="1F497D"/>
          <w:sz w:val="18"/>
          <w:szCs w:val="18"/>
        </w:rPr>
        <w:t xml:space="preserve">PY: 0.8 (0.7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1.0) vs 1.4 (1.3 </w:t>
      </w:r>
      <w:proofErr w:type="spellStart"/>
      <w:r w:rsidRPr="7BB9BC80" w:rsidR="7BB9BC80">
        <w:rPr>
          <w:rFonts w:ascii="Verdana" w:hAnsi="Verdana" w:cs="Arial"/>
          <w:color w:val="1F497D"/>
          <w:sz w:val="18"/>
          <w:szCs w:val="18"/>
        </w:rPr>
        <w:t>to</w:t>
      </w:r>
      <w:proofErr w:type="spellEnd"/>
      <w:r w:rsidRPr="7BB9BC80" w:rsidR="7BB9BC80">
        <w:rPr>
          <w:rFonts w:ascii="Verdana" w:hAnsi="Verdana" w:cs="Arial"/>
          <w:color w:val="1F497D"/>
          <w:sz w:val="18"/>
          <w:szCs w:val="18"/>
        </w:rPr>
        <w:t xml:space="preserve"> 1.6), p </w:t>
      </w:r>
      <w:proofErr w:type="spellStart"/>
      <w:r w:rsidRPr="7BB9BC80" w:rsidR="7BB9BC80">
        <w:rPr>
          <w:rFonts w:ascii="Verdana" w:hAnsi="Verdana" w:cs="Arial"/>
          <w:color w:val="1F497D"/>
          <w:sz w:val="18"/>
          <w:szCs w:val="18"/>
        </w:rPr>
        <w:t>value</w:t>
      </w:r>
      <w:proofErr w:type="spellEnd"/>
      <w:r w:rsidRPr="7BB9BC80" w:rsidR="7BB9BC80">
        <w:rPr>
          <w:rFonts w:ascii="Verdana" w:hAnsi="Verdana" w:cs="Arial"/>
          <w:color w:val="1F497D"/>
          <w:sz w:val="18"/>
          <w:szCs w:val="18"/>
        </w:rPr>
        <w:t>=0.00)</w:t>
      </w:r>
      <w:r w:rsidRPr="7BB9BC80" w:rsidR="7BB9BC80">
        <w:rPr>
          <w:rFonts w:ascii="Verdana" w:hAnsi="Verdana" w:cs="Arial"/>
          <w:color w:val="1F497D"/>
          <w:sz w:val="18"/>
          <w:szCs w:val="18"/>
        </w:rPr>
        <w:t>.</w:t>
      </w:r>
    </w:p>
    <w:p xmlns:wp14="http://schemas.microsoft.com/office/word/2010/wordml" w:rsidRPr="00731622" w:rsidR="00B63AA6" w:rsidP="7BB9BC80" w:rsidRDefault="00B63AA6" w14:paraId="566C19D8"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40"/>
        <w:jc w:val="both"/>
        <w:rPr>
          <w:rFonts w:ascii="Verdana" w:hAnsi="Verdana" w:cs="Arial"/>
          <w:color w:val="1F497D"/>
          <w:sz w:val="18"/>
          <w:szCs w:val="18"/>
        </w:rPr>
      </w:pPr>
      <w:r w:rsidRPr="7BB9BC80" w:rsidR="7BB9BC80">
        <w:rPr>
          <w:rFonts w:ascii="Verdana" w:hAnsi="Verdana" w:cs="Arial"/>
          <w:color w:val="1F497D"/>
          <w:sz w:val="18"/>
          <w:szCs w:val="18"/>
        </w:rPr>
        <w:t xml:space="preserve">Uuringu autorite </w:t>
      </w:r>
      <w:r w:rsidRPr="7BB9BC80" w:rsidR="7BB9BC80">
        <w:rPr>
          <w:rFonts w:ascii="Verdana" w:hAnsi="Verdana" w:cs="Arial"/>
          <w:color w:val="1F497D"/>
          <w:sz w:val="18"/>
          <w:szCs w:val="18"/>
        </w:rPr>
        <w:t xml:space="preserve">sõnul </w:t>
      </w:r>
      <w:r w:rsidRPr="7BB9BC80" w:rsidR="7BB9BC80">
        <w:rPr>
          <w:rFonts w:ascii="Verdana" w:hAnsi="Verdana" w:cs="Arial"/>
          <w:color w:val="1F497D"/>
          <w:sz w:val="18"/>
          <w:szCs w:val="18"/>
        </w:rPr>
        <w:t xml:space="preserve">oli </w:t>
      </w:r>
      <w:proofErr w:type="spellStart"/>
      <w:r w:rsidRPr="7BB9BC80" w:rsidR="7BB9BC80">
        <w:rPr>
          <w:rFonts w:ascii="Verdana" w:hAnsi="Verdana" w:cs="Arial"/>
          <w:color w:val="1F497D"/>
          <w:sz w:val="18"/>
          <w:szCs w:val="18"/>
        </w:rPr>
        <w:t>varfariini</w:t>
      </w:r>
      <w:proofErr w:type="spellEnd"/>
      <w:r w:rsidRPr="7BB9BC80" w:rsidR="7BB9BC80">
        <w:rPr>
          <w:rFonts w:ascii="Verdana" w:hAnsi="Verdana" w:cs="Arial"/>
          <w:color w:val="1F497D"/>
          <w:sz w:val="18"/>
          <w:szCs w:val="18"/>
        </w:rPr>
        <w:t xml:space="preserve"> </w:t>
      </w:r>
      <w:r w:rsidRPr="7BB9BC80" w:rsidR="7BB9BC80">
        <w:rPr>
          <w:rFonts w:ascii="Verdana" w:hAnsi="Verdana" w:cs="Arial"/>
          <w:color w:val="1F497D"/>
          <w:sz w:val="18"/>
          <w:szCs w:val="18"/>
        </w:rPr>
        <w:t xml:space="preserve">kliiniline </w:t>
      </w:r>
      <w:r w:rsidRPr="7BB9BC80" w:rsidR="7BB9BC80">
        <w:rPr>
          <w:rFonts w:ascii="Verdana" w:hAnsi="Verdana" w:cs="Arial"/>
          <w:color w:val="1F497D"/>
          <w:sz w:val="18"/>
          <w:szCs w:val="18"/>
        </w:rPr>
        <w:t>netokasu</w:t>
      </w:r>
      <w:r w:rsidRPr="7BB9BC80" w:rsidR="7BB9BC80">
        <w:rPr>
          <w:rFonts w:ascii="Verdana" w:hAnsi="Verdana" w:cs="Arial"/>
          <w:color w:val="1F497D"/>
          <w:sz w:val="18"/>
          <w:szCs w:val="18"/>
        </w:rPr>
        <w:t xml:space="preserve"> (net </w:t>
      </w:r>
      <w:proofErr w:type="spellStart"/>
      <w:r w:rsidRPr="7BB9BC80" w:rsidR="7BB9BC80">
        <w:rPr>
          <w:rFonts w:ascii="Verdana" w:hAnsi="Verdana" w:cs="Arial"/>
          <w:color w:val="1F497D"/>
          <w:sz w:val="18"/>
          <w:szCs w:val="18"/>
        </w:rPr>
        <w:t>clinical</w:t>
      </w:r>
      <w:proofErr w:type="spellEnd"/>
      <w:r w:rsidRPr="7BB9BC80" w:rsidR="7BB9BC80">
        <w:rPr>
          <w:rFonts w:ascii="Verdana" w:hAnsi="Verdana" w:cs="Arial"/>
          <w:color w:val="1F497D"/>
          <w:sz w:val="18"/>
          <w:szCs w:val="18"/>
        </w:rPr>
        <w:t xml:space="preserve"> </w:t>
      </w:r>
      <w:proofErr w:type="spellStart"/>
      <w:r w:rsidRPr="7BB9BC80" w:rsidR="7BB9BC80">
        <w:rPr>
          <w:rFonts w:ascii="Verdana" w:hAnsi="Verdana" w:cs="Arial"/>
          <w:color w:val="1F497D"/>
          <w:sz w:val="18"/>
          <w:szCs w:val="18"/>
        </w:rPr>
        <w:t>benefit</w:t>
      </w:r>
      <w:proofErr w:type="spellEnd"/>
      <w:r w:rsidRPr="7BB9BC80" w:rsidR="7BB9BC80">
        <w:rPr>
          <w:rFonts w:ascii="Verdana" w:hAnsi="Verdana" w:cs="Arial"/>
          <w:color w:val="1F497D"/>
          <w:sz w:val="18"/>
          <w:szCs w:val="18"/>
        </w:rPr>
        <w:t xml:space="preserve"> - NCB)</w:t>
      </w:r>
      <w:r w:rsidRPr="7BB9BC80" w:rsidR="7BB9BC80">
        <w:rPr>
          <w:rFonts w:ascii="Verdana" w:hAnsi="Verdana" w:cs="Arial"/>
          <w:color w:val="1F497D"/>
          <w:sz w:val="18"/>
          <w:szCs w:val="18"/>
        </w:rPr>
        <w:t xml:space="preserve"> märgatav alates CHA</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DS</w:t>
      </w:r>
      <w:r w:rsidRPr="7BB9BC80" w:rsidR="7BB9BC80">
        <w:rPr>
          <w:rFonts w:ascii="Verdana" w:hAnsi="Verdana" w:cs="Arial"/>
          <w:color w:val="1F497D"/>
          <w:sz w:val="18"/>
          <w:szCs w:val="18"/>
          <w:vertAlign w:val="subscript"/>
        </w:rPr>
        <w:t>2</w:t>
      </w:r>
      <w:r w:rsidRPr="7BB9BC80" w:rsidR="7BB9BC80">
        <w:rPr>
          <w:rFonts w:ascii="Verdana" w:hAnsi="Verdana" w:cs="Arial"/>
          <w:color w:val="1F497D"/>
          <w:sz w:val="18"/>
          <w:szCs w:val="18"/>
        </w:rPr>
        <w:t>-VASc</w:t>
      </w:r>
      <w:r w:rsidRPr="7BB9BC80" w:rsidR="7BB9BC80">
        <w:rPr>
          <w:rFonts w:ascii="Verdana" w:hAnsi="Verdana" w:cs="Arial"/>
          <w:color w:val="1F497D"/>
          <w:sz w:val="18"/>
          <w:szCs w:val="18"/>
        </w:rPr>
        <w:t xml:space="preserve"> ≥ </w:t>
      </w:r>
      <w:r w:rsidRPr="7BB9BC80" w:rsidR="7BB9BC80">
        <w:rPr>
          <w:rFonts w:ascii="Verdana" w:hAnsi="Verdana" w:cs="Arial"/>
          <w:color w:val="1F497D"/>
          <w:sz w:val="18"/>
          <w:szCs w:val="18"/>
        </w:rPr>
        <w:t>2</w:t>
      </w:r>
      <w:r w:rsidRPr="7BB9BC80" w:rsidR="7BB9BC80">
        <w:rPr>
          <w:rFonts w:ascii="Verdana" w:hAnsi="Verdana" w:cs="Arial"/>
          <w:color w:val="1F497D"/>
          <w:sz w:val="18"/>
          <w:szCs w:val="18"/>
        </w:rPr>
        <w:t xml:space="preserve"> meestel ja ≥ 3 naistel</w:t>
      </w:r>
      <w:r w:rsidRPr="7BB9BC80" w:rsidR="7BB9BC80">
        <w:rPr>
          <w:rFonts w:ascii="Verdana" w:hAnsi="Verdana" w:cs="Arial"/>
          <w:color w:val="1F497D"/>
          <w:sz w:val="18"/>
          <w:szCs w:val="18"/>
        </w:rPr>
        <w:t>.</w:t>
      </w:r>
    </w:p>
    <w:p xmlns:wp14="http://schemas.microsoft.com/office/word/2010/wordml" w:rsidRPr="00731622" w:rsidR="00AE63C4" w:rsidP="002C0E7F" w:rsidRDefault="00AE63C4" w14:paraId="5BD4417D" wp14:textId="77777777">
      <w:pPr>
        <w:pBdr>
          <w:top w:val="single" w:color="auto" w:sz="4" w:space="1"/>
          <w:left w:val="single" w:color="auto" w:sz="4" w:space="4"/>
          <w:bottom w:val="single" w:color="auto" w:sz="4" w:space="1"/>
          <w:right w:val="single" w:color="auto" w:sz="4" w:space="4"/>
        </w:pBdr>
        <w:shd w:val="clear" w:color="auto" w:fill="FFFFFF"/>
        <w:spacing w:after="120"/>
        <w:ind w:right="240"/>
        <w:jc w:val="both"/>
        <w:rPr>
          <w:rFonts w:ascii="Verdana" w:hAnsi="Verdana" w:cs="ArialMT"/>
          <w:color w:val="000080"/>
          <w:sz w:val="18"/>
          <w:szCs w:val="18"/>
          <w:lang w:eastAsia="en-US"/>
        </w:rPr>
      </w:pPr>
    </w:p>
    <w:p xmlns:wp14="http://schemas.microsoft.com/office/word/2010/wordml" w:rsidRPr="00731622" w:rsidR="003B0510" w:rsidP="458ADAC5" w:rsidRDefault="002C0E7F" w14:paraId="364EBDC2" wp14:textId="77777777" wp14:noSpellErr="1">
      <w:pPr>
        <w:shd w:val="clear" w:color="auto" w:fill="FFFFFF" w:themeFill="background1"/>
        <w:spacing w:after="120"/>
        <w:ind w:right="238"/>
        <w:rPr>
          <w:rFonts w:ascii="Verdana" w:hAnsi="Verdana" w:cs="Arial"/>
          <w:b w:val="1"/>
          <w:bCs w:val="1"/>
          <w:color w:val="1F497D"/>
          <w:sz w:val="18"/>
          <w:szCs w:val="18"/>
        </w:rPr>
      </w:pPr>
      <w:r w:rsidRPr="458ADAC5" w:rsidR="458ADAC5">
        <w:rPr>
          <w:rFonts w:ascii="Verdana" w:hAnsi="Verdana" w:cs="Arial"/>
          <w:b w:val="1"/>
          <w:bCs w:val="1"/>
          <w:color w:val="1F497D"/>
          <w:sz w:val="18"/>
          <w:szCs w:val="18"/>
        </w:rPr>
        <w:t>Lühike kokkuvõte ravijuhendite soovitustest samal teemal</w:t>
      </w:r>
    </w:p>
    <w:p xmlns:wp14="http://schemas.microsoft.com/office/word/2010/wordml" w:rsidRPr="00731622" w:rsidR="00CE2D37" w:rsidP="7BB9BC80" w:rsidRDefault="00CE2D37" w14:paraId="4767BEC5" wp14:textId="4B90ACCA">
      <w:pPr>
        <w:pBdr>
          <w:top w:val="single" w:color="auto" w:sz="4" w:space="1"/>
          <w:left w:val="single" w:color="auto" w:sz="4" w:space="4"/>
          <w:bottom w:val="single" w:color="auto" w:sz="4" w:space="1"/>
          <w:right w:val="single" w:color="auto" w:sz="4" w:space="4"/>
        </w:pBdr>
        <w:shd w:val="clear" w:color="auto" w:fill="FFFFFF" w:themeFill="background1"/>
        <w:spacing w:after="120"/>
        <w:ind w:right="238"/>
        <w:jc w:val="both"/>
        <w:rPr>
          <w:rFonts w:ascii="Verdana" w:hAnsi="Verdana" w:cs="ArialMT"/>
          <w:color w:val="1F497D"/>
          <w:sz w:val="18"/>
          <w:szCs w:val="18"/>
          <w:lang w:eastAsia="en-US"/>
        </w:rPr>
      </w:pPr>
      <w:r w:rsidRPr="7BB9BC80" w:rsidR="7BB9BC80">
        <w:rPr>
          <w:rFonts w:ascii="Verdana" w:hAnsi="Verdana" w:cs="ArialMT"/>
          <w:b w:val="1"/>
          <w:bCs w:val="1"/>
          <w:color w:val="1F497D"/>
          <w:sz w:val="18"/>
          <w:szCs w:val="18"/>
          <w:lang w:eastAsia="en-US"/>
        </w:rPr>
        <w:t>ESC 2016</w:t>
      </w:r>
      <w:r w:rsidRPr="7BB9BC80" w:rsidR="7BB9BC80">
        <w:rPr>
          <w:rFonts w:ascii="Verdana" w:hAnsi="Verdana" w:cs="ArialMT"/>
          <w:color w:val="1F497D"/>
          <w:sz w:val="18"/>
          <w:szCs w:val="18"/>
          <w:lang w:eastAsia="en-US"/>
        </w:rPr>
        <w:t xml:space="preserve"> soovitab CHA2DS2-VASc = 0 korral </w:t>
      </w:r>
      <w:proofErr w:type="spellStart"/>
      <w:r w:rsidRPr="7BB9BC80" w:rsidR="7BB9BC80">
        <w:rPr>
          <w:rFonts w:ascii="Verdana" w:hAnsi="Verdana" w:cs="ArialMT"/>
          <w:color w:val="1F497D"/>
          <w:sz w:val="18"/>
          <w:szCs w:val="18"/>
          <w:lang w:eastAsia="en-US"/>
        </w:rPr>
        <w:t>antitrombootilist</w:t>
      </w:r>
      <w:proofErr w:type="spellEnd"/>
      <w:r w:rsidRPr="7BB9BC80" w:rsidR="7BB9BC80">
        <w:rPr>
          <w:rFonts w:ascii="Verdana" w:hAnsi="Verdana" w:cs="ArialMT"/>
          <w:color w:val="1F497D"/>
          <w:sz w:val="18"/>
          <w:szCs w:val="18"/>
          <w:lang w:eastAsia="en-US"/>
        </w:rPr>
        <w:t xml:space="preserve"> ravi mitte kasutada. Madala trombemboolia riski korral (CHA2DS2-VASc = 1 meestel ja CHA2DS2-VASc = 2 naistel) korral soovitab ESC 2016 suukaudset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kaaluda, arvestades patsiendi eelistusteg</w:t>
      </w:r>
      <w:r w:rsidRPr="7BB9BC80" w:rsidR="7BB9BC80">
        <w:rPr>
          <w:rFonts w:ascii="Verdana" w:hAnsi="Verdana" w:cs="ArialMT"/>
          <w:color w:val="1F497D"/>
          <w:sz w:val="18"/>
          <w:szCs w:val="18"/>
          <w:lang w:eastAsia="en-US"/>
        </w:rPr>
        <w:t>a, veritsusriskiga ja erinevate riskifaktorite tähtsusega (vanus &gt;65 on oluline ja püsivalt suureneva mõjuga riskifaktor).</w:t>
      </w:r>
      <w:r w:rsidRPr="7BB9BC80" w:rsidR="7BB9BC80">
        <w:rPr>
          <w:rFonts w:ascii="Verdana" w:hAnsi="Verdana" w:cs="ArialMT"/>
          <w:color w:val="1F497D"/>
          <w:sz w:val="18"/>
          <w:szCs w:val="18"/>
          <w:lang w:eastAsia="en-US"/>
        </w:rPr>
        <w:t xml:space="preserve"> Ilma insuldi riskifaktoriteta KVA patsientidel</w:t>
      </w:r>
      <w:r w:rsidRPr="7BB9BC80" w:rsidR="7BB9BC80">
        <w:rPr>
          <w:rFonts w:ascii="Verdana" w:hAnsi="Verdana" w:cs="ArialMT"/>
          <w:color w:val="1F497D"/>
          <w:sz w:val="18"/>
          <w:szCs w:val="18"/>
          <w:lang w:eastAsia="en-US"/>
        </w:rPr>
        <w:t xml:space="preserve"> </w:t>
      </w:r>
      <w:r w:rsidRPr="7BB9BC80" w:rsidR="7BB9BC80">
        <w:rPr>
          <w:rFonts w:ascii="Verdana" w:hAnsi="Verdana" w:cs="ArialMT"/>
          <w:color w:val="1F497D"/>
          <w:sz w:val="18"/>
          <w:szCs w:val="18"/>
          <w:lang w:eastAsia="en-US"/>
        </w:rPr>
        <w:t xml:space="preserve">ei ole </w:t>
      </w:r>
      <w:proofErr w:type="spellStart"/>
      <w:r w:rsidRPr="7BB9BC80" w:rsidR="7BB9BC80">
        <w:rPr>
          <w:rFonts w:ascii="Verdana" w:hAnsi="Verdana" w:cs="ArialMT"/>
          <w:color w:val="1F497D"/>
          <w:sz w:val="18"/>
          <w:szCs w:val="18"/>
          <w:lang w:eastAsia="en-US"/>
        </w:rPr>
        <w:t>antiagregant</w:t>
      </w:r>
      <w:proofErr w:type="spellEnd"/>
      <w:r w:rsidRPr="7BB9BC80" w:rsidR="7BB9BC80">
        <w:rPr>
          <w:rFonts w:ascii="Verdana" w:hAnsi="Verdana" w:cs="ArialMT"/>
          <w:color w:val="1F497D"/>
          <w:sz w:val="18"/>
          <w:szCs w:val="18"/>
          <w:lang w:eastAsia="en-US"/>
        </w:rPr>
        <w:t xml:space="preserve"> (ega </w:t>
      </w:r>
      <w:proofErr w:type="spellStart"/>
      <w:r w:rsidRPr="7BB9BC80" w:rsidR="7BB9BC80">
        <w:rPr>
          <w:rFonts w:ascii="Verdana" w:hAnsi="Verdana" w:cs="ArialMT"/>
          <w:color w:val="1F497D"/>
          <w:sz w:val="18"/>
          <w:szCs w:val="18"/>
          <w:lang w:eastAsia="en-US"/>
        </w:rPr>
        <w:t>antikoagulant</w:t>
      </w:r>
      <w:proofErr w:type="spellEnd"/>
      <w:r w:rsidRPr="7BB9BC80" w:rsidR="7BB9BC80">
        <w:rPr>
          <w:rFonts w:ascii="Verdana" w:hAnsi="Verdana" w:cs="ArialMT"/>
          <w:color w:val="1F497D"/>
          <w:sz w:val="18"/>
          <w:szCs w:val="18"/>
          <w:lang w:eastAsia="en-US"/>
        </w:rPr>
        <w:t xml:space="preserve">) soovitav (IIIB). </w:t>
      </w:r>
      <w:proofErr w:type="spellStart"/>
      <w:r w:rsidRPr="7BB9BC80" w:rsidR="7BB9BC80">
        <w:rPr>
          <w:rFonts w:ascii="Verdana" w:hAnsi="Verdana" w:cs="ArialMT"/>
          <w:color w:val="1F497D"/>
          <w:sz w:val="18"/>
          <w:szCs w:val="18"/>
          <w:lang w:eastAsia="en-US"/>
        </w:rPr>
        <w:t>Antiagregan</w:t>
      </w:r>
      <w:r w:rsidRPr="7BB9BC80" w:rsidR="7BB9BC80">
        <w:rPr>
          <w:rFonts w:ascii="Verdana" w:hAnsi="Verdana" w:cs="ArialMT"/>
          <w:color w:val="1F497D"/>
          <w:sz w:val="18"/>
          <w:szCs w:val="18"/>
          <w:lang w:eastAsia="en-US"/>
        </w:rPr>
        <w:t>t</w:t>
      </w:r>
      <w:proofErr w:type="spellEnd"/>
      <w:r w:rsidRPr="7BB9BC80" w:rsidR="7BB9BC80">
        <w:rPr>
          <w:rFonts w:ascii="Verdana" w:hAnsi="Verdana" w:cs="ArialMT"/>
          <w:color w:val="1F497D"/>
          <w:sz w:val="18"/>
          <w:szCs w:val="18"/>
          <w:lang w:eastAsia="en-US"/>
        </w:rPr>
        <w:t xml:space="preserve"> monoteraapiana ei ole insuldi profülaktikaks soovitav (IIIA).</w:t>
      </w:r>
    </w:p>
    <w:p xmlns:wp14="http://schemas.microsoft.com/office/word/2010/wordml" w:rsidRPr="00731622" w:rsidR="005D2FB9" w:rsidP="7BB9BC80" w:rsidRDefault="002C6CB0" w14:paraId="6CDDD379"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38"/>
        <w:jc w:val="both"/>
        <w:rPr>
          <w:rFonts w:ascii="Verdana" w:hAnsi="Verdana" w:cs="ArialMT"/>
          <w:color w:val="1F497D"/>
          <w:sz w:val="18"/>
          <w:szCs w:val="18"/>
          <w:lang w:eastAsia="en-US"/>
        </w:rPr>
      </w:pPr>
      <w:r w:rsidRPr="7BB9BC80" w:rsidR="7BB9BC80">
        <w:rPr>
          <w:rFonts w:ascii="Verdana" w:hAnsi="Verdana" w:cs="ArialMT"/>
          <w:b w:val="1"/>
          <w:bCs w:val="1"/>
          <w:color w:val="1F497D"/>
          <w:sz w:val="18"/>
          <w:szCs w:val="18"/>
          <w:lang w:eastAsia="en-US"/>
        </w:rPr>
        <w:t>AHA</w:t>
      </w:r>
      <w:r w:rsidRPr="7BB9BC80" w:rsidR="7BB9BC80">
        <w:rPr>
          <w:rFonts w:ascii="Verdana" w:hAnsi="Verdana" w:cs="ArialMT"/>
          <w:b w:val="1"/>
          <w:bCs w:val="1"/>
          <w:color w:val="1F497D"/>
          <w:sz w:val="18"/>
          <w:szCs w:val="18"/>
          <w:lang w:eastAsia="en-US"/>
        </w:rPr>
        <w:t xml:space="preserve"> 2014</w:t>
      </w:r>
      <w:r w:rsidRPr="7BB9BC80" w:rsidR="7BB9BC80">
        <w:rPr>
          <w:rFonts w:ascii="Verdana" w:hAnsi="Verdana" w:cs="ArialMT"/>
          <w:color w:val="1F497D"/>
          <w:sz w:val="18"/>
          <w:szCs w:val="18"/>
          <w:lang w:eastAsia="en-US"/>
        </w:rPr>
        <w:t xml:space="preserve"> soovitab CHA2DS2-VASc = 0 korral </w:t>
      </w:r>
      <w:proofErr w:type="spellStart"/>
      <w:r w:rsidRPr="7BB9BC80" w:rsidR="7BB9BC80">
        <w:rPr>
          <w:rFonts w:ascii="Verdana" w:hAnsi="Verdana" w:cs="ArialMT"/>
          <w:color w:val="1F497D"/>
          <w:sz w:val="18"/>
          <w:szCs w:val="18"/>
          <w:lang w:eastAsia="en-US"/>
        </w:rPr>
        <w:t>antitrombootilist</w:t>
      </w:r>
      <w:proofErr w:type="spellEnd"/>
      <w:r w:rsidRPr="7BB9BC80" w:rsidR="7BB9BC80">
        <w:rPr>
          <w:rFonts w:ascii="Verdana" w:hAnsi="Verdana" w:cs="ArialMT"/>
          <w:color w:val="1F497D"/>
          <w:sz w:val="18"/>
          <w:szCs w:val="18"/>
          <w:lang w:eastAsia="en-US"/>
        </w:rPr>
        <w:t xml:space="preserve"> ravi mitte kasutada</w:t>
      </w:r>
      <w:r w:rsidRPr="7BB9BC80" w:rsidR="7BB9BC80">
        <w:rPr>
          <w:rFonts w:ascii="Verdana" w:hAnsi="Verdana" w:cs="ArialMT"/>
          <w:color w:val="1F497D"/>
          <w:sz w:val="18"/>
          <w:szCs w:val="18"/>
          <w:lang w:eastAsia="en-US"/>
        </w:rPr>
        <w:t xml:space="preserve"> (IIA, B)</w:t>
      </w:r>
      <w:r w:rsidRPr="7BB9BC80" w:rsidR="7BB9BC80">
        <w:rPr>
          <w:rFonts w:ascii="Verdana" w:hAnsi="Verdana" w:cs="ArialMT"/>
          <w:color w:val="1F497D"/>
          <w:sz w:val="18"/>
          <w:szCs w:val="18"/>
          <w:lang w:eastAsia="en-US"/>
        </w:rPr>
        <w:t xml:space="preserve">. </w:t>
      </w:r>
      <w:r w:rsidRPr="7BB9BC80" w:rsidR="7BB9BC80">
        <w:rPr>
          <w:rFonts w:ascii="Verdana" w:hAnsi="Verdana" w:cs="ArialMT"/>
          <w:color w:val="1F497D"/>
          <w:sz w:val="18"/>
          <w:szCs w:val="18"/>
          <w:lang w:eastAsia="en-US"/>
        </w:rPr>
        <w:t xml:space="preserve">CHA2DS2-VASc = 1 korral soovitatakse </w:t>
      </w:r>
      <w:proofErr w:type="spellStart"/>
      <w:r w:rsidRPr="7BB9BC80" w:rsidR="7BB9BC80">
        <w:rPr>
          <w:rFonts w:ascii="Verdana" w:hAnsi="Verdana" w:cs="ArialMT"/>
          <w:color w:val="1F497D"/>
          <w:sz w:val="18"/>
          <w:szCs w:val="18"/>
          <w:lang w:eastAsia="en-US"/>
        </w:rPr>
        <w:t>antitrombootilist</w:t>
      </w:r>
      <w:proofErr w:type="spellEnd"/>
      <w:r w:rsidRPr="7BB9BC80" w:rsidR="7BB9BC80">
        <w:rPr>
          <w:rFonts w:ascii="Verdana" w:hAnsi="Verdana" w:cs="ArialMT"/>
          <w:color w:val="1F497D"/>
          <w:sz w:val="18"/>
          <w:szCs w:val="18"/>
          <w:lang w:eastAsia="en-US"/>
        </w:rPr>
        <w:t xml:space="preserve"> ravi mitte rakendada</w:t>
      </w:r>
      <w:r w:rsidRPr="7BB9BC80" w:rsidR="7BB9BC80">
        <w:rPr>
          <w:rFonts w:ascii="Verdana" w:hAnsi="Verdana" w:cs="ArialMT"/>
          <w:color w:val="1F497D"/>
          <w:sz w:val="18"/>
          <w:szCs w:val="18"/>
          <w:lang w:eastAsia="en-US"/>
        </w:rPr>
        <w:t xml:space="preserve">, kasutada </w:t>
      </w:r>
      <w:proofErr w:type="spellStart"/>
      <w:r w:rsidRPr="7BB9BC80" w:rsidR="7BB9BC80">
        <w:rPr>
          <w:rFonts w:ascii="Verdana" w:hAnsi="Verdana" w:cs="ArialMT"/>
          <w:color w:val="1F497D"/>
          <w:sz w:val="18"/>
          <w:szCs w:val="18"/>
          <w:lang w:eastAsia="en-US"/>
        </w:rPr>
        <w:t>antikoagul</w:t>
      </w:r>
      <w:r w:rsidRPr="7BB9BC80" w:rsidR="7BB9BC80">
        <w:rPr>
          <w:rFonts w:ascii="Verdana" w:hAnsi="Verdana" w:cs="ArialMT"/>
          <w:color w:val="1F497D"/>
          <w:sz w:val="18"/>
          <w:szCs w:val="18"/>
          <w:lang w:eastAsia="en-US"/>
        </w:rPr>
        <w:t>antravi</w:t>
      </w:r>
      <w:proofErr w:type="spellEnd"/>
      <w:r w:rsidRPr="7BB9BC80" w:rsidR="7BB9BC80">
        <w:rPr>
          <w:rFonts w:ascii="Verdana" w:hAnsi="Verdana" w:cs="ArialMT"/>
          <w:color w:val="1F497D"/>
          <w:sz w:val="18"/>
          <w:szCs w:val="18"/>
          <w:lang w:eastAsia="en-US"/>
        </w:rPr>
        <w:t xml:space="preserve"> või aspiriini (IIB, C).</w:t>
      </w:r>
    </w:p>
    <w:p xmlns:wp14="http://schemas.microsoft.com/office/word/2010/wordml" w:rsidRPr="00731622" w:rsidR="00CE2D37" w:rsidP="7BB9BC80" w:rsidRDefault="00A64FC4" w14:paraId="09F3E6D4"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38"/>
        <w:jc w:val="both"/>
        <w:rPr>
          <w:rFonts w:ascii="Verdana" w:hAnsi="Verdana" w:cs="ArialMT"/>
          <w:color w:val="1F497D"/>
          <w:sz w:val="18"/>
          <w:szCs w:val="18"/>
          <w:lang w:eastAsia="en-US"/>
        </w:rPr>
      </w:pPr>
      <w:r w:rsidRPr="7BB9BC80" w:rsidR="7BB9BC80">
        <w:rPr>
          <w:rFonts w:ascii="Verdana" w:hAnsi="Verdana" w:cs="ArialMT"/>
          <w:b w:val="1"/>
          <w:bCs w:val="1"/>
          <w:color w:val="1F497D"/>
          <w:sz w:val="18"/>
          <w:szCs w:val="18"/>
          <w:lang w:eastAsia="en-US"/>
        </w:rPr>
        <w:t>NICE 2014</w:t>
      </w:r>
      <w:r w:rsidRPr="7BB9BC80" w:rsidR="7BB9BC80">
        <w:rPr>
          <w:rFonts w:ascii="Verdana" w:hAnsi="Verdana" w:cs="ArialMT"/>
          <w:color w:val="1F497D"/>
          <w:sz w:val="18"/>
          <w:szCs w:val="18"/>
          <w:lang w:eastAsia="en-US"/>
        </w:rPr>
        <w:t xml:space="preserve"> ravijuhend soovitab CHA2DS2-VASc = 0 skooriga meestele ja CHA2DS2-VASc = 1 naistele </w:t>
      </w:r>
      <w:proofErr w:type="spellStart"/>
      <w:r w:rsidRPr="7BB9BC80" w:rsidR="7BB9BC80">
        <w:rPr>
          <w:rFonts w:ascii="Verdana" w:hAnsi="Verdana" w:cs="ArialMT"/>
          <w:color w:val="1F497D"/>
          <w:sz w:val="18"/>
          <w:szCs w:val="18"/>
          <w:lang w:eastAsia="en-US"/>
        </w:rPr>
        <w:t>antitrombootilist</w:t>
      </w:r>
      <w:proofErr w:type="spellEnd"/>
      <w:r w:rsidRPr="7BB9BC80" w:rsidR="7BB9BC80">
        <w:rPr>
          <w:rFonts w:ascii="Verdana" w:hAnsi="Verdana" w:cs="ArialMT"/>
          <w:color w:val="1F497D"/>
          <w:sz w:val="18"/>
          <w:szCs w:val="18"/>
          <w:lang w:eastAsia="en-US"/>
        </w:rPr>
        <w:t xml:space="preserve"> ravi mitte rakendada. </w:t>
      </w:r>
      <w:r w:rsidRPr="7BB9BC80" w:rsidR="7BB9BC80">
        <w:rPr>
          <w:rFonts w:ascii="Verdana" w:hAnsi="Verdana" w:cs="ArialMT"/>
          <w:color w:val="1F497D"/>
          <w:sz w:val="18"/>
          <w:szCs w:val="18"/>
          <w:lang w:eastAsia="en-US"/>
        </w:rPr>
        <w:t>Ravijuhend soovitab kaaluda CHA2DS2-VASc = 1 meeste</w:t>
      </w:r>
      <w:r w:rsidRPr="7BB9BC80" w:rsidR="7BB9BC80">
        <w:rPr>
          <w:rFonts w:ascii="Verdana" w:hAnsi="Verdana" w:cs="ArialMT"/>
          <w:color w:val="1F497D"/>
          <w:sz w:val="18"/>
          <w:szCs w:val="18"/>
          <w:lang w:eastAsia="en-US"/>
        </w:rPr>
        <w:t xml:space="preserve">l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rakendamist, arvestades veritsusriski.</w:t>
      </w:r>
    </w:p>
    <w:p xmlns:wp14="http://schemas.microsoft.com/office/word/2010/wordml" w:rsidRPr="00731622" w:rsidR="00CE2D37" w:rsidP="7BB9BC80" w:rsidRDefault="00C14AF5" w14:paraId="216DCF8A"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38"/>
        <w:jc w:val="both"/>
        <w:rPr>
          <w:rFonts w:ascii="Verdana" w:hAnsi="Verdana"/>
          <w:color w:val="1F497D"/>
          <w:sz w:val="18"/>
          <w:szCs w:val="18"/>
        </w:rPr>
      </w:pPr>
      <w:r w:rsidRPr="7BB9BC80" w:rsidR="7BB9BC80">
        <w:rPr>
          <w:rFonts w:ascii="Verdana" w:hAnsi="Verdana" w:cs="ArialMT"/>
          <w:b w:val="1"/>
          <w:bCs w:val="1"/>
          <w:color w:val="1F497D"/>
          <w:sz w:val="18"/>
          <w:szCs w:val="18"/>
          <w:lang w:eastAsia="en-US"/>
        </w:rPr>
        <w:t>Kanada ravijuhend</w:t>
      </w:r>
      <w:r w:rsidRPr="7BB9BC80" w:rsidR="7BB9BC80">
        <w:rPr>
          <w:rFonts w:ascii="Verdana" w:hAnsi="Verdana" w:cs="ArialMT"/>
          <w:color w:val="1F497D"/>
          <w:sz w:val="18"/>
          <w:szCs w:val="18"/>
          <w:lang w:eastAsia="en-US"/>
        </w:rPr>
        <w:t xml:space="preserve"> soovitab kasutada trombemboolia </w:t>
      </w:r>
      <w:r w:rsidRPr="7BB9BC80" w:rsidR="7BB9BC80">
        <w:rPr>
          <w:rFonts w:ascii="Verdana" w:hAnsi="Verdana" w:cs="ArialMT"/>
          <w:color w:val="1F497D"/>
          <w:sz w:val="18"/>
          <w:szCs w:val="18"/>
          <w:lang w:eastAsia="en-US"/>
        </w:rPr>
        <w:t xml:space="preserve">riskikalkulatsioonides CHADS2 kombineerides seda vanusega &gt; 65 - nimetavad "CCS algoritmiks" – see pole 1/1 ülevõetav CHA2DS2-VASc </w:t>
      </w:r>
      <w:proofErr w:type="spellStart"/>
      <w:r w:rsidRPr="7BB9BC80" w:rsidR="7BB9BC80">
        <w:rPr>
          <w:rFonts w:ascii="Verdana" w:hAnsi="Verdana" w:cs="ArialMT"/>
          <w:color w:val="1F497D"/>
          <w:sz w:val="18"/>
          <w:szCs w:val="18"/>
          <w:lang w:eastAsia="en-US"/>
        </w:rPr>
        <w:t>skooringu</w:t>
      </w:r>
      <w:proofErr w:type="spellEnd"/>
      <w:r w:rsidRPr="7BB9BC80" w:rsidR="7BB9BC80">
        <w:rPr>
          <w:rFonts w:ascii="Verdana" w:hAnsi="Verdana" w:cs="ArialMT"/>
          <w:color w:val="1F497D"/>
          <w:sz w:val="18"/>
          <w:szCs w:val="18"/>
          <w:lang w:eastAsia="en-US"/>
        </w:rPr>
        <w:t xml:space="preserve"> numbritega.</w:t>
      </w:r>
    </w:p>
    <w:p xmlns:wp14="http://schemas.microsoft.com/office/word/2010/wordml" w:rsidRPr="00731622" w:rsidR="00CE2D37" w:rsidP="7BB9BC80" w:rsidRDefault="00ED3CD2" w14:paraId="097242D8" wp14:textId="77777777">
      <w:pPr>
        <w:pBdr>
          <w:top w:val="single" w:color="auto" w:sz="4" w:space="1"/>
          <w:left w:val="single" w:color="auto" w:sz="4" w:space="4"/>
          <w:bottom w:val="single" w:color="auto" w:sz="4" w:space="1"/>
          <w:right w:val="single" w:color="auto" w:sz="4" w:space="4"/>
        </w:pBdr>
        <w:shd w:val="clear" w:color="auto" w:fill="FFFFFF" w:themeFill="background1"/>
        <w:spacing w:after="120"/>
        <w:ind w:right="238"/>
        <w:jc w:val="both"/>
        <w:rPr>
          <w:rFonts w:ascii="Verdana" w:hAnsi="Verdana" w:cs="ArialMT"/>
          <w:color w:val="1F497D"/>
          <w:sz w:val="18"/>
          <w:szCs w:val="18"/>
          <w:lang w:eastAsia="en-US"/>
        </w:rPr>
      </w:pPr>
      <w:r w:rsidRPr="7BB9BC80" w:rsidR="7BB9BC80">
        <w:rPr>
          <w:rFonts w:ascii="Verdana" w:hAnsi="Verdana" w:cs="ArialMT"/>
          <w:b w:val="1"/>
          <w:bCs w:val="1"/>
          <w:color w:val="1F497D"/>
          <w:sz w:val="18"/>
          <w:szCs w:val="18"/>
          <w:lang w:eastAsia="en-US"/>
        </w:rPr>
        <w:t>SOOME ravijuhend</w:t>
      </w:r>
      <w:r w:rsidRPr="7BB9BC80" w:rsidR="7BB9BC80">
        <w:rPr>
          <w:rFonts w:ascii="Verdana" w:hAnsi="Verdana" w:cs="ArialMT"/>
          <w:color w:val="1F497D"/>
          <w:sz w:val="18"/>
          <w:szCs w:val="18"/>
          <w:lang w:eastAsia="en-US"/>
        </w:rPr>
        <w:t xml:space="preserve"> soovitab CHA2DS2-VASc = 0 korral </w:t>
      </w:r>
      <w:proofErr w:type="spellStart"/>
      <w:r w:rsidRPr="7BB9BC80" w:rsidR="7BB9BC80">
        <w:rPr>
          <w:rFonts w:ascii="Verdana" w:hAnsi="Verdana" w:cs="ArialMT"/>
          <w:color w:val="1F497D"/>
          <w:sz w:val="18"/>
          <w:szCs w:val="18"/>
          <w:lang w:eastAsia="en-US"/>
        </w:rPr>
        <w:t>antitrombootilist</w:t>
      </w:r>
      <w:proofErr w:type="spellEnd"/>
      <w:r w:rsidRPr="7BB9BC80" w:rsidR="7BB9BC80">
        <w:rPr>
          <w:rFonts w:ascii="Verdana" w:hAnsi="Verdana" w:cs="ArialMT"/>
          <w:color w:val="1F497D"/>
          <w:sz w:val="18"/>
          <w:szCs w:val="18"/>
          <w:lang w:eastAsia="en-US"/>
        </w:rPr>
        <w:t xml:space="preserve"> ravi mitte kasutada. CHA2DS2-VASc = 1 korral soovitatakse kasutada </w:t>
      </w:r>
      <w:proofErr w:type="spellStart"/>
      <w:r w:rsidRPr="7BB9BC80" w:rsidR="7BB9BC80">
        <w:rPr>
          <w:rFonts w:ascii="Verdana" w:hAnsi="Verdana" w:cs="ArialMT"/>
          <w:color w:val="1F497D"/>
          <w:sz w:val="18"/>
          <w:szCs w:val="18"/>
          <w:lang w:eastAsia="en-US"/>
        </w:rPr>
        <w:t>antikoagulantravi</w:t>
      </w:r>
      <w:proofErr w:type="spellEnd"/>
      <w:r w:rsidRPr="7BB9BC80" w:rsidR="7BB9BC80">
        <w:rPr>
          <w:rFonts w:ascii="Verdana" w:hAnsi="Verdana" w:cs="ArialMT"/>
          <w:color w:val="1F497D"/>
          <w:sz w:val="18"/>
          <w:szCs w:val="18"/>
          <w:lang w:eastAsia="en-US"/>
        </w:rPr>
        <w:t xml:space="preserve"> või loobuda </w:t>
      </w:r>
      <w:proofErr w:type="spellStart"/>
      <w:r w:rsidRPr="7BB9BC80" w:rsidR="7BB9BC80">
        <w:rPr>
          <w:rFonts w:ascii="Verdana" w:hAnsi="Verdana" w:cs="ArialMT"/>
          <w:color w:val="1F497D"/>
          <w:sz w:val="18"/>
          <w:szCs w:val="18"/>
          <w:lang w:eastAsia="en-US"/>
        </w:rPr>
        <w:t>antitrombootilisest</w:t>
      </w:r>
      <w:proofErr w:type="spellEnd"/>
      <w:r w:rsidRPr="7BB9BC80" w:rsidR="7BB9BC80">
        <w:rPr>
          <w:rFonts w:ascii="Verdana" w:hAnsi="Verdana" w:cs="ArialMT"/>
          <w:color w:val="1F497D"/>
          <w:sz w:val="18"/>
          <w:szCs w:val="18"/>
          <w:lang w:eastAsia="en-US"/>
        </w:rPr>
        <w:t xml:space="preserve"> või </w:t>
      </w:r>
      <w:proofErr w:type="spellStart"/>
      <w:r w:rsidRPr="7BB9BC80" w:rsidR="7BB9BC80">
        <w:rPr>
          <w:rFonts w:ascii="Verdana" w:hAnsi="Verdana" w:cs="ArialMT"/>
          <w:color w:val="1F497D"/>
          <w:sz w:val="18"/>
          <w:szCs w:val="18"/>
          <w:lang w:eastAsia="en-US"/>
        </w:rPr>
        <w:t>antitrombootilisest</w:t>
      </w:r>
      <w:proofErr w:type="spellEnd"/>
      <w:r w:rsidRPr="7BB9BC80" w:rsidR="7BB9BC80">
        <w:rPr>
          <w:rFonts w:ascii="Verdana" w:hAnsi="Verdana" w:cs="ArialMT"/>
          <w:color w:val="1F497D"/>
          <w:sz w:val="18"/>
          <w:szCs w:val="18"/>
          <w:lang w:eastAsia="en-US"/>
        </w:rPr>
        <w:t xml:space="preserve"> ravist üldse.</w:t>
      </w:r>
    </w:p>
    <w:p xmlns:wp14="http://schemas.microsoft.com/office/word/2010/wordml" w:rsidR="002C0E7F" w:rsidP="003B0510" w:rsidRDefault="002C0E7F" w14:paraId="7FCB31CB" wp14:textId="77777777">
      <w:pPr>
        <w:autoSpaceDE w:val="0"/>
        <w:autoSpaceDN w:val="0"/>
        <w:adjustRightInd w:val="0"/>
        <w:jc w:val="both"/>
        <w:rPr>
          <w:rFonts w:ascii="ArialMT" w:hAnsi="ArialMT" w:cs="ArialMT"/>
          <w:b/>
          <w:color w:val="000080"/>
          <w:sz w:val="20"/>
          <w:szCs w:val="20"/>
          <w:lang w:val="en-US" w:eastAsia="en-US"/>
        </w:rPr>
      </w:pPr>
    </w:p>
    <w:p xmlns:wp14="http://schemas.microsoft.com/office/word/2010/wordml" w:rsidRPr="00731622" w:rsidR="005B3EBC" w:rsidP="458ADAC5" w:rsidRDefault="005B3EBC" w14:paraId="2DB26BEC" wp14:textId="77777777" wp14:noSpellErr="1">
      <w:pPr>
        <w:autoSpaceDE w:val="0"/>
        <w:autoSpaceDN w:val="0"/>
        <w:adjustRightInd w:val="0"/>
        <w:jc w:val="both"/>
        <w:rPr>
          <w:rFonts w:ascii="ArialMT" w:hAnsi="ArialMT" w:cs="ArialMT"/>
          <w:b w:val="1"/>
          <w:bCs w:val="1"/>
          <w:color w:val="1F497D"/>
          <w:sz w:val="20"/>
          <w:szCs w:val="20"/>
          <w:lang w:val="en-US" w:eastAsia="en-US"/>
        </w:rPr>
      </w:pPr>
      <w:r w:rsidRPr="458ADAC5" w:rsidR="458ADAC5">
        <w:rPr>
          <w:rFonts w:ascii="ArialMT" w:hAnsi="ArialMT" w:cs="ArialMT"/>
          <w:b w:val="1"/>
          <w:bCs w:val="1"/>
          <w:color w:val="1F497D"/>
          <w:sz w:val="20"/>
          <w:szCs w:val="20"/>
          <w:lang w:val="en-US" w:eastAsia="en-US"/>
        </w:rPr>
        <w:t>ESC 2016</w:t>
      </w:r>
    </w:p>
    <w:p xmlns:wp14="http://schemas.microsoft.com/office/word/2010/wordml" w:rsidR="002C0E7F" w:rsidP="003B0510" w:rsidRDefault="00934597" w14:paraId="2AC88A80" wp14:textId="77777777">
      <w:pPr>
        <w:autoSpaceDE w:val="0"/>
        <w:autoSpaceDN w:val="0"/>
        <w:adjustRightInd w:val="0"/>
        <w:jc w:val="both"/>
        <w:rPr>
          <w:noProof/>
        </w:rPr>
      </w:pPr>
      <w:r w:rsidRPr="00492934">
        <w:rPr>
          <w:noProof/>
        </w:rPr>
        <w:drawing>
          <wp:inline xmlns:wp14="http://schemas.microsoft.com/office/word/2010/wordprocessingDrawing" distT="0" distB="0" distL="0" distR="0" wp14:anchorId="2132D75E" wp14:editId="7777777">
            <wp:extent cx="5895975"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4181475"/>
                    </a:xfrm>
                    <a:prstGeom prst="rect">
                      <a:avLst/>
                    </a:prstGeom>
                    <a:noFill/>
                    <a:ln>
                      <a:noFill/>
                    </a:ln>
                  </pic:spPr>
                </pic:pic>
              </a:graphicData>
            </a:graphic>
          </wp:inline>
        </w:drawing>
      </w:r>
    </w:p>
    <w:p xmlns:wp14="http://schemas.microsoft.com/office/word/2010/wordml" w:rsidR="006735A4" w:rsidP="003B0510" w:rsidRDefault="006735A4" w14:paraId="117ECBE5" wp14:textId="77777777">
      <w:pPr>
        <w:autoSpaceDE w:val="0"/>
        <w:autoSpaceDN w:val="0"/>
        <w:adjustRightInd w:val="0"/>
        <w:jc w:val="both"/>
        <w:rPr>
          <w:rFonts w:ascii="ArialMT" w:hAnsi="ArialMT" w:cs="ArialMT"/>
          <w:b/>
          <w:color w:val="000080"/>
          <w:sz w:val="20"/>
          <w:szCs w:val="20"/>
          <w:lang w:val="en-US" w:eastAsia="en-US"/>
        </w:rPr>
      </w:pPr>
    </w:p>
    <w:p xmlns:wp14="http://schemas.microsoft.com/office/word/2010/wordml" w:rsidR="002C0E7F" w:rsidP="003B0510" w:rsidRDefault="00934597" w14:paraId="54611EBF" wp14:textId="77777777">
      <w:pPr>
        <w:autoSpaceDE w:val="0"/>
        <w:autoSpaceDN w:val="0"/>
        <w:adjustRightInd w:val="0"/>
        <w:jc w:val="both"/>
        <w:rPr>
          <w:rFonts w:ascii="ArialMT" w:hAnsi="ArialMT" w:cs="ArialMT"/>
          <w:b/>
          <w:color w:val="000080"/>
          <w:sz w:val="20"/>
          <w:szCs w:val="20"/>
          <w:lang w:val="en-US" w:eastAsia="en-US"/>
        </w:rPr>
      </w:pPr>
      <w:r w:rsidRPr="001538A3">
        <w:rPr>
          <w:noProof/>
        </w:rPr>
        <w:drawing>
          <wp:inline xmlns:wp14="http://schemas.microsoft.com/office/word/2010/wordprocessingDrawing" distT="0" distB="0" distL="0" distR="0" wp14:anchorId="43B3AEF3" wp14:editId="7777777">
            <wp:extent cx="5600700" cy="3676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676650"/>
                    </a:xfrm>
                    <a:prstGeom prst="rect">
                      <a:avLst/>
                    </a:prstGeom>
                    <a:noFill/>
                    <a:ln>
                      <a:noFill/>
                    </a:ln>
                  </pic:spPr>
                </pic:pic>
              </a:graphicData>
            </a:graphic>
          </wp:inline>
        </w:drawing>
      </w:r>
    </w:p>
    <w:p xmlns:wp14="http://schemas.microsoft.com/office/word/2010/wordml" w:rsidRPr="00731622" w:rsidR="002C0E7F" w:rsidP="7BB9BC80" w:rsidRDefault="002C0E7F" w14:paraId="1A26DF1D" wp14:textId="77777777">
      <w:pPr>
        <w:autoSpaceDE w:val="0"/>
        <w:autoSpaceDN w:val="0"/>
        <w:adjustRightInd w:val="0"/>
        <w:spacing w:after="120"/>
        <w:jc w:val="both"/>
        <w:rPr>
          <w:rFonts w:ascii="ArialMT" w:hAnsi="ArialMT" w:cs="ArialMT"/>
          <w:b w:val="1"/>
          <w:bCs w:val="1"/>
          <w:color w:val="1F497D"/>
          <w:sz w:val="20"/>
          <w:szCs w:val="20"/>
          <w:lang w:val="en-US" w:eastAsia="en-US"/>
        </w:rPr>
      </w:pPr>
      <w:proofErr w:type="spellStart"/>
      <w:r w:rsidRPr="7BB9BC80" w:rsidR="7BB9BC80">
        <w:rPr>
          <w:rFonts w:ascii="ArialMT" w:hAnsi="ArialMT" w:cs="ArialMT"/>
          <w:b w:val="1"/>
          <w:bCs w:val="1"/>
          <w:color w:val="1F497D"/>
          <w:sz w:val="20"/>
          <w:szCs w:val="20"/>
          <w:lang w:val="en-US" w:eastAsia="en-US"/>
        </w:rPr>
        <w:t>Tekstiline</w:t>
      </w:r>
      <w:proofErr w:type="spellEnd"/>
      <w:r w:rsidRPr="7BB9BC80" w:rsidR="7BB9BC80">
        <w:rPr>
          <w:rFonts w:ascii="ArialMT" w:hAnsi="ArialMT" w:cs="ArialMT"/>
          <w:b w:val="1"/>
          <w:bCs w:val="1"/>
          <w:color w:val="1F497D"/>
          <w:sz w:val="20"/>
          <w:szCs w:val="20"/>
          <w:lang w:val="en-US" w:eastAsia="en-US"/>
        </w:rPr>
        <w:t xml:space="preserve"> </w:t>
      </w:r>
      <w:proofErr w:type="spellStart"/>
      <w:r w:rsidRPr="7BB9BC80" w:rsidR="7BB9BC80">
        <w:rPr>
          <w:rFonts w:ascii="ArialMT" w:hAnsi="ArialMT" w:cs="ArialMT"/>
          <w:b w:val="1"/>
          <w:bCs w:val="1"/>
          <w:color w:val="1F497D"/>
          <w:sz w:val="20"/>
          <w:szCs w:val="20"/>
          <w:lang w:val="en-US" w:eastAsia="en-US"/>
        </w:rPr>
        <w:t>kokkuvõte</w:t>
      </w:r>
      <w:proofErr w:type="spellEnd"/>
      <w:r w:rsidRPr="7BB9BC80" w:rsidR="7BB9BC80">
        <w:rPr>
          <w:rFonts w:ascii="ArialMT" w:hAnsi="ArialMT" w:cs="ArialMT"/>
          <w:b w:val="1"/>
          <w:bCs w:val="1"/>
          <w:color w:val="1F497D"/>
          <w:sz w:val="20"/>
          <w:szCs w:val="20"/>
          <w:lang w:val="en-US" w:eastAsia="en-US"/>
        </w:rPr>
        <w:t xml:space="preserve"> </w:t>
      </w:r>
      <w:proofErr w:type="spellStart"/>
      <w:r w:rsidRPr="7BB9BC80" w:rsidR="7BB9BC80">
        <w:rPr>
          <w:rFonts w:ascii="ArialMT" w:hAnsi="ArialMT" w:cs="ArialMT"/>
          <w:b w:val="1"/>
          <w:bCs w:val="1"/>
          <w:color w:val="1F497D"/>
          <w:sz w:val="20"/>
          <w:szCs w:val="20"/>
          <w:lang w:val="en-US" w:eastAsia="en-US"/>
        </w:rPr>
        <w:t>tõendusest</w:t>
      </w:r>
      <w:proofErr w:type="spellEnd"/>
      <w:r w:rsidRPr="7BB9BC80" w:rsidR="7BB9BC80">
        <w:rPr>
          <w:rFonts w:ascii="ArialMT" w:hAnsi="ArialMT" w:cs="ArialMT"/>
          <w:b w:val="1"/>
          <w:bCs w:val="1"/>
          <w:color w:val="1F497D"/>
          <w:sz w:val="20"/>
          <w:szCs w:val="20"/>
          <w:lang w:val="en-US" w:eastAsia="en-US"/>
        </w:rPr>
        <w:t xml:space="preserve"> </w:t>
      </w:r>
      <w:proofErr w:type="spellStart"/>
      <w:r w:rsidRPr="7BB9BC80" w:rsidR="7BB9BC80">
        <w:rPr>
          <w:rFonts w:ascii="ArialMT" w:hAnsi="ArialMT" w:cs="ArialMT"/>
          <w:b w:val="1"/>
          <w:bCs w:val="1"/>
          <w:color w:val="1F497D"/>
          <w:sz w:val="20"/>
          <w:szCs w:val="20"/>
          <w:lang w:val="en-US" w:eastAsia="en-US"/>
        </w:rPr>
        <w:t>koos</w:t>
      </w:r>
      <w:proofErr w:type="spellEnd"/>
      <w:r w:rsidRPr="7BB9BC80" w:rsidR="7BB9BC80">
        <w:rPr>
          <w:rFonts w:ascii="ArialMT" w:hAnsi="ArialMT" w:cs="ArialMT"/>
          <w:b w:val="1"/>
          <w:bCs w:val="1"/>
          <w:color w:val="1F497D"/>
          <w:sz w:val="20"/>
          <w:szCs w:val="20"/>
          <w:lang w:val="en-US" w:eastAsia="en-US"/>
        </w:rPr>
        <w:t xml:space="preserve"> </w:t>
      </w:r>
      <w:proofErr w:type="spellStart"/>
      <w:r w:rsidRPr="7BB9BC80" w:rsidR="7BB9BC80">
        <w:rPr>
          <w:rFonts w:ascii="ArialMT" w:hAnsi="ArialMT" w:cs="ArialMT"/>
          <w:b w:val="1"/>
          <w:bCs w:val="1"/>
          <w:color w:val="1F497D"/>
          <w:sz w:val="20"/>
          <w:szCs w:val="20"/>
          <w:lang w:val="en-US" w:eastAsia="en-US"/>
        </w:rPr>
        <w:t>viidetega</w:t>
      </w:r>
      <w:proofErr w:type="spell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92"/>
        <w:gridCol w:w="3096"/>
      </w:tblGrid>
      <w:tr xmlns:wp14="http://schemas.microsoft.com/office/word/2010/wordml" w:rsidRPr="002C0E7F" w:rsidR="00CE5B40" w:rsidTr="7BB9BC80" w14:paraId="6F026D97" wp14:textId="77777777">
        <w:tc>
          <w:tcPr>
            <w:tcW w:w="6192" w:type="dxa"/>
            <w:shd w:val="clear" w:color="auto" w:fill="auto"/>
            <w:tcMar/>
          </w:tcPr>
          <w:p w:rsidRPr="00731622" w:rsidR="002D3FA8" w:rsidP="458ADAC5" w:rsidRDefault="002D3FA8" w14:paraId="11FFB223"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BACKGROUND:</w:t>
            </w:r>
          </w:p>
          <w:p w:rsidRPr="00731622" w:rsidR="002D3FA8" w:rsidP="458ADAC5" w:rsidRDefault="002D3FA8" w14:paraId="168F0AD2"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Non-valvular atrial fibrillation (AF) carries an increased risk of stroke. Antiplatelet therapy (APT) is proven effective for stroke prevention in most patients at high-risk for vascular events, but its value for primary stroke prevention in patients with non-valvular AF merits separate consideration because of the suspected cardioembolic mechanism of most strokes in AF patients.</w:t>
            </w:r>
          </w:p>
          <w:p w:rsidRPr="00731622" w:rsidR="002D3FA8" w:rsidP="458ADAC5" w:rsidRDefault="002D3FA8" w14:paraId="42ED922C"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OBJECTIVES:</w:t>
            </w:r>
          </w:p>
          <w:p w:rsidRPr="00731622" w:rsidR="002D3FA8" w:rsidP="458ADAC5" w:rsidRDefault="002D3FA8" w14:paraId="40482EE6"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To assess the efficacy and safety of long-term APT for primary prevention of stroke in patients with chronic non-valvular AF.</w:t>
            </w:r>
          </w:p>
          <w:p w:rsidRPr="00731622" w:rsidR="002D3FA8" w:rsidP="458ADAC5" w:rsidRDefault="002D3FA8" w14:paraId="1573A25C"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SEARCH STRATEGY:</w:t>
            </w:r>
          </w:p>
          <w:p w:rsidRPr="00731622" w:rsidR="002D3FA8" w:rsidP="458ADAC5" w:rsidRDefault="002D3FA8" w14:paraId="52AECD11"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We searched the Cochrane Stroke Group Trials Register (searched August 2004). In addition, we searched the Cochrane Central Register of Controlled Trials (The Cochrane Library Issue 1, 2005), MEDLINE (1966 to June 2004), and the reference lists of recent review articles. We also contacted experts working in the field to identify unpublished and ongoing trials.</w:t>
            </w:r>
            <w:bookmarkStart w:name="_GoBack" w:id="0"/>
            <w:bookmarkEnd w:id="0"/>
          </w:p>
          <w:p w:rsidRPr="00731622" w:rsidR="002D3FA8" w:rsidP="458ADAC5" w:rsidRDefault="002D3FA8" w14:paraId="65B5B3C8"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SELECTION CRITERIA:</w:t>
            </w:r>
          </w:p>
          <w:p w:rsidRPr="00731622" w:rsidR="002D3FA8" w:rsidP="458ADAC5" w:rsidRDefault="002D3FA8" w14:paraId="25DF3D6E"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Randomized trials comparing long-term APT with placebo or control in patients with non-valvular AF and no history of transient ischemic attack (TIA) or stroke. A sensitivity analysis included one additional randomized trial involving primary prevention with aspirin plus very low dose warfarin.</w:t>
            </w:r>
          </w:p>
          <w:p w:rsidRPr="00731622" w:rsidR="002D3FA8" w:rsidP="458ADAC5" w:rsidRDefault="002D3FA8" w14:paraId="0003FA1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DATA COLLECTION AND ANALYSIS:</w:t>
            </w:r>
          </w:p>
          <w:p w:rsidRPr="00731622" w:rsidR="002D3FA8" w:rsidP="458ADAC5" w:rsidRDefault="002D3FA8" w14:paraId="0B639184"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Two authors independently selected trials for inclusion and extracted data for each outcome. Unpublished data were obtained from trial investigators.</w:t>
            </w:r>
          </w:p>
          <w:p w:rsidRPr="00731622" w:rsidR="002D3FA8" w:rsidP="458ADAC5" w:rsidRDefault="002D3FA8" w14:paraId="0B03D3E4"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MAIN RESULTS:</w:t>
            </w:r>
          </w:p>
          <w:p w:rsidRPr="00731622" w:rsidR="002D3FA8" w:rsidP="7BB9BC80" w:rsidRDefault="002D3FA8" w14:paraId="48523436" wp14:textId="77777777">
            <w:pPr>
              <w:spacing w:after="120"/>
              <w:rPr>
                <w:rFonts w:ascii="Verdana" w:hAnsi="Verdana" w:cs="Arial"/>
                <w:color w:val="1F497D"/>
                <w:sz w:val="18"/>
                <w:szCs w:val="18"/>
                <w:lang w:val="en-GB"/>
              </w:rPr>
            </w:pPr>
            <w:bookmarkStart w:name="_Hlk482709725" w:id="1"/>
            <w:r w:rsidRPr="00731622">
              <w:rPr>
                <w:rFonts w:ascii="Verdana" w:hAnsi="Verdana" w:cs="Arial"/>
                <w:color w:val="1F497D"/>
                <w:sz w:val="18"/>
                <w:szCs w:val="18"/>
                <w:lang w:val="en-GB"/>
              </w:rPr>
              <w:t xml:space="preserve">Three trials tested aspirin in dosages ranging from 75 mg to 325 mg per day and 125 mg every other day to placebo (in two trials) or control (in one trial) in 1965 AF patients without prior stroke or TIA. The mean duration of follow up averaged 1.3 years per participant. Aspirin was associated with non-significant lower risks of all stroke (odds ratio (OR) 0.70, 95% confidence interval (CI) 0.47 to 1.07), ischemic stroke (OR 0.70, 95% CI 0.46 to 1.07), all disabling or fatal stroke (OR 0.86, 95% CI 0.50 to 1.49) and all-cause death (OR 0.75, 95% CI 0.54 to 1.04). The combination of stroke, myocardial infarction or vascular death was significantly reduced (OR 0.71, 95% CI 0.51 to 0.97 ). No increase in intracranial </w:t>
            </w:r>
            <w:proofErr w:type="spellStart"/>
            <w:r w:rsidRPr="00731622">
              <w:rPr>
                <w:rFonts w:ascii="Verdana" w:hAnsi="Verdana" w:cs="Arial"/>
                <w:color w:val="1F497D"/>
                <w:sz w:val="18"/>
                <w:szCs w:val="18"/>
                <w:lang w:val="en-GB"/>
              </w:rPr>
              <w:t>hemorrhage</w:t>
            </w:r>
            <w:proofErr w:type="spellEnd"/>
            <w:r w:rsidRPr="00731622">
              <w:rPr>
                <w:rFonts w:ascii="Verdana" w:hAnsi="Verdana" w:cs="Arial"/>
                <w:color w:val="1F497D"/>
                <w:sz w:val="18"/>
                <w:szCs w:val="18"/>
                <w:lang w:val="en-GB"/>
              </w:rPr>
              <w:t xml:space="preserve"> or major extracranial </w:t>
            </w:r>
            <w:proofErr w:type="spellStart"/>
            <w:r w:rsidRPr="00731622">
              <w:rPr>
                <w:rFonts w:ascii="Verdana" w:hAnsi="Verdana" w:cs="Arial"/>
                <w:color w:val="1F497D"/>
                <w:sz w:val="18"/>
                <w:szCs w:val="18"/>
                <w:lang w:val="en-GB"/>
              </w:rPr>
              <w:t>hemorrhage</w:t>
            </w:r>
            <w:proofErr w:type="spellEnd"/>
            <w:r w:rsidRPr="00731622">
              <w:rPr>
                <w:rFonts w:ascii="Verdana" w:hAnsi="Verdana" w:cs="Arial"/>
                <w:color w:val="1F497D"/>
                <w:sz w:val="18"/>
                <w:szCs w:val="18"/>
                <w:lang w:val="en-GB"/>
              </w:rPr>
              <w:t xml:space="preserve"> was observed.</w:t>
            </w:r>
          </w:p>
          <w:bookmarkEnd w:id="1"/>
          <w:p w:rsidRPr="00731622" w:rsidR="002D3FA8" w:rsidP="458ADAC5" w:rsidRDefault="002D3FA8" w14:paraId="3B277056"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AUTHORS' CONCLUSIONS:</w:t>
            </w:r>
          </w:p>
          <w:p w:rsidRPr="00731622" w:rsidR="00CE5B40" w:rsidP="7BB9BC80" w:rsidRDefault="002D3FA8" w14:paraId="70D39C56"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Aspirin appears to reduce stroke and major vascular events in patients with non-valvular AF similar to its effect in other high-risk patients (</w:t>
            </w:r>
            <w:proofErr w:type="spellStart"/>
            <w:r w:rsidRPr="7BB9BC80" w:rsidR="7BB9BC80">
              <w:rPr>
                <w:rFonts w:ascii="Verdana" w:hAnsi="Verdana" w:cs="Arial"/>
                <w:color w:val="1F497D"/>
                <w:sz w:val="18"/>
                <w:szCs w:val="18"/>
                <w:lang w:val="en-GB"/>
              </w:rPr>
              <w:t>ie</w:t>
            </w:r>
            <w:proofErr w:type="spellEnd"/>
            <w:r w:rsidRPr="7BB9BC80" w:rsidR="7BB9BC80">
              <w:rPr>
                <w:rFonts w:ascii="Verdana" w:hAnsi="Verdana" w:cs="Arial"/>
                <w:color w:val="1F497D"/>
                <w:sz w:val="18"/>
                <w:szCs w:val="18"/>
                <w:lang w:val="en-GB"/>
              </w:rPr>
              <w:t xml:space="preserve"> by about 25%). For primary prevention among AF patients with an average stroke rate of 4% per year, about 10 strokes would likely be prevented yearly for every 1000 AF patients given aspirin.</w:t>
            </w:r>
          </w:p>
        </w:tc>
        <w:tc>
          <w:tcPr>
            <w:tcW w:w="3096" w:type="dxa"/>
            <w:shd w:val="clear" w:color="auto" w:fill="auto"/>
            <w:tcMar/>
          </w:tcPr>
          <w:p w:rsidRPr="00731622" w:rsidR="00CE5B40" w:rsidP="7BB9BC80" w:rsidRDefault="002D3FA8" w14:paraId="307C5344"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Aguilar M, Hart R. Antiplatelet therapy for preventing stroke in patients with non-valvular atrial fibrillation and no</w:t>
            </w:r>
            <w:r>
              <w:br/>
            </w:r>
            <w:r w:rsidRPr="7BB9BC80" w:rsidR="7BB9BC80">
              <w:rPr>
                <w:rFonts w:ascii="Verdana" w:hAnsi="Verdana" w:cs="Arial"/>
                <w:color w:val="1F497D"/>
                <w:sz w:val="18"/>
                <w:szCs w:val="18"/>
                <w:lang w:val="en-GB"/>
              </w:rPr>
              <w:t xml:space="preserve">previous history of stroke or transient ischemic attacks. Cochrane Database </w:t>
            </w:r>
            <w:proofErr w:type="spellStart"/>
            <w:r w:rsidRPr="7BB9BC80" w:rsidR="7BB9BC80">
              <w:rPr>
                <w:rFonts w:ascii="Verdana" w:hAnsi="Verdana" w:cs="Arial"/>
                <w:color w:val="1F497D"/>
                <w:sz w:val="18"/>
                <w:szCs w:val="18"/>
                <w:lang w:val="en-GB"/>
              </w:rPr>
              <w:t>Syst</w:t>
            </w:r>
            <w:proofErr w:type="spellEnd"/>
            <w:r w:rsidRPr="7BB9BC80" w:rsidR="7BB9BC80">
              <w:rPr>
                <w:rFonts w:ascii="Verdana" w:hAnsi="Verdana" w:cs="Arial"/>
                <w:color w:val="1F497D"/>
                <w:sz w:val="18"/>
                <w:szCs w:val="18"/>
                <w:lang w:val="en-GB"/>
              </w:rPr>
              <w:t xml:space="preserve"> Rev. 2005;CD001925.</w:t>
            </w:r>
          </w:p>
          <w:p w:rsidRPr="00731622" w:rsidR="00097891" w:rsidP="005B3EBC" w:rsidRDefault="00097891" w14:paraId="3E40E5F5" wp14:textId="77777777">
            <w:pPr>
              <w:spacing w:after="120"/>
              <w:rPr>
                <w:rFonts w:ascii="Verdana" w:hAnsi="Verdana" w:cs="Arial"/>
                <w:color w:val="1F497D"/>
                <w:sz w:val="18"/>
                <w:szCs w:val="18"/>
                <w:lang w:val="en-GB"/>
              </w:rPr>
            </w:pPr>
          </w:p>
        </w:tc>
      </w:tr>
      <w:tr xmlns:wp14="http://schemas.microsoft.com/office/word/2010/wordml" w:rsidRPr="002C0E7F" w:rsidR="00097891" w:rsidTr="7BB9BC80" w14:paraId="4B77C79B" wp14:textId="77777777">
        <w:tc>
          <w:tcPr>
            <w:tcW w:w="6192" w:type="dxa"/>
            <w:shd w:val="clear" w:color="auto" w:fill="auto"/>
            <w:tcMar/>
          </w:tcPr>
          <w:p w:rsidRPr="00731622" w:rsidR="00097891" w:rsidP="458ADAC5" w:rsidRDefault="00097891" w14:paraId="238A9174"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BACKGROUND:</w:t>
            </w:r>
          </w:p>
          <w:p w:rsidRPr="00731622" w:rsidR="00097891" w:rsidP="458ADAC5" w:rsidRDefault="00097891" w14:paraId="75332330"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Atrial fibrillation is a strong independent risk factor for stroke.</w:t>
            </w:r>
          </w:p>
          <w:p w:rsidRPr="00731622" w:rsidR="00097891" w:rsidP="458ADAC5" w:rsidRDefault="00097891" w14:paraId="37E48D17"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PURPOSE:</w:t>
            </w:r>
          </w:p>
          <w:p w:rsidRPr="00731622" w:rsidR="00097891" w:rsidP="458ADAC5" w:rsidRDefault="00097891" w14:paraId="738E682E"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To characterize the efficacy and safety of antithrombotic agents for stroke prevention in patients who have atrial fibrillation, adding 13 recent randomized trials to a previous meta-analysis.</w:t>
            </w:r>
          </w:p>
          <w:p w:rsidRPr="00731622" w:rsidR="00097891" w:rsidP="458ADAC5" w:rsidRDefault="00097891" w14:paraId="4F6DC6E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DATA SOURCES:</w:t>
            </w:r>
          </w:p>
          <w:p w:rsidRPr="00731622" w:rsidR="00097891" w:rsidP="458ADAC5" w:rsidRDefault="00097891" w14:paraId="760CA64E"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Randomized trials identified by using the Cochrane Stroke Group search strategy, 1966 to March 2007, unrestricted by language.</w:t>
            </w:r>
          </w:p>
          <w:p w:rsidRPr="00731622" w:rsidR="00097891" w:rsidP="458ADAC5" w:rsidRDefault="00097891" w14:paraId="0FFF1B3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STUDY SELECTION:</w:t>
            </w:r>
          </w:p>
          <w:p w:rsidRPr="00731622" w:rsidR="00097891" w:rsidP="458ADAC5" w:rsidRDefault="00097891" w14:paraId="30124723"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All published randomized trials with a mean follow-up of 3 months or longer that tested antithrombotic agents in patients who have nonvalvular atrial fibrillation.</w:t>
            </w:r>
          </w:p>
          <w:p w:rsidRPr="00731622" w:rsidR="00097891" w:rsidP="458ADAC5" w:rsidRDefault="00097891" w14:paraId="0E6246D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DATA EXTRACTION:</w:t>
            </w:r>
          </w:p>
          <w:p w:rsidRPr="00731622" w:rsidR="00097891" w:rsidP="7BB9BC80" w:rsidRDefault="00097891" w14:paraId="181AF5E0"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Two </w:t>
            </w:r>
            <w:proofErr w:type="spellStart"/>
            <w:r w:rsidRPr="7BB9BC80" w:rsidR="7BB9BC80">
              <w:rPr>
                <w:rFonts w:ascii="Verdana" w:hAnsi="Verdana" w:cs="Arial"/>
                <w:color w:val="1F497D"/>
                <w:sz w:val="18"/>
                <w:szCs w:val="18"/>
                <w:lang w:val="en-GB"/>
              </w:rPr>
              <w:t>coauthors</w:t>
            </w:r>
            <w:proofErr w:type="spellEnd"/>
            <w:r w:rsidRPr="7BB9BC80" w:rsidR="7BB9BC80">
              <w:rPr>
                <w:rFonts w:ascii="Verdana" w:hAnsi="Verdana" w:cs="Arial"/>
                <w:color w:val="1F497D"/>
                <w:sz w:val="18"/>
                <w:szCs w:val="18"/>
                <w:lang w:val="en-GB"/>
              </w:rPr>
              <w:t xml:space="preserve"> independently extracted information regarding interventions; participants; and occurrences of ischemic and </w:t>
            </w:r>
            <w:proofErr w:type="spellStart"/>
            <w:r w:rsidRPr="7BB9BC80" w:rsidR="7BB9BC80">
              <w:rPr>
                <w:rFonts w:ascii="Verdana" w:hAnsi="Verdana" w:cs="Arial"/>
                <w:color w:val="1F497D"/>
                <w:sz w:val="18"/>
                <w:szCs w:val="18"/>
                <w:lang w:val="en-GB"/>
              </w:rPr>
              <w:t>hemorrhagic</w:t>
            </w:r>
            <w:proofErr w:type="spellEnd"/>
            <w:r w:rsidRPr="7BB9BC80" w:rsidR="7BB9BC80">
              <w:rPr>
                <w:rFonts w:ascii="Verdana" w:hAnsi="Verdana" w:cs="Arial"/>
                <w:color w:val="1F497D"/>
                <w:sz w:val="18"/>
                <w:szCs w:val="18"/>
                <w:lang w:val="en-GB"/>
              </w:rPr>
              <w:t xml:space="preserve"> stroke, major extracranial bleeding, and death.</w:t>
            </w:r>
          </w:p>
          <w:p w:rsidRPr="00731622" w:rsidR="00097891" w:rsidP="458ADAC5" w:rsidRDefault="00097891" w14:paraId="436240A1"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DATA SYNTHESIS:</w:t>
            </w:r>
          </w:p>
          <w:p w:rsidRPr="00731622" w:rsidR="00097891" w:rsidP="7BB9BC80" w:rsidRDefault="00097891" w14:paraId="184D62AA"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Twenty-nine trials included 28,044 participants (mean age, 71 years; mean follow-up, 1.5 years). Compared with the control, adjusted-dose warfarin (6 trials, 2900 participants) and antiplatelet agents (8 trials, 4876 participants) reduced stroke by 64% (95% CI, 49% to 74%) and 22% (CI, 6% to 35%), respectively. Adjusted-dose warfarin was substantially more efficacious than antiplatelet therapy (relative risk reduction, 39% [CI, 22% to 52%]) (12 trials, 12 963 participants). Other randomized comparisons were inconclusive. Absolute increases in major extracranial </w:t>
            </w:r>
            <w:proofErr w:type="spellStart"/>
            <w:r w:rsidRPr="7BB9BC80" w:rsidR="7BB9BC80">
              <w:rPr>
                <w:rFonts w:ascii="Verdana" w:hAnsi="Verdana" w:cs="Arial"/>
                <w:color w:val="1F497D"/>
                <w:sz w:val="18"/>
                <w:szCs w:val="18"/>
                <w:lang w:val="en-GB"/>
              </w:rPr>
              <w:t>hemorrhage</w:t>
            </w:r>
            <w:proofErr w:type="spellEnd"/>
            <w:r w:rsidRPr="7BB9BC80" w:rsidR="7BB9BC80">
              <w:rPr>
                <w:rFonts w:ascii="Verdana" w:hAnsi="Verdana" w:cs="Arial"/>
                <w:color w:val="1F497D"/>
                <w:sz w:val="18"/>
                <w:szCs w:val="18"/>
                <w:lang w:val="en-GB"/>
              </w:rPr>
              <w:t xml:space="preserve"> were small (&lt; or =0.3% per year) on the basis of meta-analysis.</w:t>
            </w:r>
          </w:p>
          <w:p w:rsidRPr="00731622" w:rsidR="00097891" w:rsidP="458ADAC5" w:rsidRDefault="00097891" w14:paraId="3601EF16"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LIMITATION:</w:t>
            </w:r>
          </w:p>
          <w:p w:rsidRPr="00731622" w:rsidR="00097891" w:rsidP="458ADAC5" w:rsidRDefault="00097891" w14:paraId="1EAF0B28"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Methodological features and quality varied substantially and often were incompletely reported.</w:t>
            </w:r>
          </w:p>
          <w:p w:rsidRPr="00731622" w:rsidR="00097891" w:rsidP="458ADAC5" w:rsidRDefault="00097891" w14:paraId="6CA9F08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CONCLUSIONS:</w:t>
            </w:r>
          </w:p>
          <w:p w:rsidRPr="00731622" w:rsidR="00097891" w:rsidP="7BB9BC80" w:rsidRDefault="00097891" w14:paraId="344A1B43"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Adjusted-dose warfarin and antiplatelet agents reduce stroke by approximately 60% and by approximately 20%, respectively, in patients who have atrial fibrillation. Warfarin is substantially more efficacious (by approximately 40%) than antiplatelet therapy. Absolute increases in major extracranial </w:t>
            </w:r>
            <w:proofErr w:type="spellStart"/>
            <w:r w:rsidRPr="7BB9BC80" w:rsidR="7BB9BC80">
              <w:rPr>
                <w:rFonts w:ascii="Verdana" w:hAnsi="Verdana" w:cs="Arial"/>
                <w:color w:val="1F497D"/>
                <w:sz w:val="18"/>
                <w:szCs w:val="18"/>
                <w:lang w:val="en-GB"/>
              </w:rPr>
              <w:t>hemorrhage</w:t>
            </w:r>
            <w:proofErr w:type="spellEnd"/>
            <w:r w:rsidRPr="7BB9BC80" w:rsidR="7BB9BC80">
              <w:rPr>
                <w:rFonts w:ascii="Verdana" w:hAnsi="Verdana" w:cs="Arial"/>
                <w:color w:val="1F497D"/>
                <w:sz w:val="18"/>
                <w:szCs w:val="18"/>
                <w:lang w:val="en-GB"/>
              </w:rPr>
              <w:t xml:space="preserve"> associated with antithrombotic therapy in participants from the trials included in this meta-analysis were less than the absolute reductions in stroke. Judicious use of antithrombotic therapy importantly reduces stroke for most patients who have atrial fibrillation.</w:t>
            </w:r>
          </w:p>
        </w:tc>
        <w:tc>
          <w:tcPr>
            <w:tcW w:w="3096" w:type="dxa"/>
            <w:shd w:val="clear" w:color="auto" w:fill="auto"/>
            <w:tcMar/>
          </w:tcPr>
          <w:p w:rsidRPr="00731622" w:rsidR="00097891" w:rsidP="458ADAC5" w:rsidRDefault="00097891" w14:paraId="25C3EA5B"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Hart RG, Pearce LA, Aguilar MI. Meta-analysis: antithrombotic therapy to prevent stroke in patients who have</w:t>
            </w:r>
            <w:r>
              <w:br/>
            </w:r>
            <w:r w:rsidRPr="458ADAC5" w:rsidR="458ADAC5">
              <w:rPr>
                <w:rFonts w:ascii="Verdana" w:hAnsi="Verdana" w:cs="Arial"/>
                <w:color w:val="1F497D"/>
                <w:sz w:val="18"/>
                <w:szCs w:val="18"/>
                <w:lang w:val="en-GB"/>
              </w:rPr>
              <w:t>nonvalvular atrial fibrillation. Ann Intern Med. 2007;146:857-67</w:t>
            </w:r>
          </w:p>
        </w:tc>
      </w:tr>
      <w:tr xmlns:wp14="http://schemas.microsoft.com/office/word/2010/wordml" w:rsidRPr="002C0E7F" w:rsidR="00D2420C" w:rsidTr="7BB9BC80" w14:paraId="5C369D55" wp14:textId="77777777">
        <w:tc>
          <w:tcPr>
            <w:tcW w:w="6192" w:type="dxa"/>
            <w:shd w:val="clear" w:color="auto" w:fill="auto"/>
            <w:tcMar/>
          </w:tcPr>
          <w:p w:rsidRPr="00731622" w:rsidR="00D2420C" w:rsidP="458ADAC5" w:rsidRDefault="00D2420C" w14:paraId="1162C46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AIMS:</w:t>
            </w:r>
          </w:p>
          <w:p w:rsidRPr="00731622" w:rsidR="00D2420C" w:rsidP="7BB9BC80" w:rsidRDefault="00D2420C" w14:paraId="7322DAF3"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The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is a modification of the CHADS(2) score that aims to improve stroke risk prediction in patients with atrial fibrillation (AF) by adding three risk factors: age 65-74, female sex, and history of vascular disease. Whereas previous evaluations of the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included all AF patients, the aim of this analysis was to evaluate its discriminative ability only in those patients for whom recommendations on antithrombotic treatment are uncertain (i.e. CHADS(2) score of 1).</w:t>
            </w:r>
          </w:p>
          <w:p w:rsidRPr="00731622" w:rsidR="00D2420C" w:rsidP="458ADAC5" w:rsidRDefault="00D2420C" w14:paraId="71F71034"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METHODS AND RESULTS:</w:t>
            </w:r>
          </w:p>
          <w:p w:rsidRPr="00731622" w:rsidR="00D2420C" w:rsidP="7BB9BC80" w:rsidRDefault="00D2420C" w14:paraId="40F8777C"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We selected all patients with a CHADS(2) score of 1 from the AVERROES and ACTIVE trials who were treated with acetylsalicylic acid with or without </w:t>
            </w:r>
            <w:proofErr w:type="spellStart"/>
            <w:r w:rsidRPr="7BB9BC80" w:rsidR="7BB9BC80">
              <w:rPr>
                <w:rFonts w:ascii="Verdana" w:hAnsi="Verdana" w:cs="Arial"/>
                <w:color w:val="1F497D"/>
                <w:sz w:val="18"/>
                <w:szCs w:val="18"/>
                <w:lang w:val="en-GB"/>
              </w:rPr>
              <w:t>clopidogrel</w:t>
            </w:r>
            <w:proofErr w:type="spellEnd"/>
            <w:r w:rsidRPr="7BB9BC80" w:rsidR="7BB9BC80">
              <w:rPr>
                <w:rFonts w:ascii="Verdana" w:hAnsi="Verdana" w:cs="Arial"/>
                <w:color w:val="1F497D"/>
                <w:sz w:val="18"/>
                <w:szCs w:val="18"/>
                <w:lang w:val="en-GB"/>
              </w:rPr>
              <w:t xml:space="preserve"> and calculated the incidences of ischaemic or unspecified stroke or systemic embolus (SSE) according to their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Of 4670 patients with a baseline CHADS(2) score of 1, 26% had a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of 1 and 74% had a score of ≥ 2. After 11 414 patient-years of follow-up, the annual incidence of SSE was 0.9% (95% CI: 0.6-1.3) and 2.1% (95% CI: 1.8-2.5) for patients with a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of 1 and ≥ 2, respectively. The c-statistic of the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 was 0.587 (95% CI: 0.550-0.624). Age 65 to &lt;75 years was the strongest of the three new risk factors in the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score.</w:t>
            </w:r>
          </w:p>
          <w:p w:rsidRPr="00731622" w:rsidR="00D2420C" w:rsidP="458ADAC5" w:rsidRDefault="00D2420C" w14:paraId="0925746C"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CONCLUSION:</w:t>
            </w:r>
          </w:p>
          <w:p w:rsidRPr="00731622" w:rsidR="00D2420C" w:rsidP="7BB9BC80" w:rsidRDefault="005B3EBC" w14:paraId="509909F9"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The CHA(2)DS(2)-</w:t>
            </w:r>
            <w:proofErr w:type="spellStart"/>
            <w:r w:rsidRPr="7BB9BC80" w:rsidR="7BB9BC80">
              <w:rPr>
                <w:rFonts w:ascii="Verdana" w:hAnsi="Verdana" w:cs="Arial"/>
                <w:color w:val="1F497D"/>
                <w:sz w:val="18"/>
                <w:szCs w:val="18"/>
                <w:lang w:val="en-GB"/>
              </w:rPr>
              <w:t>VASc</w:t>
            </w:r>
            <w:proofErr w:type="spellEnd"/>
            <w:r w:rsidRPr="7BB9BC80" w:rsidR="7BB9BC80">
              <w:rPr>
                <w:rFonts w:ascii="Verdana" w:hAnsi="Verdana" w:cs="Arial"/>
                <w:color w:val="1F497D"/>
                <w:sz w:val="18"/>
                <w:szCs w:val="18"/>
                <w:lang w:val="en-GB"/>
              </w:rPr>
              <w:t xml:space="preserve"> </w:t>
            </w:r>
            <w:r w:rsidRPr="7BB9BC80" w:rsidR="7BB9BC80">
              <w:rPr>
                <w:rFonts w:ascii="Verdana" w:hAnsi="Verdana" w:cs="Arial"/>
                <w:color w:val="1F497D"/>
                <w:sz w:val="18"/>
                <w:szCs w:val="18"/>
                <w:lang w:val="en-GB"/>
              </w:rPr>
              <w:t>score reclassifies 26% of patients with a CHADS(2) score of 1 to a low annual risk of SSE of 1%. This risk seems low enough to consider withholding anticoagulant treatment.</w:t>
            </w:r>
          </w:p>
        </w:tc>
        <w:tc>
          <w:tcPr>
            <w:tcW w:w="3096" w:type="dxa"/>
            <w:shd w:val="clear" w:color="auto" w:fill="auto"/>
            <w:tcMar/>
          </w:tcPr>
          <w:p w:rsidRPr="00731622" w:rsidR="005B3EBC" w:rsidP="7BB9BC80" w:rsidRDefault="00D2420C" w14:paraId="21888157"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Coppens M, </w:t>
            </w:r>
            <w:proofErr w:type="spellStart"/>
            <w:r w:rsidRPr="7BB9BC80" w:rsidR="7BB9BC80">
              <w:rPr>
                <w:rFonts w:ascii="Verdana" w:hAnsi="Verdana" w:cs="Arial"/>
                <w:color w:val="1F497D"/>
                <w:sz w:val="18"/>
                <w:szCs w:val="18"/>
                <w:lang w:val="en-GB"/>
              </w:rPr>
              <w:t>Eikelboom</w:t>
            </w:r>
            <w:proofErr w:type="spellEnd"/>
            <w:r w:rsidRPr="7BB9BC80" w:rsidR="7BB9BC80">
              <w:rPr>
                <w:rFonts w:ascii="Verdana" w:hAnsi="Verdana" w:cs="Arial"/>
                <w:color w:val="1F497D"/>
                <w:sz w:val="18"/>
                <w:szCs w:val="18"/>
                <w:lang w:val="en-GB"/>
              </w:rPr>
              <w:t xml:space="preserve"> JW, Hart RG, Yusuf S, Lip GYH, Dorian P et al. </w:t>
            </w:r>
          </w:p>
          <w:p w:rsidRPr="00731622" w:rsidR="00D2420C" w:rsidP="458ADAC5" w:rsidRDefault="00D2420C" w14:paraId="6CD9D964"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The CHA2DS2-VASc score</w:t>
            </w:r>
            <w:r w:rsidRPr="458ADAC5" w:rsidR="458ADAC5">
              <w:rPr>
                <w:rFonts w:ascii="Verdana" w:hAnsi="Verdana" w:cs="Arial"/>
                <w:color w:val="1F497D"/>
                <w:sz w:val="18"/>
                <w:szCs w:val="18"/>
                <w:lang w:val="en-GB"/>
              </w:rPr>
              <w:t xml:space="preserve"> </w:t>
            </w:r>
            <w:r w:rsidRPr="458ADAC5" w:rsidR="458ADAC5">
              <w:rPr>
                <w:rFonts w:ascii="Verdana" w:hAnsi="Verdana" w:cs="Arial"/>
                <w:color w:val="1F497D"/>
                <w:sz w:val="18"/>
                <w:szCs w:val="18"/>
                <w:lang w:val="en-GB"/>
              </w:rPr>
              <w:t>identifies those patients with atrial fibrillation and a CHADS2 score of 1 who are unlikely to</w:t>
            </w:r>
            <w:r w:rsidRPr="458ADAC5" w:rsidR="458ADAC5">
              <w:rPr>
                <w:rFonts w:ascii="Verdana" w:hAnsi="Verdana" w:cs="Arial"/>
                <w:color w:val="1F497D"/>
                <w:sz w:val="18"/>
                <w:szCs w:val="18"/>
                <w:lang w:val="en-GB"/>
              </w:rPr>
              <w:t xml:space="preserve"> </w:t>
            </w:r>
            <w:r w:rsidRPr="458ADAC5" w:rsidR="458ADAC5">
              <w:rPr>
                <w:rFonts w:ascii="Verdana" w:hAnsi="Verdana" w:cs="Arial"/>
                <w:color w:val="1F497D"/>
                <w:sz w:val="18"/>
                <w:szCs w:val="18"/>
                <w:lang w:val="en-GB"/>
              </w:rPr>
              <w:t>benefit from oral anticoagulant therapy. European Heart Journal. 2013; 34(3):170-176</w:t>
            </w:r>
          </w:p>
        </w:tc>
      </w:tr>
      <w:tr xmlns:wp14="http://schemas.microsoft.com/office/word/2010/wordml" w:rsidRPr="002C0E7F" w:rsidR="000500F3" w:rsidTr="7BB9BC80" w14:paraId="7E90554F" wp14:textId="77777777">
        <w:tc>
          <w:tcPr>
            <w:tcW w:w="6192" w:type="dxa"/>
            <w:shd w:val="clear" w:color="auto" w:fill="auto"/>
            <w:tcMar/>
          </w:tcPr>
          <w:p w:rsidRPr="00731622" w:rsidR="00BB04C9" w:rsidP="458ADAC5" w:rsidRDefault="00BB04C9" w14:paraId="1669FBA6" wp14:textId="77777777" wp14:noSpellErr="1">
            <w:pPr>
              <w:spacing w:after="120"/>
              <w:rPr>
                <w:rFonts w:ascii="Verdana" w:hAnsi="Verdana" w:cs="Arial"/>
                <w:color w:val="1F497D"/>
                <w:sz w:val="18"/>
                <w:szCs w:val="18"/>
                <w:lang w:val="en-GB"/>
              </w:rPr>
            </w:pPr>
            <w:r w:rsidRPr="458ADAC5" w:rsidR="458ADAC5">
              <w:rPr>
                <w:rFonts w:ascii="Verdana" w:hAnsi="Verdana" w:cs="Arial"/>
                <w:b w:val="1"/>
                <w:bCs w:val="1"/>
                <w:color w:val="1F497D"/>
                <w:sz w:val="18"/>
                <w:szCs w:val="18"/>
                <w:lang w:val="en-GB"/>
              </w:rPr>
              <w:t>Objective</w:t>
            </w:r>
            <w:r w:rsidRPr="458ADAC5" w:rsidR="458ADAC5">
              <w:rPr>
                <w:rFonts w:ascii="Verdana" w:hAnsi="Verdana" w:cs="Arial"/>
                <w:color w:val="1F497D"/>
                <w:sz w:val="18"/>
                <w:szCs w:val="18"/>
                <w:lang w:val="en-GB"/>
              </w:rPr>
              <w:t> To investigate net clinical benefit (NCB) of warfarin in individuals with atrial fibrillation (AF) across stroke risk and across primary and secondary care.</w:t>
            </w:r>
          </w:p>
          <w:p w:rsidRPr="00731622" w:rsidR="00BB04C9" w:rsidP="7BB9BC80" w:rsidRDefault="00BB04C9" w14:paraId="41200EA1" wp14:textId="77777777">
            <w:pPr>
              <w:spacing w:after="120"/>
              <w:rPr>
                <w:rFonts w:ascii="Verdana" w:hAnsi="Verdana" w:cs="Arial"/>
                <w:color w:val="1F497D"/>
                <w:sz w:val="18"/>
                <w:szCs w:val="18"/>
                <w:lang w:val="en-GB"/>
              </w:rPr>
            </w:pPr>
            <w:r w:rsidRPr="7BB9BC80" w:rsidR="7BB9BC80">
              <w:rPr>
                <w:rFonts w:ascii="Verdana" w:hAnsi="Verdana" w:cs="Arial"/>
                <w:b w:val="1"/>
                <w:bCs w:val="1"/>
                <w:color w:val="1F497D"/>
                <w:sz w:val="18"/>
                <w:szCs w:val="18"/>
                <w:lang w:val="en-GB"/>
              </w:rPr>
              <w:t>Methods</w:t>
            </w:r>
            <w:r w:rsidRPr="7BB9BC80" w:rsidR="7BB9BC80">
              <w:rPr>
                <w:rFonts w:ascii="Verdana" w:hAnsi="Verdana" w:cs="Arial"/>
                <w:color w:val="1F497D"/>
                <w:sz w:val="18"/>
                <w:szCs w:val="18"/>
                <w:lang w:val="en-GB"/>
              </w:rPr>
              <w:t> We conducted a linked electronic health record cohort study of 70</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206 individuals with initial record of diagnosis of AF in primary (n=29</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568) or secondary care (n=40</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638) in England (1998</w:t>
            </w:r>
            <w:r w:rsidRPr="7BB9BC80" w:rsidR="7BB9BC80">
              <w:rPr>
                <w:rFonts w:ascii="Verdana" w:hAnsi="Verdana" w:cs="Verdana"/>
                <w:color w:val="1F497D"/>
                <w:sz w:val="18"/>
                <w:szCs w:val="18"/>
                <w:lang w:val="en-GB"/>
              </w:rPr>
              <w:t>–</w:t>
            </w:r>
            <w:r w:rsidRPr="7BB9BC80" w:rsidR="7BB9BC80">
              <w:rPr>
                <w:rFonts w:ascii="Verdana" w:hAnsi="Verdana" w:cs="Arial"/>
                <w:color w:val="1F497D"/>
                <w:sz w:val="18"/>
                <w:szCs w:val="18"/>
                <w:lang w:val="en-GB"/>
              </w:rPr>
              <w:t>2010). We defined stroke risk according to the CHA</w:t>
            </w:r>
            <w:r w:rsidRPr="7BB9BC80" w:rsidR="7BB9BC80">
              <w:rPr>
                <w:rFonts w:ascii="Verdana" w:hAnsi="Verdana" w:cs="Arial"/>
                <w:color w:val="1F497D"/>
                <w:sz w:val="18"/>
                <w:szCs w:val="18"/>
                <w:vertAlign w:val="subscript"/>
                <w:lang w:val="en-GB"/>
              </w:rPr>
              <w:t>2</w:t>
            </w:r>
            <w:r w:rsidRPr="7BB9BC80" w:rsidR="7BB9BC80">
              <w:rPr>
                <w:rFonts w:ascii="Verdana" w:hAnsi="Verdana" w:cs="Arial"/>
                <w:color w:val="1F497D"/>
                <w:sz w:val="18"/>
                <w:szCs w:val="18"/>
                <w:lang w:val="en-GB"/>
              </w:rPr>
              <w:t>DS</w:t>
            </w:r>
            <w:r w:rsidRPr="7BB9BC80" w:rsidR="7BB9BC80">
              <w:rPr>
                <w:rFonts w:ascii="Verdana" w:hAnsi="Verdana" w:cs="Arial"/>
                <w:color w:val="1F497D"/>
                <w:sz w:val="18"/>
                <w:szCs w:val="18"/>
                <w:vertAlign w:val="subscript"/>
                <w:lang w:val="en-GB"/>
              </w:rPr>
              <w:t>2</w:t>
            </w:r>
            <w:r w:rsidRPr="7BB9BC80" w:rsidR="7BB9BC80">
              <w:rPr>
                <w:rFonts w:ascii="Verdana" w:hAnsi="Verdana" w:cs="Arial"/>
                <w:color w:val="1F497D"/>
                <w:sz w:val="18"/>
                <w:szCs w:val="18"/>
                <w:lang w:val="en-GB"/>
              </w:rPr>
              <w:t>-VASc score, and followed individuals over a median 2.2</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years for 7005 ischaemic strokes (IS) and for 906 haemorrhagic strokes (HS). We calculated incidence rates (IRs) and 95% CIs per 100 person-years (PYs) (IR (95% CI)/100</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PY) of IS and HS, with and without use of warfarin, and the NCB (</w:t>
            </w:r>
            <w:proofErr w:type="spellStart"/>
            <w:r w:rsidRPr="7BB9BC80" w:rsidR="7BB9BC80">
              <w:rPr>
                <w:rFonts w:ascii="Verdana" w:hAnsi="Verdana" w:cs="Arial"/>
                <w:color w:val="1F497D"/>
                <w:sz w:val="18"/>
                <w:szCs w:val="18"/>
                <w:lang w:val="en-GB"/>
              </w:rPr>
              <w:t>ie</w:t>
            </w:r>
            <w:proofErr w:type="spellEnd"/>
            <w:r w:rsidRPr="7BB9BC80" w:rsidR="7BB9BC80">
              <w:rPr>
                <w:rFonts w:ascii="Verdana" w:hAnsi="Verdana" w:cs="Arial"/>
                <w:color w:val="1F497D"/>
                <w:sz w:val="18"/>
                <w:szCs w:val="18"/>
                <w:lang w:val="en-GB"/>
              </w:rPr>
              <w:t>, number of IS avoided) per 100 PYs of warfarin use (NCB (95% CI)/100</w:t>
            </w:r>
            <w:r w:rsidRPr="7BB9BC80" w:rsidR="7BB9BC80">
              <w:rPr>
                <w:rFonts w:ascii="Arial" w:hAnsi="Arial" w:cs="Arial"/>
                <w:color w:val="1F497D"/>
                <w:sz w:val="18"/>
                <w:szCs w:val="18"/>
                <w:lang w:val="en-GB"/>
              </w:rPr>
              <w:t> </w:t>
            </w:r>
            <w:r w:rsidRPr="7BB9BC80" w:rsidR="7BB9BC80">
              <w:rPr>
                <w:rFonts w:ascii="Verdana" w:hAnsi="Verdana" w:cs="Arial"/>
                <w:color w:val="1F497D"/>
                <w:sz w:val="18"/>
                <w:szCs w:val="18"/>
                <w:lang w:val="en-GB"/>
              </w:rPr>
              <w:t>PY).</w:t>
            </w:r>
          </w:p>
          <w:p w:rsidRPr="00731622" w:rsidR="00BB04C9" w:rsidP="458ADAC5" w:rsidRDefault="00BB04C9" w14:paraId="44A3C175" wp14:textId="77777777" wp14:noSpellErr="1">
            <w:pPr>
              <w:spacing w:after="120"/>
              <w:rPr>
                <w:rFonts w:ascii="Verdana" w:hAnsi="Verdana" w:cs="Arial"/>
                <w:color w:val="1F497D"/>
                <w:sz w:val="18"/>
                <w:szCs w:val="18"/>
                <w:lang w:val="en-GB"/>
              </w:rPr>
            </w:pPr>
            <w:r w:rsidRPr="00731622">
              <w:rPr>
                <w:rFonts w:ascii="Verdana" w:hAnsi="Verdana" w:cs="Arial"/>
                <w:b w:val="1"/>
                <w:bCs w:val="1"/>
                <w:color w:val="1F497D"/>
                <w:sz w:val="18"/>
                <w:szCs w:val="18"/>
                <w:lang w:val="en-GB"/>
              </w:rPr>
              <w:t>Results</w:t>
            </w:r>
            <w:r w:rsidRPr="00731622">
              <w:rPr>
                <w:rFonts w:ascii="Verdana" w:hAnsi="Verdana" w:cs="Arial"/>
                <w:color w:val="1F497D"/>
                <w:sz w:val="18"/>
                <w:szCs w:val="18"/>
                <w:lang w:val="en-GB"/>
              </w:rPr>
              <w:t> Compared with individuals with initial record of diagnosis in secondary care, those in primary care had lower scores of IS risk (CHA</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DS</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-VASc≤2: 30.8% vs 20.6%), and lower overall incidence of IS (IR (95% CI)/100 PY: 2.3 (2.2 to 2.4) vs 4.3 (4.2 to 4.4), p value=0.00); however among individuals with CHA</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DS</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-VASc=0, 1 or 2 there were no differences in IS rate between those with initial record of diagnosis in primary care or secondary care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0.2 (0.1 to 0.3) vs 0.3 (0.2 to 0.5), p value=0.16),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0.6 (0.4 to 0.7) vs 0.7 (0.6 to 0.9), p value=0.08) and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 xml:space="preserve">PY: 1.1 (1.00 to 1.3) vs 1.4 (1.2 to 1.6), p value=0.05), respectively. </w:t>
            </w:r>
            <w:bookmarkStart w:name="_Hlk482787420" w:id="2"/>
            <w:r w:rsidRPr="00731622">
              <w:rPr>
                <w:rFonts w:ascii="Verdana" w:hAnsi="Verdana" w:cs="Arial"/>
                <w:color w:val="1F497D"/>
                <w:sz w:val="18"/>
                <w:szCs w:val="18"/>
                <w:lang w:val="en-GB"/>
              </w:rPr>
              <w:t>For CHA</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DS</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-VASc=0, 1 and 2, IRs of IS with versus without warfarin were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0.4 (0.2 to 0.8) vs 0.2 (0.1 to 0.3), p value=0.16),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0.4 (0.3 to 0.7) vs 0.7 (0.6 to 0.8), p value=0.03) and (IR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0.8 (0.7 to 1.0) vs 1.4 (1.3 to 1.6), p value=0.00), respectively.</w:t>
            </w:r>
            <w:bookmarkEnd w:id="2"/>
            <w:r w:rsidRPr="00731622">
              <w:rPr>
                <w:rFonts w:ascii="Verdana" w:hAnsi="Verdana" w:cs="Arial"/>
                <w:color w:val="1F497D"/>
                <w:sz w:val="18"/>
                <w:szCs w:val="18"/>
                <w:lang w:val="en-GB"/>
              </w:rPr>
              <w:t xml:space="preserve"> We found a significant positive NCB of warfarin from CHA</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DS</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-VASc≥2 in men (NCB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0.5 (0.1 to 0.9)) and from CHA</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DS</w:t>
            </w:r>
            <w:r w:rsidRPr="00731622">
              <w:rPr>
                <w:rFonts w:ascii="Verdana" w:hAnsi="Verdana" w:cs="Arial"/>
                <w:color w:val="1F497D"/>
                <w:sz w:val="18"/>
                <w:szCs w:val="18"/>
                <w:vertAlign w:val="subscript"/>
                <w:lang w:val="en-GB"/>
              </w:rPr>
              <w:t>2</w:t>
            </w:r>
            <w:r w:rsidRPr="00731622">
              <w:rPr>
                <w:rFonts w:ascii="Verdana" w:hAnsi="Verdana" w:cs="Arial"/>
                <w:color w:val="1F497D"/>
                <w:sz w:val="18"/>
                <w:szCs w:val="18"/>
                <w:lang w:val="en-GB"/>
              </w:rPr>
              <w:t>-VASc≥3 in women (NCB (95% CI)/100</w:t>
            </w:r>
            <w:r w:rsidRPr="00731622">
              <w:rPr>
                <w:rFonts w:ascii="Arial" w:hAnsi="Arial" w:cs="Arial"/>
                <w:color w:val="1F497D"/>
                <w:sz w:val="18"/>
                <w:szCs w:val="18"/>
                <w:lang w:val="en-GB"/>
              </w:rPr>
              <w:t> </w:t>
            </w:r>
            <w:r w:rsidRPr="00731622">
              <w:rPr>
                <w:rFonts w:ascii="Verdana" w:hAnsi="Verdana" w:cs="Arial"/>
                <w:color w:val="1F497D"/>
                <w:sz w:val="18"/>
                <w:szCs w:val="18"/>
                <w:lang w:val="en-GB"/>
              </w:rPr>
              <w:t>PY: 1.5 (1.1 to 1.9)).</w:t>
            </w:r>
          </w:p>
          <w:p w:rsidRPr="00731622" w:rsidR="005B3EBC" w:rsidP="458ADAC5" w:rsidRDefault="00BB04C9" w14:paraId="3CDECF95" wp14:textId="77777777" wp14:noSpellErr="1">
            <w:pPr>
              <w:spacing w:after="120"/>
              <w:rPr>
                <w:rFonts w:ascii="Verdana" w:hAnsi="Verdana" w:cs="Arial"/>
                <w:color w:val="1F497D"/>
                <w:sz w:val="18"/>
                <w:szCs w:val="18"/>
                <w:lang w:val="en-GB"/>
              </w:rPr>
            </w:pPr>
            <w:r w:rsidRPr="458ADAC5" w:rsidR="458ADAC5">
              <w:rPr>
                <w:rFonts w:ascii="Verdana" w:hAnsi="Verdana" w:cs="Arial"/>
                <w:b w:val="1"/>
                <w:bCs w:val="1"/>
                <w:color w:val="1F497D"/>
                <w:sz w:val="18"/>
                <w:szCs w:val="18"/>
                <w:lang w:val="en-GB"/>
              </w:rPr>
              <w:t>Conclusions</w:t>
            </w:r>
            <w:r w:rsidRPr="458ADAC5" w:rsidR="458ADAC5">
              <w:rPr>
                <w:rFonts w:ascii="Verdana" w:hAnsi="Verdana" w:cs="Arial"/>
                <w:color w:val="1F497D"/>
                <w:sz w:val="18"/>
                <w:szCs w:val="18"/>
                <w:lang w:val="en-GB"/>
              </w:rPr>
              <w:t> CHA</w:t>
            </w:r>
            <w:r w:rsidRPr="458ADAC5" w:rsidR="458ADAC5">
              <w:rPr>
                <w:rFonts w:ascii="Verdana" w:hAnsi="Verdana" w:cs="Arial"/>
                <w:color w:val="1F497D"/>
                <w:sz w:val="18"/>
                <w:szCs w:val="18"/>
                <w:vertAlign w:val="subscript"/>
                <w:lang w:val="en-GB"/>
              </w:rPr>
              <w:t>2</w:t>
            </w:r>
            <w:r w:rsidRPr="458ADAC5" w:rsidR="458ADAC5">
              <w:rPr>
                <w:rFonts w:ascii="Verdana" w:hAnsi="Verdana" w:cs="Arial"/>
                <w:color w:val="1F497D"/>
                <w:sz w:val="18"/>
                <w:szCs w:val="18"/>
                <w:lang w:val="en-GB"/>
              </w:rPr>
              <w:t>DS</w:t>
            </w:r>
            <w:r w:rsidRPr="458ADAC5" w:rsidR="458ADAC5">
              <w:rPr>
                <w:rFonts w:ascii="Verdana" w:hAnsi="Verdana" w:cs="Arial"/>
                <w:color w:val="1F497D"/>
                <w:sz w:val="18"/>
                <w:szCs w:val="18"/>
                <w:vertAlign w:val="subscript"/>
                <w:lang w:val="en-GB"/>
              </w:rPr>
              <w:t>2</w:t>
            </w:r>
            <w:r w:rsidRPr="458ADAC5" w:rsidR="458ADAC5">
              <w:rPr>
                <w:rFonts w:ascii="Verdana" w:hAnsi="Verdana" w:cs="Arial"/>
                <w:color w:val="1F497D"/>
                <w:sz w:val="18"/>
                <w:szCs w:val="18"/>
                <w:lang w:val="en-GB"/>
              </w:rPr>
              <w:t>-VASc accurately stratifies IS risk in individuals with AF across both primary and secondary care. However, the incidence rate of ischaemic stroke at CHA</w:t>
            </w:r>
            <w:r w:rsidRPr="458ADAC5" w:rsidR="458ADAC5">
              <w:rPr>
                <w:rFonts w:ascii="Verdana" w:hAnsi="Verdana" w:cs="Arial"/>
                <w:color w:val="1F497D"/>
                <w:sz w:val="18"/>
                <w:szCs w:val="18"/>
                <w:vertAlign w:val="subscript"/>
                <w:lang w:val="en-GB"/>
              </w:rPr>
              <w:t>2</w:t>
            </w:r>
            <w:r w:rsidRPr="458ADAC5" w:rsidR="458ADAC5">
              <w:rPr>
                <w:rFonts w:ascii="Verdana" w:hAnsi="Verdana" w:cs="Arial"/>
                <w:color w:val="1F497D"/>
                <w:sz w:val="18"/>
                <w:szCs w:val="18"/>
                <w:lang w:val="en-GB"/>
              </w:rPr>
              <w:t>DS</w:t>
            </w:r>
            <w:r w:rsidRPr="458ADAC5" w:rsidR="458ADAC5">
              <w:rPr>
                <w:rFonts w:ascii="Verdana" w:hAnsi="Verdana" w:cs="Arial"/>
                <w:color w:val="1F497D"/>
                <w:sz w:val="18"/>
                <w:szCs w:val="18"/>
                <w:vertAlign w:val="subscript"/>
                <w:lang w:val="en-GB"/>
              </w:rPr>
              <w:t>2</w:t>
            </w:r>
            <w:r w:rsidRPr="458ADAC5" w:rsidR="458ADAC5">
              <w:rPr>
                <w:rFonts w:ascii="Verdana" w:hAnsi="Verdana" w:cs="Arial"/>
                <w:color w:val="1F497D"/>
                <w:sz w:val="18"/>
                <w:szCs w:val="18"/>
                <w:lang w:val="en-GB"/>
              </w:rPr>
              <w:t>-VASc=1 are lower than previously reported, which may change the decision to start anticoagulation with warfarin in these individuals.</w:t>
            </w:r>
          </w:p>
          <w:p w:rsidRPr="00731622" w:rsidR="000500F3" w:rsidP="005B3EBC" w:rsidRDefault="00BB04C9" w14:paraId="7A4C373B" wp14:textId="77777777">
            <w:pPr>
              <w:spacing w:after="120"/>
              <w:rPr>
                <w:rFonts w:ascii="Verdana" w:hAnsi="Verdana" w:cs="Arial"/>
                <w:color w:val="1F497D"/>
                <w:sz w:val="18"/>
                <w:szCs w:val="18"/>
                <w:lang w:val="en-GB"/>
              </w:rPr>
            </w:pPr>
            <w:hyperlink w:tgtFrame="_new" w:history="1" r:id="rId7">
              <w:r w:rsidRPr="00731622">
                <w:rPr>
                  <w:rStyle w:val="Hperlink"/>
                  <w:rFonts w:ascii="Verdana" w:hAnsi="Verdana" w:cs="Arial"/>
                  <w:color w:val="1F497D"/>
                  <w:sz w:val="18"/>
                  <w:szCs w:val="18"/>
                  <w:lang w:val="en-GB"/>
                </w:rPr>
                <w:t>http://dx.doi.org/10.1136/heartjnl-2016-309910</w:t>
              </w:r>
            </w:hyperlink>
          </w:p>
        </w:tc>
        <w:tc>
          <w:tcPr>
            <w:tcW w:w="3096" w:type="dxa"/>
            <w:shd w:val="clear" w:color="auto" w:fill="auto"/>
            <w:tcMar/>
          </w:tcPr>
          <w:p w:rsidRPr="00731622" w:rsidR="000500F3" w:rsidP="458ADAC5" w:rsidRDefault="00BB04C9" w14:paraId="62F1F168"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Allan V, Banerjee A, Shah AD, et al. Net clinical benefit of warfarin in individuals with atrial fibrillation across</w:t>
            </w:r>
            <w:r>
              <w:br/>
            </w:r>
            <w:r w:rsidRPr="458ADAC5" w:rsidR="458ADAC5">
              <w:rPr>
                <w:rFonts w:ascii="Verdana" w:hAnsi="Verdana" w:cs="Arial"/>
                <w:color w:val="1F497D"/>
                <w:sz w:val="18"/>
                <w:szCs w:val="18"/>
                <w:lang w:val="en-GB"/>
              </w:rPr>
              <w:t>stroke risk and across primary and secondary care. Heart 2017;103:210–218</w:t>
            </w:r>
          </w:p>
        </w:tc>
      </w:tr>
      <w:tr xmlns:wp14="http://schemas.microsoft.com/office/word/2010/wordml" w:rsidRPr="002C0E7F" w:rsidR="005B3EBC" w:rsidTr="7BB9BC80" w14:paraId="46070449" wp14:textId="77777777">
        <w:tc>
          <w:tcPr>
            <w:tcW w:w="6192" w:type="dxa"/>
            <w:shd w:val="clear" w:color="auto" w:fill="auto"/>
            <w:tcMar/>
          </w:tcPr>
          <w:p w:rsidRPr="00731622" w:rsidR="005B3EBC" w:rsidP="458ADAC5" w:rsidRDefault="005B3EBC" w14:paraId="30D68D4B"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BACKGROUND</w:t>
            </w:r>
          </w:p>
          <w:p w:rsidRPr="00731622" w:rsidR="005B3EBC" w:rsidP="7BB9BC80" w:rsidRDefault="005B3EBC" w14:paraId="4E808BC2"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Vitamin K antagonists have been shown to prevent stroke in patients with atrial fibrillation. However, many patients are not suitable candidates for or are unwilling to receive vitamin K antagonist therapy, and these patients have a high risk of stroke. Apixaban, a novel factor </w:t>
            </w:r>
            <w:proofErr w:type="spellStart"/>
            <w:r w:rsidRPr="7BB9BC80" w:rsidR="7BB9BC80">
              <w:rPr>
                <w:rFonts w:ascii="Verdana" w:hAnsi="Verdana" w:cs="Arial"/>
                <w:color w:val="1F497D"/>
                <w:sz w:val="18"/>
                <w:szCs w:val="18"/>
                <w:lang w:val="en-GB"/>
              </w:rPr>
              <w:t>Xa</w:t>
            </w:r>
            <w:proofErr w:type="spellEnd"/>
            <w:r w:rsidRPr="7BB9BC80" w:rsidR="7BB9BC80">
              <w:rPr>
                <w:rFonts w:ascii="Verdana" w:hAnsi="Verdana" w:cs="Arial"/>
                <w:color w:val="1F497D"/>
                <w:sz w:val="18"/>
                <w:szCs w:val="18"/>
                <w:lang w:val="en-GB"/>
              </w:rPr>
              <w:t xml:space="preserve"> inhibitor, may be an alternative treatment for such patients.</w:t>
            </w:r>
          </w:p>
          <w:p w:rsidRPr="00731622" w:rsidR="005B3EBC" w:rsidP="458ADAC5" w:rsidRDefault="005B3EBC" w14:paraId="62425205"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METHODS</w:t>
            </w:r>
          </w:p>
          <w:p w:rsidRPr="00731622" w:rsidR="005B3EBC" w:rsidP="458ADAC5" w:rsidRDefault="005B3EBC" w14:paraId="7B740568" wp14:textId="77777777" wp14:noSpellErr="1">
            <w:pPr>
              <w:spacing w:after="120"/>
              <w:rPr>
                <w:rFonts w:ascii="Verdana" w:hAnsi="Verdana" w:cs="Arial"/>
                <w:color w:val="1F497D"/>
                <w:sz w:val="18"/>
                <w:szCs w:val="18"/>
                <w:lang w:val="en-GB"/>
              </w:rPr>
            </w:pPr>
            <w:r w:rsidRPr="458ADAC5" w:rsidR="458ADAC5">
              <w:rPr>
                <w:rFonts w:ascii="Verdana" w:hAnsi="Verdana" w:cs="Arial"/>
                <w:color w:val="1F497D"/>
                <w:sz w:val="18"/>
                <w:szCs w:val="18"/>
                <w:lang w:val="en-GB"/>
              </w:rPr>
              <w:t>In a double-blind study, we randomly assigned 5599 patients with atrial fibrillation who were at increased risk for stroke and for whom vitamin K antagonist therapy was unsuitable to receive apixaban (at a dose of 5 mg twice daily) or aspirin (81 to 324 mg per day), to determine whether apixaban was superior. The mean follow up period was 1.1 years. The primary outcome was the occurrence of stroke or systemic embolism.</w:t>
            </w:r>
          </w:p>
          <w:p w:rsidRPr="00731622" w:rsidR="005B3EBC" w:rsidP="458ADAC5" w:rsidRDefault="005B3EBC" w14:paraId="4291EB3D"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RESULTS</w:t>
            </w:r>
          </w:p>
          <w:p w:rsidRPr="00731622" w:rsidR="005B3EBC" w:rsidP="7BB9BC80" w:rsidRDefault="005B3EBC" w14:paraId="20826483"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Before </w:t>
            </w:r>
            <w:proofErr w:type="spellStart"/>
            <w:r w:rsidRPr="7BB9BC80" w:rsidR="7BB9BC80">
              <w:rPr>
                <w:rFonts w:ascii="Verdana" w:hAnsi="Verdana" w:cs="Arial"/>
                <w:color w:val="1F497D"/>
                <w:sz w:val="18"/>
                <w:szCs w:val="18"/>
                <w:lang w:val="en-GB"/>
              </w:rPr>
              <w:t>enrollment</w:t>
            </w:r>
            <w:proofErr w:type="spellEnd"/>
            <w:r w:rsidRPr="7BB9BC80" w:rsidR="7BB9BC80">
              <w:rPr>
                <w:rFonts w:ascii="Verdana" w:hAnsi="Verdana" w:cs="Arial"/>
                <w:color w:val="1F497D"/>
                <w:sz w:val="18"/>
                <w:szCs w:val="18"/>
                <w:lang w:val="en-GB"/>
              </w:rPr>
              <w:t xml:space="preserve">, 40% of the patients had used a vitamin K antagonist. The data and safety monitoring board recommended early termination of the study because of a clear benefit in </w:t>
            </w:r>
            <w:proofErr w:type="spellStart"/>
            <w:r w:rsidRPr="7BB9BC80" w:rsidR="7BB9BC80">
              <w:rPr>
                <w:rFonts w:ascii="Verdana" w:hAnsi="Verdana" w:cs="Arial"/>
                <w:color w:val="1F497D"/>
                <w:sz w:val="18"/>
                <w:szCs w:val="18"/>
                <w:lang w:val="en-GB"/>
              </w:rPr>
              <w:t>favor</w:t>
            </w:r>
            <w:proofErr w:type="spellEnd"/>
            <w:r w:rsidRPr="7BB9BC80" w:rsidR="7BB9BC80">
              <w:rPr>
                <w:rFonts w:ascii="Verdana" w:hAnsi="Verdana" w:cs="Arial"/>
                <w:color w:val="1F497D"/>
                <w:sz w:val="18"/>
                <w:szCs w:val="18"/>
                <w:lang w:val="en-GB"/>
              </w:rPr>
              <w:t xml:space="preserve"> of apixaban. There were 51 primary outcome events (1.6% per year) among patients assigned to apixaban and 113 (3.7% per year) among those assigned to aspirin (hazard ratio with apixaban, 0.45; 95% confidence interval [CI], 0.32 to 0.62; P&lt;0.001). The rates of death were 3.5% per year in the apixaban group and 4.4% per year in the aspirin group (hazard ratio, 0.79; 95% CI, 0.62 to 1.02; P=0.07). </w:t>
            </w:r>
            <w:r w:rsidRPr="7BB9BC80" w:rsidR="7BB9BC80">
              <w:rPr>
                <w:rFonts w:ascii="Verdana" w:hAnsi="Verdana" w:cs="Arial"/>
                <w:color w:val="1F497D"/>
                <w:sz w:val="18"/>
                <w:szCs w:val="18"/>
                <w:u w:val="single"/>
                <w:lang w:val="en-GB"/>
              </w:rPr>
              <w:t>There were 44 cases of major bleeding (1.4% per year) in the apixaban group and 39 (1.2% per year) in the aspirin group (hazard ratio with apixaban, 1.13; 95% CI, 0.74 to 1.75; P=0.57); there were 11 cases of intracranial bleeding with apixaban and 13 with aspirin.</w:t>
            </w:r>
            <w:r w:rsidRPr="7BB9BC80" w:rsidR="7BB9BC80">
              <w:rPr>
                <w:rFonts w:ascii="Verdana" w:hAnsi="Verdana" w:cs="Arial"/>
                <w:color w:val="1F497D"/>
                <w:sz w:val="18"/>
                <w:szCs w:val="18"/>
                <w:lang w:val="en-GB"/>
              </w:rPr>
              <w:t xml:space="preserve"> The risk of a first hospitalization for cardiovascular causes was reduced with apixaban as compared with aspirin (12.6% per year vs. 15.9% per year, P&lt;0.001). The treatment effects were consistent among important subgroups.</w:t>
            </w:r>
          </w:p>
          <w:p w:rsidRPr="00731622" w:rsidR="005B3EBC" w:rsidP="458ADAC5" w:rsidRDefault="005B3EBC" w14:paraId="32EE76F7" wp14:textId="77777777" wp14:noSpellErr="1">
            <w:pPr>
              <w:spacing w:after="120"/>
              <w:rPr>
                <w:rFonts w:ascii="Verdana" w:hAnsi="Verdana" w:cs="Arial"/>
                <w:b w:val="1"/>
                <w:bCs w:val="1"/>
                <w:color w:val="1F497D"/>
                <w:sz w:val="18"/>
                <w:szCs w:val="18"/>
                <w:lang w:val="en-GB"/>
              </w:rPr>
            </w:pPr>
            <w:r w:rsidRPr="458ADAC5" w:rsidR="458ADAC5">
              <w:rPr>
                <w:rFonts w:ascii="Verdana" w:hAnsi="Verdana" w:cs="Arial"/>
                <w:b w:val="1"/>
                <w:bCs w:val="1"/>
                <w:color w:val="1F497D"/>
                <w:sz w:val="18"/>
                <w:szCs w:val="18"/>
                <w:lang w:val="en-GB"/>
              </w:rPr>
              <w:t>CONCLUSIONS</w:t>
            </w:r>
          </w:p>
          <w:p w:rsidRPr="00731622" w:rsidR="005B3EBC" w:rsidP="7BB9BC80" w:rsidRDefault="005B3EBC" w14:paraId="1035E7C3" wp14:textId="77777777">
            <w:pPr>
              <w:spacing w:after="120"/>
              <w:rPr>
                <w:rFonts w:ascii="Verdana" w:hAnsi="Verdana" w:cs="Arial"/>
                <w:b w:val="1"/>
                <w:bCs w:val="1"/>
                <w:color w:val="1F497D"/>
                <w:sz w:val="18"/>
                <w:szCs w:val="18"/>
                <w:lang w:val="en-GB"/>
              </w:rPr>
            </w:pPr>
            <w:r w:rsidRPr="7BB9BC80" w:rsidR="7BB9BC80">
              <w:rPr>
                <w:rFonts w:ascii="Verdana" w:hAnsi="Verdana" w:cs="Arial"/>
                <w:color w:val="1F497D"/>
                <w:sz w:val="18"/>
                <w:szCs w:val="18"/>
                <w:lang w:val="en-GB"/>
              </w:rPr>
              <w:t xml:space="preserve">In patients with atrial fibrillation for whom vitamin K antagonist therapy was unsuitable, apixaban reduced the risk of stroke or systemic embolism without significantly increasing the risk of major bleeding or intracranial </w:t>
            </w:r>
            <w:proofErr w:type="spellStart"/>
            <w:r w:rsidRPr="7BB9BC80" w:rsidR="7BB9BC80">
              <w:rPr>
                <w:rFonts w:ascii="Verdana" w:hAnsi="Verdana" w:cs="Arial"/>
                <w:color w:val="1F497D"/>
                <w:sz w:val="18"/>
                <w:szCs w:val="18"/>
                <w:lang w:val="en-GB"/>
              </w:rPr>
              <w:t>hemorrhage</w:t>
            </w:r>
            <w:proofErr w:type="spellEnd"/>
            <w:r w:rsidRPr="7BB9BC80" w:rsidR="7BB9BC80">
              <w:rPr>
                <w:rFonts w:ascii="Verdana" w:hAnsi="Verdana" w:cs="Arial"/>
                <w:color w:val="1F497D"/>
                <w:sz w:val="18"/>
                <w:szCs w:val="18"/>
                <w:lang w:val="en-GB"/>
              </w:rPr>
              <w:t>.</w:t>
            </w:r>
          </w:p>
        </w:tc>
        <w:tc>
          <w:tcPr>
            <w:tcW w:w="3096" w:type="dxa"/>
            <w:shd w:val="clear" w:color="auto" w:fill="auto"/>
            <w:tcMar/>
          </w:tcPr>
          <w:p w:rsidRPr="00731622" w:rsidR="00731622" w:rsidP="7BB9BC80" w:rsidRDefault="00731622" w14:paraId="07115B87" wp14:textId="77777777">
            <w:pPr>
              <w:spacing w:after="120"/>
              <w:rPr>
                <w:rFonts w:ascii="Verdana" w:hAnsi="Verdana" w:cs="Arial"/>
                <w:color w:val="1F497D"/>
                <w:sz w:val="18"/>
                <w:szCs w:val="18"/>
                <w:lang w:val="en-GB"/>
              </w:rPr>
            </w:pPr>
            <w:r w:rsidRPr="7BB9BC80" w:rsidR="7BB9BC80">
              <w:rPr>
                <w:rFonts w:ascii="Verdana" w:hAnsi="Verdana" w:cs="Arial"/>
                <w:color w:val="1F497D"/>
                <w:sz w:val="18"/>
                <w:szCs w:val="18"/>
                <w:lang w:val="en-GB"/>
              </w:rPr>
              <w:t xml:space="preserve">Connolly SJ et al. Apixaban in patients with atrial fibrillation. N </w:t>
            </w:r>
            <w:proofErr w:type="spellStart"/>
            <w:r w:rsidRPr="7BB9BC80" w:rsidR="7BB9BC80">
              <w:rPr>
                <w:rFonts w:ascii="Verdana" w:hAnsi="Verdana" w:cs="Arial"/>
                <w:color w:val="1F497D"/>
                <w:sz w:val="18"/>
                <w:szCs w:val="18"/>
                <w:lang w:val="en-GB"/>
              </w:rPr>
              <w:t>Engl</w:t>
            </w:r>
            <w:proofErr w:type="spellEnd"/>
            <w:r w:rsidRPr="7BB9BC80" w:rsidR="7BB9BC80">
              <w:rPr>
                <w:rFonts w:ascii="Verdana" w:hAnsi="Verdana" w:cs="Arial"/>
                <w:color w:val="1F497D"/>
                <w:sz w:val="18"/>
                <w:szCs w:val="18"/>
                <w:lang w:val="en-GB"/>
              </w:rPr>
              <w:t xml:space="preserve"> J Med. 2011 Mar 3;364(9):806-17. </w:t>
            </w:r>
            <w:proofErr w:type="spellStart"/>
            <w:r w:rsidRPr="7BB9BC80" w:rsidR="7BB9BC80">
              <w:rPr>
                <w:rFonts w:ascii="Verdana" w:hAnsi="Verdana" w:cs="Arial"/>
                <w:color w:val="1F497D"/>
                <w:sz w:val="18"/>
                <w:szCs w:val="18"/>
                <w:lang w:val="en-GB"/>
              </w:rPr>
              <w:t>doi</w:t>
            </w:r>
            <w:proofErr w:type="spellEnd"/>
            <w:r w:rsidRPr="7BB9BC80" w:rsidR="7BB9BC80">
              <w:rPr>
                <w:rFonts w:ascii="Verdana" w:hAnsi="Verdana" w:cs="Arial"/>
                <w:color w:val="1F497D"/>
                <w:sz w:val="18"/>
                <w:szCs w:val="18"/>
                <w:lang w:val="en-GB"/>
              </w:rPr>
              <w:t xml:space="preserve">: 10.1056/NEJMoa1007432. </w:t>
            </w:r>
            <w:proofErr w:type="spellStart"/>
            <w:r w:rsidRPr="7BB9BC80" w:rsidR="7BB9BC80">
              <w:rPr>
                <w:rFonts w:ascii="Verdana" w:hAnsi="Verdana" w:cs="Arial"/>
                <w:color w:val="1F497D"/>
                <w:sz w:val="18"/>
                <w:szCs w:val="18"/>
                <w:lang w:val="en-GB"/>
              </w:rPr>
              <w:t>Epub</w:t>
            </w:r>
            <w:proofErr w:type="spellEnd"/>
            <w:r w:rsidRPr="7BB9BC80" w:rsidR="7BB9BC80">
              <w:rPr>
                <w:rFonts w:ascii="Verdana" w:hAnsi="Verdana" w:cs="Arial"/>
                <w:color w:val="1F497D"/>
                <w:sz w:val="18"/>
                <w:szCs w:val="18"/>
                <w:lang w:val="en-GB"/>
              </w:rPr>
              <w:t xml:space="preserve"> 2011 Feb 10.</w:t>
            </w:r>
          </w:p>
          <w:p w:rsidRPr="00731622" w:rsidR="00731622" w:rsidP="00731622" w:rsidRDefault="00731622" w14:paraId="3A93D731" wp14:textId="77777777">
            <w:pPr>
              <w:spacing w:after="120"/>
              <w:rPr>
                <w:rFonts w:ascii="Verdana" w:hAnsi="Verdana" w:cs="Arial"/>
                <w:color w:val="1F497D"/>
                <w:sz w:val="18"/>
                <w:szCs w:val="18"/>
                <w:lang w:val="en-GB"/>
              </w:rPr>
            </w:pPr>
          </w:p>
          <w:p w:rsidRPr="00731622" w:rsidR="00731622" w:rsidP="00731622" w:rsidRDefault="00731622" w14:paraId="22537327" wp14:textId="77777777">
            <w:pPr>
              <w:spacing w:after="120"/>
              <w:rPr>
                <w:rFonts w:ascii="Verdana" w:hAnsi="Verdana" w:cs="Arial"/>
                <w:color w:val="1F497D"/>
                <w:sz w:val="18"/>
                <w:szCs w:val="18"/>
                <w:lang w:val="en-GB"/>
              </w:rPr>
            </w:pPr>
          </w:p>
          <w:p w:rsidRPr="00731622" w:rsidR="005B3EBC" w:rsidP="00731622" w:rsidRDefault="005B3EBC" w14:paraId="0D91DAC4" wp14:textId="77777777">
            <w:pPr>
              <w:spacing w:after="120"/>
              <w:rPr>
                <w:rFonts w:ascii="Verdana" w:hAnsi="Verdana" w:cs="Arial"/>
                <w:color w:val="1F497D"/>
                <w:sz w:val="18"/>
                <w:szCs w:val="18"/>
                <w:lang w:val="en-GB"/>
              </w:rPr>
            </w:pPr>
          </w:p>
        </w:tc>
      </w:tr>
    </w:tbl>
    <w:p xmlns:wp14="http://schemas.microsoft.com/office/word/2010/wordml" w:rsidRPr="003B0510" w:rsidR="003B0510" w:rsidRDefault="003B0510" w14:paraId="4A020AFE" wp14:textId="77777777">
      <w:pPr>
        <w:rPr>
          <w:lang w:val="en-US"/>
        </w:rPr>
      </w:pPr>
    </w:p>
    <w:sectPr w:rsidRPr="003B0510" w:rsidR="003B0510" w:rsidSect="00564411">
      <w:pgSz w:w="11906" w:h="16838" w:orient="portrait"/>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lvlOverride w:ilvl="0">
      <w:startOverride w:val="30"/>
    </w:lvlOverride>
  </w:num>
  <w:num w:numId="4">
    <w:abstractNumId w:val="0"/>
    <w:lvlOverride w:ilvl="0">
      <w:startOverride w:val="3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73"/>
    <w:rsid w:val="00002EC4"/>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5B3"/>
    <w:rsid w:val="00075794"/>
    <w:rsid w:val="000761B8"/>
    <w:rsid w:val="00076EAA"/>
    <w:rsid w:val="0007741E"/>
    <w:rsid w:val="00080342"/>
    <w:rsid w:val="00080F3B"/>
    <w:rsid w:val="000813EF"/>
    <w:rsid w:val="00081A61"/>
    <w:rsid w:val="00082266"/>
    <w:rsid w:val="00082672"/>
    <w:rsid w:val="00082A2D"/>
    <w:rsid w:val="00082BDE"/>
    <w:rsid w:val="000832D6"/>
    <w:rsid w:val="00083A7E"/>
    <w:rsid w:val="00083DB4"/>
    <w:rsid w:val="00083DC2"/>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4595"/>
    <w:rsid w:val="00095A89"/>
    <w:rsid w:val="00095FD2"/>
    <w:rsid w:val="00096861"/>
    <w:rsid w:val="00096E93"/>
    <w:rsid w:val="00096F18"/>
    <w:rsid w:val="00096F89"/>
    <w:rsid w:val="00097891"/>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872"/>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208"/>
    <w:rsid w:val="000D3DBE"/>
    <w:rsid w:val="000D3F78"/>
    <w:rsid w:val="000D524A"/>
    <w:rsid w:val="000D5C6F"/>
    <w:rsid w:val="000D655D"/>
    <w:rsid w:val="000D7C7D"/>
    <w:rsid w:val="000D7FC8"/>
    <w:rsid w:val="000E0344"/>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68ED"/>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732C"/>
    <w:rsid w:val="001675E0"/>
    <w:rsid w:val="00170CD3"/>
    <w:rsid w:val="00171532"/>
    <w:rsid w:val="00171633"/>
    <w:rsid w:val="001719C5"/>
    <w:rsid w:val="00171E18"/>
    <w:rsid w:val="00172010"/>
    <w:rsid w:val="0017206F"/>
    <w:rsid w:val="00172AC8"/>
    <w:rsid w:val="00172EFA"/>
    <w:rsid w:val="00173445"/>
    <w:rsid w:val="001734F5"/>
    <w:rsid w:val="00173642"/>
    <w:rsid w:val="00173B90"/>
    <w:rsid w:val="00174702"/>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1FEA"/>
    <w:rsid w:val="001926E8"/>
    <w:rsid w:val="00192E6D"/>
    <w:rsid w:val="00193BB1"/>
    <w:rsid w:val="00194358"/>
    <w:rsid w:val="00194589"/>
    <w:rsid w:val="001947DC"/>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61C9"/>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39F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69D2"/>
    <w:rsid w:val="00247715"/>
    <w:rsid w:val="00247C30"/>
    <w:rsid w:val="00247CE0"/>
    <w:rsid w:val="00250081"/>
    <w:rsid w:val="00250A2C"/>
    <w:rsid w:val="00250C96"/>
    <w:rsid w:val="00250F32"/>
    <w:rsid w:val="00251CCB"/>
    <w:rsid w:val="0025280E"/>
    <w:rsid w:val="00253250"/>
    <w:rsid w:val="00253EF3"/>
    <w:rsid w:val="00253F7A"/>
    <w:rsid w:val="002541F9"/>
    <w:rsid w:val="002548FB"/>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229"/>
    <w:rsid w:val="00286DD8"/>
    <w:rsid w:val="00286E3E"/>
    <w:rsid w:val="002870B6"/>
    <w:rsid w:val="002876AD"/>
    <w:rsid w:val="00287C00"/>
    <w:rsid w:val="00287EC7"/>
    <w:rsid w:val="002908EA"/>
    <w:rsid w:val="002908EF"/>
    <w:rsid w:val="002914A6"/>
    <w:rsid w:val="002916EE"/>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31B9"/>
    <w:rsid w:val="002A4493"/>
    <w:rsid w:val="002A49BB"/>
    <w:rsid w:val="002A4AA0"/>
    <w:rsid w:val="002A4B85"/>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E7F"/>
    <w:rsid w:val="002C1980"/>
    <w:rsid w:val="002C266E"/>
    <w:rsid w:val="002C27CE"/>
    <w:rsid w:val="002C2F45"/>
    <w:rsid w:val="002C3596"/>
    <w:rsid w:val="002C3F7D"/>
    <w:rsid w:val="002C463E"/>
    <w:rsid w:val="002C4BA6"/>
    <w:rsid w:val="002C4F75"/>
    <w:rsid w:val="002C5D40"/>
    <w:rsid w:val="002C6786"/>
    <w:rsid w:val="002C6B14"/>
    <w:rsid w:val="002C6CB0"/>
    <w:rsid w:val="002C756D"/>
    <w:rsid w:val="002C76B3"/>
    <w:rsid w:val="002C76F3"/>
    <w:rsid w:val="002C7733"/>
    <w:rsid w:val="002D0698"/>
    <w:rsid w:val="002D0F7E"/>
    <w:rsid w:val="002D1884"/>
    <w:rsid w:val="002D2037"/>
    <w:rsid w:val="002D300E"/>
    <w:rsid w:val="002D3373"/>
    <w:rsid w:val="002D3FA8"/>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3B7"/>
    <w:rsid w:val="002F288D"/>
    <w:rsid w:val="002F2E78"/>
    <w:rsid w:val="002F3BAB"/>
    <w:rsid w:val="002F4488"/>
    <w:rsid w:val="002F4A75"/>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934"/>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11FC"/>
    <w:rsid w:val="003220DA"/>
    <w:rsid w:val="003221C7"/>
    <w:rsid w:val="003228AA"/>
    <w:rsid w:val="00324819"/>
    <w:rsid w:val="00327AC5"/>
    <w:rsid w:val="003302C8"/>
    <w:rsid w:val="00330F47"/>
    <w:rsid w:val="003316EF"/>
    <w:rsid w:val="00331F57"/>
    <w:rsid w:val="003323A3"/>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6F2E"/>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1193"/>
    <w:rsid w:val="00451B0A"/>
    <w:rsid w:val="00452078"/>
    <w:rsid w:val="004523DA"/>
    <w:rsid w:val="00453500"/>
    <w:rsid w:val="00453FB2"/>
    <w:rsid w:val="0045444E"/>
    <w:rsid w:val="004546F6"/>
    <w:rsid w:val="00454880"/>
    <w:rsid w:val="00455612"/>
    <w:rsid w:val="004569C3"/>
    <w:rsid w:val="00456F83"/>
    <w:rsid w:val="0045796B"/>
    <w:rsid w:val="00460072"/>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2EA"/>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4FF1"/>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3347"/>
    <w:rsid w:val="004F3A75"/>
    <w:rsid w:val="004F3F23"/>
    <w:rsid w:val="004F4F99"/>
    <w:rsid w:val="004F50C9"/>
    <w:rsid w:val="004F5ECC"/>
    <w:rsid w:val="004F6795"/>
    <w:rsid w:val="004F6B1B"/>
    <w:rsid w:val="004F7C97"/>
    <w:rsid w:val="00500E17"/>
    <w:rsid w:val="00500EBF"/>
    <w:rsid w:val="00500F0A"/>
    <w:rsid w:val="00501088"/>
    <w:rsid w:val="0050148A"/>
    <w:rsid w:val="005019E3"/>
    <w:rsid w:val="0050263B"/>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15CE"/>
    <w:rsid w:val="00522236"/>
    <w:rsid w:val="0052225C"/>
    <w:rsid w:val="00522919"/>
    <w:rsid w:val="00522B32"/>
    <w:rsid w:val="00523606"/>
    <w:rsid w:val="00523A08"/>
    <w:rsid w:val="00523BAC"/>
    <w:rsid w:val="00524FED"/>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0483"/>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411"/>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7C"/>
    <w:rsid w:val="005822DF"/>
    <w:rsid w:val="005827F3"/>
    <w:rsid w:val="005832F8"/>
    <w:rsid w:val="005841F3"/>
    <w:rsid w:val="00585A78"/>
    <w:rsid w:val="0058694B"/>
    <w:rsid w:val="00587F65"/>
    <w:rsid w:val="005910F9"/>
    <w:rsid w:val="00591736"/>
    <w:rsid w:val="00591D97"/>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3EBC"/>
    <w:rsid w:val="005B403D"/>
    <w:rsid w:val="005B44AF"/>
    <w:rsid w:val="005B4944"/>
    <w:rsid w:val="005B53A1"/>
    <w:rsid w:val="005B5534"/>
    <w:rsid w:val="005B5892"/>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2FB9"/>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0D1E"/>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5A4"/>
    <w:rsid w:val="006738C5"/>
    <w:rsid w:val="00674564"/>
    <w:rsid w:val="00676AD5"/>
    <w:rsid w:val="00676B5E"/>
    <w:rsid w:val="00677477"/>
    <w:rsid w:val="006779D0"/>
    <w:rsid w:val="00677FBE"/>
    <w:rsid w:val="00680867"/>
    <w:rsid w:val="00680E8C"/>
    <w:rsid w:val="00680EAE"/>
    <w:rsid w:val="00681219"/>
    <w:rsid w:val="006818D2"/>
    <w:rsid w:val="00681B7D"/>
    <w:rsid w:val="00681F79"/>
    <w:rsid w:val="006845E0"/>
    <w:rsid w:val="00684919"/>
    <w:rsid w:val="00684C34"/>
    <w:rsid w:val="00684CF6"/>
    <w:rsid w:val="006856AD"/>
    <w:rsid w:val="00685BDF"/>
    <w:rsid w:val="00686290"/>
    <w:rsid w:val="006871B9"/>
    <w:rsid w:val="00690575"/>
    <w:rsid w:val="0069078C"/>
    <w:rsid w:val="00690C47"/>
    <w:rsid w:val="00691A60"/>
    <w:rsid w:val="00691C11"/>
    <w:rsid w:val="00691F67"/>
    <w:rsid w:val="00693468"/>
    <w:rsid w:val="00693607"/>
    <w:rsid w:val="00693DB7"/>
    <w:rsid w:val="00694970"/>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6F4"/>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077"/>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E7C4A"/>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6F79DB"/>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2FCE"/>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1622"/>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65CB"/>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E41"/>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601"/>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597"/>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4B4"/>
    <w:rsid w:val="00A42DE4"/>
    <w:rsid w:val="00A4307A"/>
    <w:rsid w:val="00A4334B"/>
    <w:rsid w:val="00A433CD"/>
    <w:rsid w:val="00A43AD6"/>
    <w:rsid w:val="00A4401E"/>
    <w:rsid w:val="00A44C0C"/>
    <w:rsid w:val="00A451C5"/>
    <w:rsid w:val="00A4586E"/>
    <w:rsid w:val="00A46813"/>
    <w:rsid w:val="00A46FA0"/>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C4"/>
    <w:rsid w:val="00A64FF3"/>
    <w:rsid w:val="00A666F9"/>
    <w:rsid w:val="00A66CD1"/>
    <w:rsid w:val="00A67611"/>
    <w:rsid w:val="00A67E39"/>
    <w:rsid w:val="00A703E6"/>
    <w:rsid w:val="00A70441"/>
    <w:rsid w:val="00A704A6"/>
    <w:rsid w:val="00A70DC8"/>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3D1"/>
    <w:rsid w:val="00AE4A0A"/>
    <w:rsid w:val="00AE57DE"/>
    <w:rsid w:val="00AE5BAB"/>
    <w:rsid w:val="00AE604E"/>
    <w:rsid w:val="00AE63C4"/>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3B26"/>
    <w:rsid w:val="00B240FD"/>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5116"/>
    <w:rsid w:val="00B46699"/>
    <w:rsid w:val="00B479AA"/>
    <w:rsid w:val="00B47BA9"/>
    <w:rsid w:val="00B50223"/>
    <w:rsid w:val="00B50876"/>
    <w:rsid w:val="00B50A13"/>
    <w:rsid w:val="00B51E1C"/>
    <w:rsid w:val="00B521DC"/>
    <w:rsid w:val="00B52A44"/>
    <w:rsid w:val="00B53AC3"/>
    <w:rsid w:val="00B5506E"/>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3AA6"/>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4C9"/>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2A"/>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639B"/>
    <w:rsid w:val="00BE7A29"/>
    <w:rsid w:val="00BF08B7"/>
    <w:rsid w:val="00BF2003"/>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AF5"/>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47F"/>
    <w:rsid w:val="00C73C17"/>
    <w:rsid w:val="00C7406E"/>
    <w:rsid w:val="00C74BE2"/>
    <w:rsid w:val="00C752FA"/>
    <w:rsid w:val="00C75C33"/>
    <w:rsid w:val="00C76066"/>
    <w:rsid w:val="00C7635B"/>
    <w:rsid w:val="00C76876"/>
    <w:rsid w:val="00C77B15"/>
    <w:rsid w:val="00C8025C"/>
    <w:rsid w:val="00C81262"/>
    <w:rsid w:val="00C82837"/>
    <w:rsid w:val="00C82BE7"/>
    <w:rsid w:val="00C8362D"/>
    <w:rsid w:val="00C83DEB"/>
    <w:rsid w:val="00C84E7F"/>
    <w:rsid w:val="00C84EA7"/>
    <w:rsid w:val="00C856BD"/>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4E8A"/>
    <w:rsid w:val="00CC5CD3"/>
    <w:rsid w:val="00CC6856"/>
    <w:rsid w:val="00CC701E"/>
    <w:rsid w:val="00CC7B0A"/>
    <w:rsid w:val="00CD0CE2"/>
    <w:rsid w:val="00CD0D86"/>
    <w:rsid w:val="00CD0EFC"/>
    <w:rsid w:val="00CD0F1D"/>
    <w:rsid w:val="00CD106B"/>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D3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25A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5FE"/>
    <w:rsid w:val="00D04A33"/>
    <w:rsid w:val="00D04D92"/>
    <w:rsid w:val="00D05063"/>
    <w:rsid w:val="00D05C1C"/>
    <w:rsid w:val="00D0629A"/>
    <w:rsid w:val="00D06A1F"/>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4B81"/>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20C"/>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57DA3"/>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2FF2"/>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68E"/>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5895"/>
    <w:rsid w:val="00EC623A"/>
    <w:rsid w:val="00EC67BF"/>
    <w:rsid w:val="00EC752E"/>
    <w:rsid w:val="00EC7EF4"/>
    <w:rsid w:val="00ED0DEE"/>
    <w:rsid w:val="00ED11DE"/>
    <w:rsid w:val="00ED1364"/>
    <w:rsid w:val="00ED1976"/>
    <w:rsid w:val="00ED2202"/>
    <w:rsid w:val="00ED265E"/>
    <w:rsid w:val="00ED2916"/>
    <w:rsid w:val="00ED3239"/>
    <w:rsid w:val="00ED3B7D"/>
    <w:rsid w:val="00ED3CD2"/>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704"/>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4E9"/>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1FCE"/>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0E6"/>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33F"/>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458ADAC5"/>
    <w:rsid w:val="7BB9BC8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37AE74-6781-4E15-BF22-A65655624E43}"/>
  <w14:docId w14:val="12F27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allaad" w:default="1">
    <w:name w:val="Normal"/>
    <w:qFormat/>
    <w:rPr>
      <w:sz w:val="24"/>
      <w:szCs w:val="24"/>
      <w:lang w:eastAsia="et-EE"/>
    </w:rPr>
  </w:style>
  <w:style w:type="character" w:styleId="Liguvaikefont" w:default="1">
    <w:name w:val="Default Paragraph Font"/>
    <w:semiHidden/>
  </w:style>
  <w:style w:type="table" w:styleId="Normaaltabel" w:default="1">
    <w:name w:val="Normal Table"/>
    <w:semiHidden/>
    <w:tblPr>
      <w:tblInd w:w="0" w:type="dxa"/>
      <w:tblCellMar>
        <w:top w:w="0" w:type="dxa"/>
        <w:left w:w="108" w:type="dxa"/>
        <w:bottom w:w="0" w:type="dxa"/>
        <w:right w:w="108" w:type="dxa"/>
      </w:tblCellMar>
    </w:tblPr>
  </w:style>
  <w:style w:type="numbering" w:styleId="Loendita" w:default="1">
    <w:name w:val="No List"/>
    <w:semiHidden/>
  </w:style>
  <w:style w:type="character" w:styleId="subabstractlabel" w:customStyle="1">
    <w:name w:val="sub_abstract_label"/>
    <w:rsid w:val="00402CDE"/>
    <w:rPr>
      <w:b/>
      <w:bCs/>
      <w:sz w:val="24"/>
      <w:szCs w:val="24"/>
    </w:rPr>
  </w:style>
  <w:style w:type="table" w:styleId="Kontuurtabel">
    <w:name w:val="Table Grid"/>
    <w:basedOn w:val="Normaaltabel"/>
    <w:rsid w:val="00402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term-highlight1" w:customStyle="1">
    <w:name w:val="search-term-highlight1"/>
    <w:rsid w:val="00196F4C"/>
    <w:rPr>
      <w:b/>
      <w:bCs/>
      <w:color w:val="CC0000"/>
    </w:rPr>
  </w:style>
  <w:style w:type="character" w:styleId="HTML-tsitaat">
    <w:name w:val="HTML Cite"/>
    <w:rsid w:val="00C337D7"/>
    <w:rPr>
      <w:i/>
      <w:iCs/>
    </w:rPr>
  </w:style>
  <w:style w:type="character" w:styleId="cit-vol1" w:customStyle="1">
    <w:name w:val="cit-vol1"/>
    <w:rsid w:val="00C337D7"/>
    <w:rPr>
      <w:b w:val="0"/>
      <w:bCs w:val="0"/>
    </w:rPr>
  </w:style>
  <w:style w:type="character" w:styleId="cit-title1" w:customStyle="1">
    <w:name w:val="cit-title1"/>
    <w:basedOn w:val="Liguvaikefont"/>
    <w:rsid w:val="00C337D7"/>
  </w:style>
  <w:style w:type="character" w:styleId="cit-authcit-auth-type-author" w:customStyle="1">
    <w:name w:val="cit-auth cit-auth-type-author"/>
    <w:basedOn w:val="Liguvaikefont"/>
    <w:rsid w:val="00C337D7"/>
  </w:style>
  <w:style w:type="character" w:styleId="cit-sepcit-sep-separator" w:customStyle="1">
    <w:name w:val="cit-sep cit-sep-separator"/>
    <w:basedOn w:val="Liguvaikefont"/>
    <w:rsid w:val="00C337D7"/>
  </w:style>
  <w:style w:type="character" w:styleId="cit-print-date" w:customStyle="1">
    <w:name w:val="cit-print-date"/>
    <w:basedOn w:val="Liguvaikefont"/>
    <w:rsid w:val="00C337D7"/>
  </w:style>
  <w:style w:type="character" w:styleId="cit-sepcit-sep-after-article-print-date" w:customStyle="1">
    <w:name w:val="cit-sep cit-sep-after-article-print-date"/>
    <w:basedOn w:val="Liguvaikefont"/>
    <w:rsid w:val="00C337D7"/>
  </w:style>
  <w:style w:type="character" w:styleId="cit-sepcit-sep-after-article-vol" w:customStyle="1">
    <w:name w:val="cit-sep cit-sep-after-article-vol"/>
    <w:basedOn w:val="Liguvaikefont"/>
    <w:rsid w:val="00C337D7"/>
  </w:style>
  <w:style w:type="character" w:styleId="cit-first-page" w:customStyle="1">
    <w:name w:val="cit-first-page"/>
    <w:basedOn w:val="Liguvaikefont"/>
    <w:rsid w:val="00C337D7"/>
  </w:style>
  <w:style w:type="character" w:styleId="Hperlink">
    <w:name w:val="Hyperlink"/>
    <w:rsid w:val="00BC6052"/>
    <w:rPr>
      <w:color w:val="0000FF"/>
      <w:u w:val="single"/>
    </w:rPr>
  </w:style>
  <w:style w:type="character" w:styleId="Rhutus">
    <w:name w:val="Emphasis"/>
    <w:qFormat/>
    <w:rsid w:val="00BC6052"/>
    <w:rPr>
      <w:i/>
      <w:iCs/>
    </w:rPr>
  </w:style>
  <w:style w:type="character" w:styleId="Mention" w:customStyle="1">
    <w:name w:val="Mention"/>
    <w:uiPriority w:val="99"/>
    <w:semiHidden/>
    <w:unhideWhenUsed/>
    <w:rsid w:val="00BB04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848876">
      <w:bodyDiv w:val="1"/>
      <w:marLeft w:val="0"/>
      <w:marRight w:val="0"/>
      <w:marTop w:val="0"/>
      <w:marBottom w:val="0"/>
      <w:divBdr>
        <w:top w:val="none" w:sz="0" w:space="0" w:color="auto"/>
        <w:left w:val="none" w:sz="0" w:space="0" w:color="auto"/>
        <w:bottom w:val="none" w:sz="0" w:space="0" w:color="auto"/>
        <w:right w:val="none" w:sz="0" w:space="0" w:color="auto"/>
      </w:divBdr>
    </w:div>
    <w:div w:id="521286562">
      <w:bodyDiv w:val="1"/>
      <w:marLeft w:val="0"/>
      <w:marRight w:val="0"/>
      <w:marTop w:val="0"/>
      <w:marBottom w:val="0"/>
      <w:divBdr>
        <w:top w:val="none" w:sz="0" w:space="0" w:color="auto"/>
        <w:left w:val="none" w:sz="0" w:space="0" w:color="auto"/>
        <w:bottom w:val="none" w:sz="0" w:space="0" w:color="auto"/>
        <w:right w:val="none" w:sz="0" w:space="0" w:color="auto"/>
      </w:divBdr>
    </w:div>
    <w:div w:id="920213952">
      <w:bodyDiv w:val="1"/>
      <w:marLeft w:val="0"/>
      <w:marRight w:val="0"/>
      <w:marTop w:val="0"/>
      <w:marBottom w:val="0"/>
      <w:divBdr>
        <w:top w:val="none" w:sz="0" w:space="0" w:color="auto"/>
        <w:left w:val="none" w:sz="0" w:space="0" w:color="auto"/>
        <w:bottom w:val="none" w:sz="0" w:space="0" w:color="auto"/>
        <w:right w:val="none" w:sz="0" w:space="0" w:color="auto"/>
      </w:divBdr>
      <w:divsChild>
        <w:div w:id="129634880">
          <w:marLeft w:val="0"/>
          <w:marRight w:val="0"/>
          <w:marTop w:val="0"/>
          <w:marBottom w:val="0"/>
          <w:divBdr>
            <w:top w:val="none" w:sz="0" w:space="0" w:color="auto"/>
            <w:left w:val="none" w:sz="0" w:space="0" w:color="auto"/>
            <w:bottom w:val="none" w:sz="0" w:space="0" w:color="auto"/>
            <w:right w:val="none" w:sz="0" w:space="0" w:color="auto"/>
          </w:divBdr>
          <w:divsChild>
            <w:div w:id="1706903147">
              <w:marLeft w:val="0"/>
              <w:marRight w:val="0"/>
              <w:marTop w:val="0"/>
              <w:marBottom w:val="0"/>
              <w:divBdr>
                <w:top w:val="none" w:sz="0" w:space="0" w:color="auto"/>
                <w:left w:val="none" w:sz="0" w:space="0" w:color="auto"/>
                <w:bottom w:val="none" w:sz="0" w:space="0" w:color="auto"/>
                <w:right w:val="none" w:sz="0" w:space="0" w:color="auto"/>
              </w:divBdr>
              <w:divsChild>
                <w:div w:id="1927183641">
                  <w:marLeft w:val="0"/>
                  <w:marRight w:val="0"/>
                  <w:marTop w:val="0"/>
                  <w:marBottom w:val="0"/>
                  <w:divBdr>
                    <w:top w:val="none" w:sz="0" w:space="0" w:color="auto"/>
                    <w:left w:val="none" w:sz="0" w:space="0" w:color="auto"/>
                    <w:bottom w:val="none" w:sz="0" w:space="0" w:color="auto"/>
                    <w:right w:val="none" w:sz="0" w:space="0" w:color="auto"/>
                  </w:divBdr>
                  <w:divsChild>
                    <w:div w:id="1882667495">
                      <w:marLeft w:val="0"/>
                      <w:marRight w:val="0"/>
                      <w:marTop w:val="0"/>
                      <w:marBottom w:val="0"/>
                      <w:divBdr>
                        <w:top w:val="none" w:sz="0" w:space="0" w:color="auto"/>
                        <w:left w:val="none" w:sz="0" w:space="0" w:color="auto"/>
                        <w:bottom w:val="none" w:sz="0" w:space="0" w:color="auto"/>
                        <w:right w:val="none" w:sz="0" w:space="0" w:color="auto"/>
                      </w:divBdr>
                      <w:divsChild>
                        <w:div w:id="1985617678">
                          <w:marLeft w:val="0"/>
                          <w:marRight w:val="0"/>
                          <w:marTop w:val="0"/>
                          <w:marBottom w:val="0"/>
                          <w:divBdr>
                            <w:top w:val="none" w:sz="0" w:space="0" w:color="auto"/>
                            <w:left w:val="none" w:sz="0" w:space="0" w:color="auto"/>
                            <w:bottom w:val="none" w:sz="0" w:space="0" w:color="auto"/>
                            <w:right w:val="none" w:sz="0" w:space="0" w:color="auto"/>
                          </w:divBdr>
                          <w:divsChild>
                            <w:div w:id="73363200">
                              <w:marLeft w:val="0"/>
                              <w:marRight w:val="0"/>
                              <w:marTop w:val="0"/>
                              <w:marBottom w:val="0"/>
                              <w:divBdr>
                                <w:top w:val="none" w:sz="0" w:space="0" w:color="auto"/>
                                <w:left w:val="none" w:sz="0" w:space="0" w:color="auto"/>
                                <w:bottom w:val="none" w:sz="0" w:space="0" w:color="auto"/>
                                <w:right w:val="none" w:sz="0" w:space="0" w:color="auto"/>
                              </w:divBdr>
                            </w:div>
                            <w:div w:id="123156756">
                              <w:marLeft w:val="0"/>
                              <w:marRight w:val="0"/>
                              <w:marTop w:val="0"/>
                              <w:marBottom w:val="0"/>
                              <w:divBdr>
                                <w:top w:val="none" w:sz="0" w:space="0" w:color="auto"/>
                                <w:left w:val="none" w:sz="0" w:space="0" w:color="auto"/>
                                <w:bottom w:val="none" w:sz="0" w:space="0" w:color="auto"/>
                                <w:right w:val="none" w:sz="0" w:space="0" w:color="auto"/>
                              </w:divBdr>
                            </w:div>
                            <w:div w:id="788207374">
                              <w:marLeft w:val="0"/>
                              <w:marRight w:val="0"/>
                              <w:marTop w:val="0"/>
                              <w:marBottom w:val="0"/>
                              <w:divBdr>
                                <w:top w:val="none" w:sz="0" w:space="0" w:color="auto"/>
                                <w:left w:val="none" w:sz="0" w:space="0" w:color="auto"/>
                                <w:bottom w:val="none" w:sz="0" w:space="0" w:color="auto"/>
                                <w:right w:val="none" w:sz="0" w:space="0" w:color="auto"/>
                              </w:divBdr>
                            </w:div>
                            <w:div w:id="11510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94561">
          <w:marLeft w:val="0"/>
          <w:marRight w:val="0"/>
          <w:marTop w:val="0"/>
          <w:marBottom w:val="0"/>
          <w:divBdr>
            <w:top w:val="none" w:sz="0" w:space="0" w:color="auto"/>
            <w:left w:val="none" w:sz="0" w:space="0" w:color="auto"/>
            <w:bottom w:val="none" w:sz="0" w:space="0" w:color="auto"/>
            <w:right w:val="none" w:sz="0" w:space="0" w:color="auto"/>
          </w:divBdr>
          <w:divsChild>
            <w:div w:id="7011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9154">
      <w:bodyDiv w:val="1"/>
      <w:marLeft w:val="0"/>
      <w:marRight w:val="0"/>
      <w:marTop w:val="0"/>
      <w:marBottom w:val="0"/>
      <w:divBdr>
        <w:top w:val="none" w:sz="0" w:space="0" w:color="auto"/>
        <w:left w:val="none" w:sz="0" w:space="0" w:color="auto"/>
        <w:bottom w:val="none" w:sz="0" w:space="0" w:color="auto"/>
        <w:right w:val="none" w:sz="0" w:space="0" w:color="auto"/>
      </w:divBdr>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dx.doi.org/10.1136/heartjnl-2016-30991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Non-pharmacological treatment</dc:title>
  <dc:subject/>
  <dc:creator>Kasutaja</dc:creator>
  <keywords/>
  <lastModifiedBy>Alar Irs</lastModifiedBy>
  <revision>82</revision>
  <dcterms:created xsi:type="dcterms:W3CDTF">2017-05-22T19:32:00.0000000Z</dcterms:created>
  <dcterms:modified xsi:type="dcterms:W3CDTF">2017-05-22T20:06:17.2171526Z</dcterms:modified>
</coreProperties>
</file>