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82784D">
        <w:rPr>
          <w:b/>
          <w:sz w:val="20"/>
          <w:szCs w:val="20"/>
        </w:rPr>
        <w:t>1</w:t>
      </w:r>
      <w:r w:rsidR="009B162D">
        <w:rPr>
          <w:b/>
          <w:sz w:val="20"/>
          <w:szCs w:val="20"/>
        </w:rPr>
        <w:t>1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AE1E17" w:rsidRPr="00AE1E17" w:rsidRDefault="009B162D" w:rsidP="00AE1E17">
      <w:pPr>
        <w:spacing w:after="120"/>
        <w:rPr>
          <w:color w:val="000000"/>
          <w:shd w:val="clear" w:color="auto" w:fill="FFFFFF"/>
        </w:rPr>
      </w:pPr>
      <w:r w:rsidRPr="00B610A3">
        <w:rPr>
          <w:color w:val="000000"/>
          <w:shd w:val="clear" w:color="auto" w:fill="FFFFFF"/>
        </w:rPr>
        <w:t>Kas KVA patsientidel tuleks eelistada intensiivsemat või vähemintensiivset sageduskontrolli</w:t>
      </w:r>
      <w:r w:rsidR="00AE1E17" w:rsidRPr="00AE1E17">
        <w:rPr>
          <w:color w:val="000000"/>
          <w:shd w:val="clear" w:color="auto" w:fill="FFFFFF"/>
        </w:rPr>
        <w:t>?</w:t>
      </w:r>
    </w:p>
    <w:p w:rsidR="000C5360" w:rsidRDefault="000C5360" w:rsidP="009A0577">
      <w:pPr>
        <w:spacing w:after="120"/>
        <w:rPr>
          <w:color w:val="000000"/>
          <w:shd w:val="clear" w:color="auto" w:fill="FFFFFF"/>
        </w:rPr>
      </w:pPr>
    </w:p>
    <w:p w:rsidR="00D4790A" w:rsidRPr="00553B01" w:rsidRDefault="00D4790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Default="00856ADB" w:rsidP="00856ADB">
            <w:r w:rsidRPr="00C36DCE">
              <w:rPr>
                <w:i/>
              </w:rPr>
              <w:t>Tugev soovitus, madal tõendatus</w:t>
            </w:r>
            <w:r>
              <w:rPr>
                <w:i/>
              </w:rPr>
              <w:t xml:space="preserve"> „</w:t>
            </w:r>
            <w:r w:rsidRPr="0922EAF8">
              <w:t xml:space="preserve">Saavutage </w:t>
            </w:r>
            <w:r>
              <w:t>KVA-</w:t>
            </w:r>
            <w:proofErr w:type="spellStart"/>
            <w:r>
              <w:t>ga</w:t>
            </w:r>
            <w:proofErr w:type="spellEnd"/>
            <w:r w:rsidRPr="0922EAF8">
              <w:t xml:space="preserve"> patsiendil südame löögisagedus alla 110 x/min rahuolekus.</w:t>
            </w:r>
            <w:r>
              <w:t>“</w:t>
            </w:r>
          </w:p>
          <w:p w:rsidR="00856ADB" w:rsidRDefault="00856ADB" w:rsidP="00856ADB">
            <w:pPr>
              <w:rPr>
                <w:sz w:val="20"/>
                <w:szCs w:val="20"/>
                <w:u w:val="single"/>
              </w:rPr>
            </w:pPr>
          </w:p>
          <w:p w:rsidR="00856ADB" w:rsidRDefault="00856ADB" w:rsidP="00856ADB">
            <w:pPr>
              <w:spacing w:before="120" w:after="120"/>
            </w:pPr>
            <w:r w:rsidRPr="00C36DCE">
              <w:rPr>
                <w:i/>
              </w:rPr>
              <w:t>Tugev soovitus, madal tõendatus</w:t>
            </w:r>
            <w:r>
              <w:rPr>
                <w:i/>
              </w:rPr>
              <w:t xml:space="preserve"> „</w:t>
            </w:r>
            <w:r w:rsidRPr="0922EAF8">
              <w:t xml:space="preserve">Kui </w:t>
            </w:r>
            <w:r>
              <w:t>KVA-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r w:rsidRPr="0922EAF8">
              <w:t>patsiendil esinevad pärast südame löögisageduse eesmärkväärtuse</w:t>
            </w:r>
            <w:r>
              <w:t xml:space="preserve"> </w:t>
            </w:r>
            <w:r w:rsidRPr="0922EAF8">
              <w:t>&lt;</w:t>
            </w:r>
            <w:r>
              <w:t xml:space="preserve"> </w:t>
            </w:r>
            <w:r w:rsidRPr="0922EAF8">
              <w:t xml:space="preserve">110 x/min saavutamist vatsakeste </w:t>
            </w:r>
            <w:r>
              <w:t>suures</w:t>
            </w:r>
            <w:r w:rsidRPr="0922EAF8">
              <w:t>t löögisagedusest tulenevad sümptomid, langetage südame löögisagedust alla 80 x/min.</w:t>
            </w:r>
            <w:r>
              <w:t>“</w:t>
            </w:r>
          </w:p>
          <w:p w:rsidR="00856ADB" w:rsidRDefault="00856ADB" w:rsidP="00856ADB">
            <w:pPr>
              <w:spacing w:before="120" w:after="120"/>
            </w:pPr>
          </w:p>
          <w:p w:rsidR="00856ADB" w:rsidRPr="00856ADB" w:rsidRDefault="00856ADB" w:rsidP="00856ADB">
            <w:pPr>
              <w:spacing w:before="120" w:after="120"/>
            </w:pPr>
            <w:r w:rsidRPr="00C36DCE">
              <w:rPr>
                <w:i/>
              </w:rPr>
              <w:t>Töörühma praktiline soovitus</w:t>
            </w:r>
            <w:r>
              <w:rPr>
                <w:i/>
              </w:rPr>
              <w:t xml:space="preserve"> „</w:t>
            </w:r>
            <w:r w:rsidRPr="0922EAF8">
              <w:t xml:space="preserve">Kui </w:t>
            </w:r>
            <w:r>
              <w:t>arstivisiidil on KVA-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r w:rsidRPr="0922EAF8">
              <w:t xml:space="preserve">patsiendi südame löögisagedus eesmärgile vastav, ent sümptomid püsivad, võib jälgida </w:t>
            </w:r>
            <w:r>
              <w:t>löögi</w:t>
            </w:r>
            <w:r w:rsidRPr="0922EAF8">
              <w:t>sagedust 24 tunni jooksul.</w:t>
            </w:r>
            <w:r>
              <w:t>“</w:t>
            </w:r>
            <w:r w:rsidRPr="0922EAF8">
              <w:t xml:space="preserve"> 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87C7F" w:rsidRPr="004F4099" w:rsidRDefault="00996EF3" w:rsidP="00287C7F">
            <w:pPr>
              <w:rPr>
                <w:i/>
                <w:sz w:val="20"/>
                <w:szCs w:val="20"/>
              </w:rPr>
            </w:pPr>
            <w:bookmarkStart w:id="0" w:name="_GoBack"/>
            <w:r w:rsidRPr="00996EF3">
              <w:rPr>
                <w:color w:val="000000"/>
                <w:shd w:val="clear" w:color="auto" w:fill="FFFFFF"/>
              </w:rPr>
              <w:t>KVA patsiendid</w:t>
            </w:r>
            <w:bookmarkEnd w:id="0"/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654CD" w:rsidRPr="004F4099" w:rsidRDefault="00996EF3" w:rsidP="00287C7F">
            <w:pPr>
              <w:rPr>
                <w:i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I</w:t>
            </w:r>
            <w:r w:rsidRPr="00B610A3">
              <w:rPr>
                <w:color w:val="000000"/>
                <w:shd w:val="clear" w:color="auto" w:fill="FFFFFF"/>
              </w:rPr>
              <w:t>ntensiivsem</w:t>
            </w:r>
            <w:r>
              <w:rPr>
                <w:color w:val="000000"/>
                <w:shd w:val="clear" w:color="auto" w:fill="FFFFFF"/>
              </w:rPr>
              <w:t xml:space="preserve"> vs</w:t>
            </w:r>
            <w:r w:rsidRPr="00B610A3">
              <w:rPr>
                <w:color w:val="000000"/>
                <w:shd w:val="clear" w:color="auto" w:fill="FFFFFF"/>
              </w:rPr>
              <w:t xml:space="preserve"> vähemintensiivse</w:t>
            </w:r>
            <w:r>
              <w:rPr>
                <w:color w:val="000000"/>
                <w:shd w:val="clear" w:color="auto" w:fill="FFFFFF"/>
              </w:rPr>
              <w:t>m</w:t>
            </w:r>
            <w:r w:rsidRPr="00B610A3">
              <w:rPr>
                <w:color w:val="000000"/>
                <w:shd w:val="clear" w:color="auto" w:fill="FFFFFF"/>
              </w:rPr>
              <w:t xml:space="preserve"> sageduskontroll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lastRenderedPageBreak/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1C" w:rsidRDefault="00F33B1C" w:rsidP="003D7DEF">
      <w:r>
        <w:separator/>
      </w:r>
    </w:p>
  </w:endnote>
  <w:endnote w:type="continuationSeparator" w:id="0">
    <w:p w:rsidR="00F33B1C" w:rsidRDefault="00F33B1C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1C" w:rsidRDefault="00F33B1C" w:rsidP="003D7DEF">
      <w:r>
        <w:separator/>
      </w:r>
    </w:p>
  </w:footnote>
  <w:footnote w:type="continuationSeparator" w:id="0">
    <w:p w:rsidR="00F33B1C" w:rsidRDefault="00F33B1C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32DE"/>
    <w:multiLevelType w:val="hybridMultilevel"/>
    <w:tmpl w:val="516E80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58BF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2784D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ADB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6EF3"/>
    <w:rsid w:val="00997176"/>
    <w:rsid w:val="0099717A"/>
    <w:rsid w:val="00997336"/>
    <w:rsid w:val="00997924"/>
    <w:rsid w:val="00997EDA"/>
    <w:rsid w:val="009A04C0"/>
    <w:rsid w:val="009A0577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162D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3847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1E17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90A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A15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3B1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DEE9B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uiPriority w:val="99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4</cp:revision>
  <cp:lastPrinted>2017-02-13T08:40:00Z</cp:lastPrinted>
  <dcterms:created xsi:type="dcterms:W3CDTF">2018-04-25T06:56:00Z</dcterms:created>
  <dcterms:modified xsi:type="dcterms:W3CDTF">2018-04-25T10:03:00Z</dcterms:modified>
</cp:coreProperties>
</file>