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95" w:rsidRDefault="005E549A" w:rsidP="00B63E99">
      <w:pPr>
        <w:spacing w:after="120"/>
        <w:rPr>
          <w:rFonts w:ascii="Verdana" w:hAnsi="Verdana"/>
          <w:b/>
          <w:bCs/>
          <w:color w:val="C00000"/>
          <w:sz w:val="18"/>
          <w:szCs w:val="18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 xml:space="preserve">Elektriline </w:t>
      </w:r>
      <w:r w:rsidRPr="005E549A">
        <w:rPr>
          <w:rFonts w:ascii="Verdana" w:hAnsi="Verdana"/>
          <w:b/>
          <w:bCs/>
          <w:i/>
          <w:color w:val="C00000"/>
          <w:sz w:val="18"/>
          <w:szCs w:val="18"/>
        </w:rPr>
        <w:t>versus</w:t>
      </w:r>
      <w:r>
        <w:rPr>
          <w:rFonts w:ascii="Verdana" w:hAnsi="Verdana"/>
          <w:b/>
          <w:bCs/>
          <w:color w:val="C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C00000"/>
          <w:sz w:val="18"/>
          <w:szCs w:val="18"/>
        </w:rPr>
        <w:t>medikamentoosne</w:t>
      </w:r>
      <w:proofErr w:type="spellEnd"/>
      <w:r>
        <w:rPr>
          <w:rFonts w:ascii="Verdana" w:hAnsi="Verdana"/>
          <w:b/>
          <w:bCs/>
          <w:color w:val="C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C00000"/>
          <w:sz w:val="18"/>
          <w:szCs w:val="18"/>
        </w:rPr>
        <w:t>kardioversioon</w:t>
      </w:r>
      <w:proofErr w:type="spellEnd"/>
    </w:p>
    <w:p w:rsidR="008D0BA4" w:rsidRDefault="002C0E7F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Kliiniline küsimus</w:t>
      </w:r>
      <w:r w:rsidR="00D56EA5" w:rsidRPr="00CA7379">
        <w:rPr>
          <w:rFonts w:ascii="Verdana" w:hAnsi="Verdana"/>
          <w:bCs/>
          <w:color w:val="1F497D"/>
          <w:sz w:val="18"/>
          <w:szCs w:val="18"/>
        </w:rPr>
        <w:t xml:space="preserve">  </w:t>
      </w:r>
    </w:p>
    <w:p w:rsidR="005E549A" w:rsidRDefault="005E549A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5E549A">
        <w:rPr>
          <w:rFonts w:ascii="Verdana" w:hAnsi="Verdana"/>
          <w:bCs/>
          <w:color w:val="1F497D"/>
          <w:sz w:val="18"/>
          <w:szCs w:val="18"/>
        </w:rPr>
        <w:t xml:space="preserve">Kas </w:t>
      </w:r>
      <w:proofErr w:type="spellStart"/>
      <w:r w:rsidRPr="005E549A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5E549A">
        <w:rPr>
          <w:rFonts w:ascii="Verdana" w:hAnsi="Verdana"/>
          <w:bCs/>
          <w:color w:val="1F497D"/>
          <w:sz w:val="18"/>
          <w:szCs w:val="18"/>
        </w:rPr>
        <w:t xml:space="preserve"> näidustuse olemasolul tuleks eelistada ravimeid vs elektrilist </w:t>
      </w:r>
      <w:proofErr w:type="spellStart"/>
      <w:r w:rsidRPr="005E549A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5E549A">
        <w:rPr>
          <w:rFonts w:ascii="Verdana" w:hAnsi="Verdana"/>
          <w:bCs/>
          <w:color w:val="1F497D"/>
          <w:sz w:val="18"/>
          <w:szCs w:val="18"/>
        </w:rPr>
        <w:t>?</w:t>
      </w:r>
    </w:p>
    <w:p w:rsidR="008D0BA4" w:rsidRPr="00CA7379" w:rsidRDefault="002C0E7F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b/>
          <w:color w:val="1F497D"/>
          <w:sz w:val="18"/>
          <w:szCs w:val="18"/>
        </w:rPr>
        <w:t>Olulised tulemusnäitajad</w:t>
      </w:r>
      <w:r w:rsidR="008D0BA4" w:rsidRPr="00CA7379">
        <w:rPr>
          <w:rFonts w:ascii="Verdana" w:hAnsi="Verdana"/>
          <w:color w:val="1F497D"/>
          <w:sz w:val="18"/>
          <w:szCs w:val="18"/>
        </w:rPr>
        <w:t xml:space="preserve"> </w:t>
      </w:r>
    </w:p>
    <w:p w:rsidR="002C0E7F" w:rsidRDefault="008D0B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color w:val="1F497D"/>
          <w:sz w:val="18"/>
          <w:szCs w:val="18"/>
        </w:rPr>
        <w:t xml:space="preserve">Surm, ajuinfarkt, trombemboolia, oluline verejooks, elukvaliteet, koljusisene verejooks, südame löögisageduse eesmärkväärtuse (nt ≤100 </w:t>
      </w:r>
      <w:proofErr w:type="spellStart"/>
      <w:r w:rsidRPr="00CA7379">
        <w:rPr>
          <w:rFonts w:ascii="Verdana" w:hAnsi="Verdana"/>
          <w:color w:val="1F497D"/>
          <w:sz w:val="18"/>
          <w:szCs w:val="18"/>
        </w:rPr>
        <w:t>x/min</w:t>
      </w:r>
      <w:proofErr w:type="spellEnd"/>
      <w:r w:rsidRPr="00CA7379">
        <w:rPr>
          <w:rFonts w:ascii="Verdana" w:hAnsi="Verdana"/>
          <w:color w:val="1F497D"/>
          <w:sz w:val="18"/>
          <w:szCs w:val="18"/>
        </w:rPr>
        <w:t>) saavutamine, tõsine kõrvaltoime.</w:t>
      </w:r>
    </w:p>
    <w:p w:rsidR="00874CA4" w:rsidRPr="00CA7379" w:rsidRDefault="00874C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Mõõdukalt olulised: </w:t>
      </w:r>
      <w:r w:rsidRPr="00874CA4">
        <w:rPr>
          <w:rFonts w:ascii="Verdana" w:hAnsi="Verdana"/>
          <w:color w:val="1F497D"/>
          <w:sz w:val="18"/>
          <w:szCs w:val="18"/>
        </w:rPr>
        <w:t>hospitaliseerimine, KVA taasteke (sek preventsioonil), ravi katkestama sundiv kõrvaltoime, südamepuudulikkus, aeg KVA esimese taastekkeni, siinusrütmi taastumine (</w:t>
      </w:r>
      <w:proofErr w:type="spellStart"/>
      <w:r w:rsidRPr="00874CA4">
        <w:rPr>
          <w:rFonts w:ascii="Verdana" w:hAnsi="Verdana"/>
          <w:color w:val="1F497D"/>
          <w:sz w:val="18"/>
          <w:szCs w:val="18"/>
        </w:rPr>
        <w:t>kardioversioonil</w:t>
      </w:r>
      <w:proofErr w:type="spellEnd"/>
      <w:r>
        <w:rPr>
          <w:rFonts w:ascii="Verdana" w:hAnsi="Verdana"/>
          <w:color w:val="1F497D"/>
          <w:sz w:val="18"/>
          <w:szCs w:val="18"/>
        </w:rPr>
        <w:t>), siinusrütmi püsimine 12 kuud</w:t>
      </w:r>
      <w:r w:rsidRPr="00874CA4">
        <w:rPr>
          <w:rFonts w:ascii="Verdana" w:hAnsi="Verdana"/>
          <w:color w:val="1F497D"/>
          <w:sz w:val="18"/>
          <w:szCs w:val="18"/>
        </w:rPr>
        <w:t>.</w:t>
      </w:r>
    </w:p>
    <w:p w:rsidR="00B63E99" w:rsidRDefault="00B63E99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Kliinilise tõenduse kokkuvõte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>Hiljutise kirjanduse ülevaate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1"/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  andmeil ei ole kahte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kardioversioonimeetodit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usaldusväärses kliinilises uuringus võrreldud. Farmakoloogilist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platseebga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võrdlevad uuringud näitavad madalamat varast efektiivsust elektrilise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võrreldes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2"/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. Elektrilise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efektiivsus on üle 90 %, ent see k</w:t>
      </w:r>
      <w:r>
        <w:rPr>
          <w:rFonts w:ascii="Verdana" w:hAnsi="Verdana"/>
          <w:bCs/>
          <w:color w:val="1F497D"/>
          <w:sz w:val="18"/>
          <w:szCs w:val="18"/>
        </w:rPr>
        <w:t>ahaneb, kui KVA kestus on pikem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3"/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. </w:t>
      </w:r>
    </w:p>
    <w:p w:rsid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Elektrilise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tüsistustena tuuakse välja rütmihäired, peamiselt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bradükardia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. Hiljutises uuringus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4"/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  oli selle sageduseks 0,9% (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asüstoolia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&gt;5 sek,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bardükardia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&lt;40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x/min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), sekkumist vajavat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ventrikulaarset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tahhükardiat ei esinenud.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Lisaks madalamale efektiivsusele tuuakse ülevaates farmakoloogilise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puudustena välja pikema EKG-jälgimise vajadus (umbes 50% ravimi terminaalsest poolväärtusajast), IA ja IC rühma ravimite puhul oht 1:1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ülejuhteks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, kui KVA muutub kodade laperdusarütmiaks (selle ennetamiseks on kasutatud lisaks AV juhtivust halvendavat ravimit).</w:t>
      </w:r>
    </w:p>
    <w:p w:rsidR="00AE2289" w:rsidRDefault="00AE2289" w:rsidP="00AE228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Farmakoloogilise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eelisena tuuakse välja, et see ei vaja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sedatsiooni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ning on võimalik isikuil, kel see on 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>vastunäidustatud.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Ravimite manustamist enne elektrilist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peetakse põhjendatuks juhtudel, kui on ette näha siinusrütmi säilitava ravi edasise kasutamise vajadus.</w:t>
      </w:r>
    </w:p>
    <w:p w:rsidR="00AE2289" w:rsidRDefault="00AE2289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Farmakoloogiliseks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kardioversiooniks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on KVA lühiajalise kestuse korral kasutusel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ibutiliid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dofetiliid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. KVA kestuse korral &gt;7 päeva on mõningaid andmeid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dofetiliidi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ibutiliidi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efektiivsusest. Struktuurse südamehaiguse (südameõõnte mõõtmete, kuju, funktsiooni või struktuuri häire, nt VVH, DKMP, samuti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koronaarhaigus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) puhul on valik piiratum.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lastRenderedPageBreak/>
        <w:t>Flekainiid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(2mg/kg i/v 10 min jooksul) taastab siinusrütmi hiljuti tekkinud KVA puhul 67-92% juhtudel 6 tunni jooksul ning on efektiivsem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prokaiinamiid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sotalool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. Kasutatakse ka 200-300 mg suukaudset annust. I/v manustamise efektiivsus on võrreldav suure (100-400 mg) suukaudse annusega, ent toime on kiirem (52 vs 110 min). Ei sobi struktuurse südamehaiguse puhul.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on efektiivsem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paroksüsmaalse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KVA puhul võrreldes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persisteeruvaga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efektiivsus läheneb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omale. Ei sobi struktuurse südamehaiguse puhul.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Intravenoosse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manustamise puhul (2mg/kg 10-20 min jooksul) taastab siinusrütmi 23-54% juhtudest, olenevalt KVA kestusest. Suur suukaudne annus (450-600 mg) taastas siinusrütmi 56 – 83% patsientidest, olenevalt KVA kestusest.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Ibutiliid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pikendab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repolarisatsiooni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QT aega, võib provotseerida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torsade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de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pointes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tüüpi VT. Kasutusel ainult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intravenoossena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(0,01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mg/kg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või 1mg (üle 60 kg patsiendi puhul) 10 min jooksul, vajadusel manustatakse teist korda 20 min järel). On kasutatud struktuurse südamehaigusega patsientidel, kel ei ole südamepuudulikkust.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Efetiivsus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uuringuis on olnud 28-51%. Keskmine aeg siinusrütmi taastumiseni (27-33 min) on kiirem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flekainiidil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propafenoonil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. Võrdlusuuringuis on olnud efektiivsem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prokaiinamiid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(51 vs 21% ja 32 vs 5%) või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sotalool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(44 vs 11%). Efektiivsust üle 90 päeva kestnud KVA puhul ei ole uuritud.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TdP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sagedus on 3,6-8,3%,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vajava kestusega VT esines 1,7-2,4%. Patsient vajab EKG jälgimist vähemalt 4 tunni jooksul pärast ravimi manustamist (või kuni QT aeg on tagasi algsel tasemel). Madal S-K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S-Mg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soodustavad VT teket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ibutiliidiga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Dofetiliidi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on uuritud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persisteeruva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KVA patsientidel. Ei ole võrreldud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vernakalandiga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.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Pemaine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kasutus on pigem siinusrütmi säilitav ravi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. On kasutatud struktuurse südamehaiguse patsientidel. Võib kasutada enne elektrilist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. Ühes uuringus oli siinusrütmi taastumise tõenäosus 125, 250 ja 500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µg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kaks korda päevas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kaustamisel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vastavalt 6, 9.8 ja 30%. Kui siinusrütm taastus, siis toimus see 70% juhtudest 24 tunni jooksul ning 91% juhtudest 36 tunni jooksul. Võib põhjustada NSVT,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TdP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, äkksurma ja patsient tuleb hospitaliseerida jälgimiseks (vähemalt kuus annust tuleb manustada monitooringu tingimustes).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ei ole eriti tõhus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kardioversiooniravim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siinusrütm taastub tunde hiljem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ibutiliidi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vernakalandi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kasutamisel. Suukaudsel kasutamisel taastub siinusrütm kuni 25% patsientidest </w:t>
      </w:r>
      <w:r>
        <w:rPr>
          <w:rFonts w:ascii="Verdana" w:hAnsi="Verdana"/>
          <w:bCs/>
          <w:color w:val="1F497D"/>
          <w:sz w:val="18"/>
          <w:szCs w:val="18"/>
        </w:rPr>
        <w:t xml:space="preserve">u 6 nädalase kasutamise järel.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manustamise skeem on 150 mg i/v 10 min jooksul, edasi 1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mg/min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6 tundi, edasi 0,5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mg/min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18 tundi või üleminek suukaudsele 100-200 mg päevas manustamisele. Ravim aeglustab oluliselt vatsakeste kontraktsioonisagedust.</w:t>
      </w:r>
    </w:p>
    <w:p w:rsid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Vernakalant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on uus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antiarütmikum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intravenosseks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kardioversiooniks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. Efektiivsus on </w:t>
      </w:r>
      <w:r>
        <w:rPr>
          <w:rFonts w:ascii="Verdana" w:hAnsi="Verdana"/>
          <w:bCs/>
          <w:color w:val="1F497D"/>
          <w:sz w:val="18"/>
          <w:szCs w:val="18"/>
        </w:rPr>
        <w:t xml:space="preserve">u </w:t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50% 10 min jooksul alla 8 päeva kestnud KVA puhul.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Vernakalant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on efektiivsem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intravenoosne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seda ei ole võrreldud teiste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antiarütmikumidega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.</w:t>
      </w:r>
    </w:p>
    <w:p w:rsidR="00AE2289" w:rsidRPr="00AE2289" w:rsidRDefault="00AE2289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Elektriline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kardioversioon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tehakse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sedatsioonis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patsiendil EKG-ga sünkroniseeritult. Efektiivsus hiljuti tekkinud KVA puhul on üle 90%, pikema kestuse puhul madalam.</w:t>
      </w:r>
    </w:p>
    <w:p w:rsidR="00134112" w:rsidRPr="00AE2289" w:rsidRDefault="00AE2289" w:rsidP="009F558F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AE2289">
        <w:rPr>
          <w:rFonts w:ascii="Verdana" w:hAnsi="Verdana"/>
          <w:b/>
          <w:bCs/>
          <w:color w:val="1F497D"/>
          <w:sz w:val="18"/>
          <w:szCs w:val="18"/>
        </w:rPr>
        <w:t>NICE juhendi alusel: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Farmakoloogiline rütmi taastamine –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antiarütmik</w:t>
      </w: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um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 versus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platseebo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: </w:t>
      </w:r>
    </w:p>
    <w:p w:rsidR="00AE2289" w:rsidRPr="00AE2289" w:rsidRDefault="00AE2289" w:rsidP="00AE2289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(madala kvaliteediga tõestus, 4 uuringut, N=621)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sotalool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(kõrge kvaliteediga tõestus, üks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uuirng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, N=376) on mõlemad kliiniliselt efektiivsed võrrelduna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platseeboga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>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Farmakoloogiline rütmi taastamine -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antiarütmik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 versus teine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antiarütmik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:</w:t>
      </w:r>
    </w:p>
    <w:p w:rsidR="00AE2289" w:rsidRPr="00AE2289" w:rsidRDefault="00AE2289" w:rsidP="00AE2289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>Väga madala kvaliteediga tõendus</w:t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, et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</w:t>
      </w:r>
      <w:r>
        <w:rPr>
          <w:rFonts w:ascii="Verdana" w:hAnsi="Verdana"/>
          <w:bCs/>
          <w:color w:val="1F497D"/>
          <w:sz w:val="18"/>
          <w:szCs w:val="18"/>
        </w:rPr>
        <w:t>õib olla kliiniliselt efektiivsem</w:t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</w:t>
      </w:r>
      <w:r>
        <w:rPr>
          <w:rFonts w:ascii="Verdana" w:hAnsi="Verdana"/>
          <w:bCs/>
          <w:color w:val="1F497D"/>
          <w:sz w:val="18"/>
          <w:szCs w:val="18"/>
        </w:rPr>
        <w:t xml:space="preserve">relduna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propafenooniga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(üks uuri</w:t>
      </w:r>
      <w:r w:rsidRPr="00AE2289">
        <w:rPr>
          <w:rFonts w:ascii="Verdana" w:hAnsi="Verdana"/>
          <w:bCs/>
          <w:color w:val="1F497D"/>
          <w:sz w:val="18"/>
          <w:szCs w:val="18"/>
        </w:rPr>
        <w:t>ng, N=57).</w:t>
      </w:r>
    </w:p>
    <w:p w:rsidR="00AE2289" w:rsidRDefault="00AE2289" w:rsidP="00AE2289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Väga madala kvaliteediga tõestus näitas, et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</w:t>
      </w:r>
      <w:r>
        <w:rPr>
          <w:rFonts w:ascii="Verdana" w:hAnsi="Verdana"/>
          <w:bCs/>
          <w:color w:val="1F497D"/>
          <w:sz w:val="18"/>
          <w:szCs w:val="18"/>
        </w:rPr>
        <w:t>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vahel ei pruugi olla kliinilist erinevust (üks uuring, N=66).</w:t>
      </w:r>
    </w:p>
    <w:p w:rsidR="00AE2289" w:rsidRDefault="00AE2289" w:rsidP="00AE2289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Mõõduka kvaliteediga tõestus näitas, et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sotalooli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vahel ei pruugi olla kliinilist erinevust (üks uuring, N=502).</w:t>
      </w:r>
    </w:p>
    <w:p w:rsidR="00AE2289" w:rsidRPr="00AE2289" w:rsidRDefault="00AE2289" w:rsidP="00AE2289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Väga madala kvaliteediga tõestuse kohaselt on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persisteeruva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KVAga patsientidel siinusrütmi taastamisel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kliiiniliselt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efektiivsem kui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verapamiil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(üks uuring, N=57).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Elektriline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kardioversioon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 versus elektriline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kardioversioon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 (EKV) koos farmakoloogilise raviga</w:t>
      </w:r>
    </w:p>
    <w:p w:rsid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>Madala kvaliteediga tõe</w:t>
      </w:r>
      <w:r>
        <w:rPr>
          <w:rFonts w:ascii="Verdana" w:hAnsi="Verdana"/>
          <w:bCs/>
          <w:color w:val="1F497D"/>
          <w:sz w:val="18"/>
          <w:szCs w:val="18"/>
        </w:rPr>
        <w:t>ndus</w:t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, et elektriline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plu</w:t>
      </w:r>
      <w:r>
        <w:rPr>
          <w:rFonts w:ascii="Verdana" w:hAnsi="Verdana"/>
          <w:bCs/>
          <w:color w:val="1F497D"/>
          <w:sz w:val="18"/>
          <w:szCs w:val="18"/>
        </w:rPr>
        <w:t>s</w:t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dronedaroon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võib olla kliiniliselt e</w:t>
      </w:r>
      <w:r>
        <w:rPr>
          <w:rFonts w:ascii="Verdana" w:hAnsi="Verdana"/>
          <w:bCs/>
          <w:color w:val="1F497D"/>
          <w:sz w:val="18"/>
          <w:szCs w:val="18"/>
        </w:rPr>
        <w:t>fektiivsem võrrelduna elektrilis</w:t>
      </w:r>
      <w:r w:rsidRPr="00AE2289">
        <w:rPr>
          <w:rFonts w:ascii="Verdana" w:hAnsi="Verdana"/>
          <w:bCs/>
          <w:color w:val="1F497D"/>
          <w:sz w:val="18"/>
          <w:szCs w:val="18"/>
        </w:rPr>
        <w:t xml:space="preserve">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kardioversioon</w:t>
      </w:r>
      <w:r>
        <w:rPr>
          <w:rFonts w:ascii="Verdana" w:hAnsi="Verdana"/>
          <w:bCs/>
          <w:color w:val="1F497D"/>
          <w:sz w:val="18"/>
          <w:szCs w:val="18"/>
        </w:rPr>
        <w:t>i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r>
        <w:rPr>
          <w:rFonts w:ascii="Verdana" w:hAnsi="Verdana"/>
          <w:bCs/>
          <w:color w:val="1F497D"/>
          <w:sz w:val="18"/>
          <w:szCs w:val="18"/>
        </w:rPr>
        <w:t>iga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(üks uuring, N= 504).</w:t>
      </w:r>
    </w:p>
    <w:p w:rsid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>
        <w:rPr>
          <w:rFonts w:ascii="Verdana" w:hAnsi="Verdana"/>
          <w:bCs/>
          <w:color w:val="1F497D"/>
          <w:sz w:val="18"/>
          <w:szCs w:val="18"/>
          <w:u w:val="single"/>
        </w:rPr>
        <w:t>Tõendus</w:t>
      </w: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, et puudub kliiniline erinevus alljärgnevate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inerventsioonide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 xml:space="preserve"> vahel:</w:t>
      </w:r>
    </w:p>
    <w:p w:rsid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lastRenderedPageBreak/>
        <w:t xml:space="preserve">Mõõduka kvaliteediga tõestus ühest uuringus (N=97) näitas et puudub kliiniline erinevus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propafenoon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verapamil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ja EKV pluss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propafenoon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vahel;</w:t>
      </w:r>
    </w:p>
    <w:p w:rsid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võrrelduna EKV üksinda vahel (väga madala kvaliteediga tõesust, kolm uuringut, N= 209), hinnanguliselt eelistatavam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>;</w:t>
      </w:r>
    </w:p>
    <w:p w:rsid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flekainiid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võrrelduna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platseeboga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(madala kvaliteediga tõestus, üks uuring, N= 54), hinnangulisel</w:t>
      </w:r>
      <w:r>
        <w:rPr>
          <w:rFonts w:ascii="Verdana" w:hAnsi="Verdana"/>
          <w:bCs/>
          <w:color w:val="1F497D"/>
          <w:sz w:val="18"/>
          <w:szCs w:val="18"/>
        </w:rPr>
        <w:t xml:space="preserve">t eelistatavam  EKV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platseeboga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>;</w:t>
      </w:r>
    </w:p>
    <w:p w:rsid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beetablokaator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võrrelduna EKV üksinda või koos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platseeboga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(madala kvaliteediga tõesus, N=252)</w:t>
      </w:r>
      <w:r>
        <w:rPr>
          <w:rFonts w:ascii="Verdana" w:hAnsi="Verdana"/>
          <w:bCs/>
          <w:color w:val="1F497D"/>
          <w:sz w:val="18"/>
          <w:szCs w:val="18"/>
        </w:rPr>
        <w:t xml:space="preserve">, hinnanguliselt </w:t>
      </w:r>
      <w:r w:rsidRPr="00AE2289">
        <w:rPr>
          <w:rFonts w:ascii="Verdana" w:hAnsi="Verdana"/>
          <w:bCs/>
          <w:color w:val="1F497D"/>
          <w:sz w:val="18"/>
          <w:szCs w:val="18"/>
        </w:rPr>
        <w:t>eelist</w:t>
      </w:r>
      <w:r>
        <w:rPr>
          <w:rFonts w:ascii="Verdana" w:hAnsi="Verdana"/>
          <w:bCs/>
          <w:color w:val="1F497D"/>
          <w:sz w:val="18"/>
          <w:szCs w:val="18"/>
        </w:rPr>
        <w:t xml:space="preserve">atavam EKV pluss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beetablokaator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>;</w:t>
      </w:r>
    </w:p>
    <w:p w:rsid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dilitaseem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EKV üksinda (madala kvaliteediga tõestus, üks uuring, N068)</w:t>
      </w:r>
      <w:r>
        <w:rPr>
          <w:rFonts w:ascii="Verdana" w:hAnsi="Verdana"/>
          <w:bCs/>
          <w:color w:val="1F497D"/>
          <w:sz w:val="18"/>
          <w:szCs w:val="18"/>
        </w:rPr>
        <w:t>;</w:t>
      </w:r>
    </w:p>
    <w:p w:rsidR="00AE2289" w:rsidRPr="00AE2289" w:rsidRDefault="00AE2289" w:rsidP="00AE2289">
      <w:pPr>
        <w:pStyle w:val="ListParagraph"/>
        <w:numPr>
          <w:ilvl w:val="0"/>
          <w:numId w:val="7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ja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dronedaroon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(kõrge kvaliteediga tõestus, üks uuring, N=353)</w:t>
      </w:r>
    </w:p>
    <w:p w:rsid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Tõend</w:t>
      </w: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use põhjal võivad alljärgnevad olla kliiniliselt efektiivsemad:</w:t>
      </w:r>
    </w:p>
    <w:p w:rsidR="00AE2289" w:rsidRPr="00AE2289" w:rsidRDefault="00AE2289" w:rsidP="00AE2289">
      <w:pPr>
        <w:pStyle w:val="ListParagraph"/>
        <w:numPr>
          <w:ilvl w:val="0"/>
          <w:numId w:val="8"/>
        </w:num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porpafenoon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võrrelduna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platseebo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(madala kvaliteediga tõestus, kaks uuringut, N=134)</w:t>
      </w:r>
    </w:p>
    <w:p w:rsidR="00AE2289" w:rsidRPr="00AE2289" w:rsidRDefault="00AE2289" w:rsidP="00AE2289">
      <w:pPr>
        <w:pStyle w:val="ListParagraph"/>
        <w:numPr>
          <w:ilvl w:val="0"/>
          <w:numId w:val="8"/>
        </w:num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võrrelduna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digoksiin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(madala kvaliteediga tõestus, üks uuring, N=62)</w:t>
      </w:r>
    </w:p>
    <w:p w:rsidR="00AE2289" w:rsidRPr="00AE2289" w:rsidRDefault="00AE2289" w:rsidP="00AE2289">
      <w:pPr>
        <w:pStyle w:val="ListParagraph"/>
        <w:numPr>
          <w:ilvl w:val="0"/>
          <w:numId w:val="8"/>
        </w:numPr>
        <w:spacing w:after="120"/>
        <w:rPr>
          <w:rFonts w:ascii="Verdana" w:hAnsi="Verdana"/>
          <w:bCs/>
          <w:color w:val="1F497D"/>
          <w:sz w:val="18"/>
          <w:szCs w:val="18"/>
          <w:u w:val="single"/>
        </w:rPr>
      </w:pPr>
      <w:r w:rsidRPr="00AE2289">
        <w:rPr>
          <w:rFonts w:ascii="Verdana" w:hAnsi="Verdana"/>
          <w:bCs/>
          <w:color w:val="1F497D"/>
          <w:sz w:val="18"/>
          <w:szCs w:val="18"/>
        </w:rPr>
        <w:t xml:space="preserve">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amiodaroon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võrrelduna EKV pluss </w:t>
      </w:r>
      <w:proofErr w:type="spellStart"/>
      <w:r w:rsidRPr="00AE2289">
        <w:rPr>
          <w:rFonts w:ascii="Verdana" w:hAnsi="Verdana"/>
          <w:bCs/>
          <w:color w:val="1F497D"/>
          <w:sz w:val="18"/>
          <w:szCs w:val="18"/>
        </w:rPr>
        <w:t>dilitaseem</w:t>
      </w:r>
      <w:proofErr w:type="spellEnd"/>
      <w:r w:rsidRPr="00AE2289">
        <w:rPr>
          <w:rFonts w:ascii="Verdana" w:hAnsi="Verdana"/>
          <w:bCs/>
          <w:color w:val="1F497D"/>
          <w:sz w:val="18"/>
          <w:szCs w:val="18"/>
        </w:rPr>
        <w:t xml:space="preserve"> (madala kvaliteediga tõestus, kolm uuringut, N=191)</w:t>
      </w:r>
      <w:r>
        <w:rPr>
          <w:rFonts w:ascii="Verdana" w:hAnsi="Verdana"/>
          <w:bCs/>
          <w:color w:val="1F497D"/>
          <w:sz w:val="18"/>
          <w:szCs w:val="18"/>
        </w:rPr>
        <w:t>.</w:t>
      </w:r>
    </w:p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Fonts w:ascii="Verdana" w:hAnsi="Verdana"/>
          <w:bCs/>
          <w:color w:val="1F497D"/>
          <w:sz w:val="18"/>
          <w:szCs w:val="18"/>
        </w:rPr>
        <w:t xml:space="preserve">Üks </w:t>
      </w:r>
      <w:r w:rsidRPr="00AE2289">
        <w:rPr>
          <w:rFonts w:ascii="Verdana" w:hAnsi="Verdana"/>
          <w:bCs/>
          <w:color w:val="1F497D"/>
          <w:sz w:val="18"/>
          <w:szCs w:val="18"/>
          <w:u w:val="single"/>
        </w:rPr>
        <w:t>hiljutine majandusanalüüside ülevaade</w:t>
      </w:r>
      <w:r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5"/>
      </w:r>
      <w:r>
        <w:rPr>
          <w:rFonts w:ascii="Verdana" w:hAnsi="Verdana"/>
          <w:bCs/>
          <w:color w:val="1F497D"/>
          <w:sz w:val="18"/>
          <w:szCs w:val="18"/>
        </w:rPr>
        <w:t xml:space="preserve"> viitas, et kõik leitud analüüsid peale ühe näitasid, et elektriline </w:t>
      </w:r>
      <w:proofErr w:type="spellStart"/>
      <w:r>
        <w:rPr>
          <w:rFonts w:ascii="Verdana" w:hAnsi="Verdana"/>
          <w:bCs/>
          <w:color w:val="1F497D"/>
          <w:sz w:val="18"/>
          <w:szCs w:val="18"/>
        </w:rPr>
        <w:t>kardioversioon</w:t>
      </w:r>
      <w:proofErr w:type="spellEnd"/>
      <w:r>
        <w:rPr>
          <w:rFonts w:ascii="Verdana" w:hAnsi="Verdana"/>
          <w:bCs/>
          <w:color w:val="1F497D"/>
          <w:sz w:val="18"/>
          <w:szCs w:val="18"/>
        </w:rPr>
        <w:t xml:space="preserve"> on tervishoiusüsteemi perspektiivist kulutõhusam kui farmakoloogiline. </w:t>
      </w:r>
    </w:p>
    <w:p w:rsidR="00F30092" w:rsidRPr="00CA7379" w:rsidRDefault="00A92F11" w:rsidP="00B63E99">
      <w:pPr>
        <w:shd w:val="clear" w:color="auto" w:fill="FFFFFF"/>
        <w:spacing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CA7379">
        <w:rPr>
          <w:rFonts w:ascii="Verdana" w:hAnsi="Verdana" w:cs="Arial"/>
          <w:b/>
          <w:color w:val="1F497D"/>
          <w:sz w:val="18"/>
          <w:szCs w:val="18"/>
        </w:rPr>
        <w:t>Teiste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 xml:space="preserve"> ravijuhendite soovitus</w:t>
      </w:r>
      <w:r w:rsidRPr="00CA7379">
        <w:rPr>
          <w:rFonts w:ascii="Verdana" w:hAnsi="Verdana" w:cs="Arial"/>
          <w:b/>
          <w:color w:val="1F497D"/>
          <w:sz w:val="18"/>
          <w:szCs w:val="18"/>
        </w:rPr>
        <w:t>ed s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>amal teemal</w:t>
      </w:r>
    </w:p>
    <w:p w:rsidR="00467D95" w:rsidRDefault="000706EC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AHA 2014</w:t>
      </w:r>
      <w:r w:rsidR="00F802D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92F11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juhend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E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lektriline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</w:t>
      </w:r>
      <w:proofErr w:type="spellEnd"/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I klass: 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1. Rütmikontrolli strateegia korral siinusrütmi taastamiseks soovitatakse KVA või KLA patsientidele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. Kui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ei õnnestu, siis soovitatakse teha korduvat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pärast elektroodide kohandamist või elektroodidele surve avaldamist või peale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antiarütmikumi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manustamist (tõenduse tase: B).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2.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soovitatakse juhul, kui KVA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-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ga kaasneb kiire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ventrikulaarne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vastus või kodade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laperdusarütma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ei allu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farmakoloogilsele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ravile ja põhjustab kestvat müokardi isheemiat, hüpotensiooni või südamepuudulikkust (tõenduse tase: C)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3.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soovitatakse KVA või KLA-ga patsientidele ja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pre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-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eksitatsiooni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korral kui tahhükardiaga seostub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hemodünaamiline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ebastabiilsus (tõenduse tase: C).</w:t>
      </w:r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Klass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. 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1.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persisteeruva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KVA-ga patsientidele on mõistlik teostada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korduvalt juhul, kui siinusrütm jääb püsima kliiniliselt oluliseks ajaks. Tuleb arvestada KVA sümptomite raskusastet ja patsiendi eelistust neil juhtudel, kui on vaja teostada mitmeid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. (tõenduse tase: C).</w:t>
      </w:r>
    </w:p>
    <w:p w:rsidR="00467D95" w:rsidRPr="00467D95" w:rsidRDefault="00467D95" w:rsidP="00467D95">
      <w:pPr>
        <w:shd w:val="clear" w:color="auto" w:fill="FFFFFF"/>
        <w:tabs>
          <w:tab w:val="right" w:pos="8834"/>
        </w:tabs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Farmakoloogiline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kardioversioon</w:t>
      </w:r>
      <w:proofErr w:type="spellEnd"/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Klass I: 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1.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Flekainiid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dofetiliid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propafenoon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ja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intravenoosne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ibutiliid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on vastunäidustuste puudumisel kasulikud farmakoloogilise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tesotamiseks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või KLA-ga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patsienditele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. (Tõenduse tase: A)</w:t>
      </w:r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Klass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: 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1. suukaudselt manustatav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amiodaroon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on mõistlik valik farmakoloogilise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tegemiseks KVA korral. (Tõenduse tase: A)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2.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Propafenoon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flekainiid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(tablett taskus strateegia) lisaks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beetablokaatori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mittedihüdropüridiini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tüüpi kaltsiumi kanali antagonistile on sobiv meetod KVA lõpetamiseks 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lastRenderedPageBreak/>
        <w:t xml:space="preserve">väljaspool haiglat juhul, kui selle ohutus on eelnevalt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monitooritud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tingimustes kindlaks tehtud. (Tõenduse tase: B)</w:t>
      </w:r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Klass III: kahju </w:t>
      </w:r>
    </w:p>
    <w:p w:rsidR="00DE70EE" w:rsidRPr="00CA7379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1. Ravi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dofetiliidiga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ei tohiks ambulatoor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selt alustada, kuna esineb risk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QT aja pikenemiseks, mis võib vallandada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torsades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de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pointes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(Tõenduse tase: B)</w:t>
      </w:r>
    </w:p>
    <w:p w:rsidR="000706EC" w:rsidRPr="00CA7379" w:rsidRDefault="00E05442" w:rsidP="00F30092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Kanada ravijuhend</w:t>
      </w:r>
      <w:r w:rsidR="00AE2289">
        <w:rPr>
          <w:rFonts w:ascii="Verdana" w:hAnsi="Verdana" w:cs="ArialMT"/>
          <w:b/>
          <w:color w:val="1F497D"/>
          <w:sz w:val="18"/>
          <w:szCs w:val="18"/>
          <w:lang w:eastAsia="en-US"/>
        </w:rPr>
        <w:t>is</w:t>
      </w:r>
      <w:r w:rsidR="00F30092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soovitatakse elektrilist või farmakoloogilist </w:t>
      </w:r>
      <w:proofErr w:type="spellStart"/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siinusrütmi taastamiseks neil KVA ja KLA patsientidele, kellel on näidustatud </w:t>
      </w:r>
      <w:r w:rsid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siinusrütmi säilitamine </w:t>
      </w:r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 xml:space="preserve">ja kelle puhul on ebatõenäoline, et siinusrütm taastub spontaanselt (tugev soovitus, madala kvaliteediga tõendus). Elektrilise </w:t>
      </w:r>
      <w:proofErr w:type="spellStart"/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eelselt soovitatakse anda antirütmilisi ravimeid neile, kellel on tekkinud varasemalt teostatud elektrilise </w:t>
      </w:r>
      <w:proofErr w:type="spellStart"/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="00AE2289" w:rsidRPr="00AE228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järgselt KVA episood, kuid pole eelnevalt antiarütmilist ravimit manustatud (Tugev soovitus, mõõduka kvaliteediga tõendus).</w:t>
      </w:r>
    </w:p>
    <w:p w:rsidR="00467D95" w:rsidRDefault="002C0E7F" w:rsidP="00467D95">
      <w:pPr>
        <w:shd w:val="clear" w:color="auto" w:fill="FFFFFF"/>
        <w:spacing w:after="120"/>
        <w:ind w:right="238"/>
        <w:jc w:val="both"/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ESC</w:t>
      </w:r>
      <w:r w:rsidR="00A57790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2016</w:t>
      </w: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467D95" w:rsidRPr="00467D95">
        <w:t xml:space="preserve"> 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Elektrilise ja farmakoloogilise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vahel valides 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tuleb arvestada patsiendi ja arsti eelistusi, välja arvatud juhul, kui on tegemist KVAga seotud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hemodünaamilise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ebastabiilsusega. (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, C)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>E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lektrilist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soovitatakse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hemodünaamilise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ebastabiilsusega patsientidele (I, B)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(kas elektriline või farmakoloogiline) soovitatakse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persisteeruva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pikaaegse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persisteeruva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-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ga sümptomaatilistele patsientidele (I,B)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Enne KVA elektrilise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tegemist tuleks selle tõhususe suurendamiseks ja KVA taastekke takistamiseks kaaluda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amiodarooni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flekainidiini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ibutiliidi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propafenoo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ni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vernakalanti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manustamist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, B)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Isheemilise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südame strukturaalse haiguse puudumisel soovitatakse uue KVA episoodi tekkel farmakoloogilist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flekainidiini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,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propafenooni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vernakalantiga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(I, A)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Isheemilise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südame strukturaalse haiguse puudumisel soovitatakse uue KVA episoodi tekkel farmakoloogilist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ooni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ibutiliidiga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, B)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Teatud patsientidel, kellel KVA on tekkinud hiljuti ja kellel puuduvad olulised strukturaalsed muutused südames või ei ole südame isheemiatõbe, võib pärast ohutusalast hindamist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kardioversiooniks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manustada ühe suukaudse annuse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flekainidiini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propafenooni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(tabl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ett taskus strateegia) (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IIa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>, B)</w:t>
      </w:r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Isheemiatõve või südame strukturaalsete muutustega patsiendil võib KVA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kardioversiooniks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soovitada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amiodarooni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. (I,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A)</w:t>
      </w:r>
      <w:proofErr w:type="spellEnd"/>
    </w:p>
    <w:p w:rsidR="00467D95" w:rsidRPr="00CA7379" w:rsidRDefault="00467D95" w:rsidP="00B63E99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Vernakalant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võib olla alternatiiviks vahendiks farmakoloogilise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teostamisks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amiodaroonile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patsientidel, kellel ei ole hüpotensiooni, rasket südame puudulikkust või rasket strukturaalset südamehaigust (nt aordi stenoosi) (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IIb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, B)</w:t>
      </w:r>
    </w:p>
    <w:p w:rsidR="00467D95" w:rsidRPr="00467D95" w:rsidRDefault="002C0E7F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N</w:t>
      </w:r>
      <w:r w:rsidR="00F3677D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ICE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DE70EE" w:rsidRPr="00D41D3A">
        <w:rPr>
          <w:rFonts w:ascii="Verdana" w:hAnsi="Verdana" w:cs="ArialMT"/>
          <w:b/>
          <w:color w:val="1F497D"/>
          <w:sz w:val="18"/>
          <w:szCs w:val="18"/>
          <w:lang w:eastAsia="en-US"/>
        </w:rPr>
        <w:t>ravijuhend</w:t>
      </w:r>
      <w:r w:rsidR="00F3677D" w:rsidRPr="00CA7379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="00467D95">
        <w:rPr>
          <w:rFonts w:ascii="Verdana" w:hAnsi="Verdana" w:cs="ArialMT"/>
          <w:color w:val="1F497D"/>
          <w:sz w:val="18"/>
          <w:szCs w:val="18"/>
          <w:lang w:eastAsia="en-US"/>
        </w:rPr>
        <w:t>soovitab kaaluda</w:t>
      </w:r>
      <w:r w:rsidR="00467D95"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farmakoloogilist ja/või elektrilist rütmi kontrolli neile KVA patsientidele, kes on sümptomaatilised peale sageduskontrolli saavutamist või kellel sageduskontrolli strateegia ei ole olnud tõhus.</w:t>
      </w:r>
    </w:p>
    <w:p w:rsidR="00467D95" w:rsidRP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Patsientidele, kellel KVA on kestnud kauem kui 48 h,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soovitatakse</w:t>
      </w:r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elektrilist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. </w:t>
      </w:r>
    </w:p>
    <w:p w:rsidR="00467D95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Soovitatakse kaaluda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amiodarooni</w:t>
      </w:r>
      <w:proofErr w:type="spellEnd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kasutamist 4 nädalat enne ja kuni 12 kuud pärast elektrilist </w:t>
      </w:r>
      <w:proofErr w:type="spellStart"/>
      <w:r w:rsidRPr="00467D95">
        <w:rPr>
          <w:rFonts w:ascii="Verdana" w:hAnsi="Verdana" w:cs="ArialMT"/>
          <w:color w:val="1F497D"/>
          <w:sz w:val="18"/>
          <w:szCs w:val="18"/>
          <w:lang w:eastAsia="en-US"/>
        </w:rPr>
        <w:t>kardioversiooni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p w:rsidR="003B0510" w:rsidRDefault="00F3677D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>Soome</w:t>
      </w:r>
      <w:r w:rsidR="00B63E99" w:rsidRPr="00CA7379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ravijuhend</w:t>
      </w:r>
      <w:r w:rsidR="00A6543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 </w:t>
      </w:r>
      <w:r w:rsidR="00056137" w:rsidRPr="00056137">
        <w:rPr>
          <w:rFonts w:ascii="Verdana" w:hAnsi="Verdana" w:cs="ArialMT"/>
          <w:color w:val="1F497D"/>
          <w:sz w:val="18"/>
          <w:szCs w:val="18"/>
          <w:lang w:eastAsia="en-US"/>
        </w:rPr>
        <w:sym w:font="Wingdings" w:char="F04A"/>
      </w:r>
    </w:p>
    <w:p w:rsidR="00467D95" w:rsidRPr="00056137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Sähköinen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vaatii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anestesian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,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minkä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takia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se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soveltuu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harvoin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avoterveydenhuollossa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tehtäväksi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.</w:t>
      </w:r>
    </w:p>
    <w:p w:rsidR="00467D95" w:rsidRPr="00056137" w:rsidRDefault="00467D95" w:rsidP="00467D95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Lääkkeellinen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voidaan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tehdä</w:t>
      </w:r>
      <w:proofErr w:type="spellEnd"/>
      <w:r w:rsidR="00056137"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myös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hyvin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varustetussa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terveyskeskuksessa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Sähköistä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eli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kardioversiota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voidaan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käyttää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sekä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akuutin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eteisvärinäkohtauksen</w:t>
      </w:r>
      <w:proofErr w:type="spellEnd"/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hoidossa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että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elektiivises</w:t>
      </w:r>
      <w:bookmarkStart w:id="0" w:name="_GoBack"/>
      <w:bookmarkEnd w:id="0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Akuutissa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eteisvärinässä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(&lt; 48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tuntia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)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yli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90 %.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huononee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eteisvärinän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pitkittyessä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,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minkä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takia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elektiivinen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pitäisi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tehdä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mahdollisimman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pian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lastRenderedPageBreak/>
        <w:t>Sähköisessä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rytminsiirrossa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sinusrytmi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palautetaan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QRS-heilahdukseen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synkronoidulla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tasavirtaiskulla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kevyen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anestesian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aikana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;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.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Lääkärin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käsikirjan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artikkeli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Sähköisen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rytminsiirron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suoritus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Lääkkeisiin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verrattuna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sähköisen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rytminsiirron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etuina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ovat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hyvä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ja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turvallisuus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Bifaasinen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kardioversio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tehokkaampi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kuin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monofaasinen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A.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Jos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sinusrytmi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ei palaudu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maksimienergiallakaan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,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voidaan</w:t>
      </w:r>
      <w:proofErr w:type="spellEnd"/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•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antaa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ibutilidia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(1 mg 10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minuutin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infuusiona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)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ja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toistaa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kardioversioyritys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sen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jälkeen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saman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anestesian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aikana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•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aloittaa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rytmihäiriölääkitys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suun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kautta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ja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toistaa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kardioversioyritys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myöhemmin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lääkkeen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vaikutuksen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vakiinnuttua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(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antikoagulaation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oltava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hoitotasolla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)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•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tehdä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sydämensisäinen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</w:t>
      </w:r>
      <w:proofErr w:type="spellEnd"/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Sähköinen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vasta-aiheinen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,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jos</w:t>
      </w:r>
      <w:proofErr w:type="spellEnd"/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•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eteisvärinän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syy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hoidettavissa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(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elektrolyyttihäiriö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,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digitalismyrkytys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tai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kilpirauhasen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liikatoiminta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korjattava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ennen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rytminsiirtoa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)</w:t>
      </w:r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•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potilaalla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on sinus- tai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eteis-kammmiosolmukkeen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vaikea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toimintahäiriö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eikä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hänellä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ole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tahdistinta</w:t>
      </w:r>
      <w:proofErr w:type="spellEnd"/>
    </w:p>
    <w:p w:rsidR="00056137" w:rsidRPr="00056137" w:rsidRDefault="00056137" w:rsidP="00056137">
      <w:pPr>
        <w:shd w:val="clear" w:color="auto" w:fill="FFFFFF"/>
        <w:spacing w:after="120"/>
        <w:ind w:right="238"/>
        <w:jc w:val="both"/>
        <w:rPr>
          <w:rFonts w:ascii="Verdana" w:hAnsi="Verdana" w:cs="ArialMT"/>
          <w:i/>
          <w:color w:val="1F497D"/>
          <w:sz w:val="18"/>
          <w:szCs w:val="18"/>
          <w:lang w:eastAsia="en-US"/>
        </w:rPr>
      </w:pP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•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vaihtelee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spontaanisti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sinusrytmin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ja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eteisvärinän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välillä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(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rytmihäiriölääkkeitä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voidaan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 xml:space="preserve"> </w:t>
      </w:r>
      <w:proofErr w:type="spellStart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käyttää</w:t>
      </w:r>
      <w:proofErr w:type="spellEnd"/>
      <w:r w:rsidRPr="00056137">
        <w:rPr>
          <w:rFonts w:ascii="Verdana" w:hAnsi="Verdana" w:cs="ArialMT"/>
          <w:i/>
          <w:color w:val="1F497D"/>
          <w:sz w:val="18"/>
          <w:szCs w:val="18"/>
          <w:lang w:eastAsia="en-US"/>
        </w:rPr>
        <w:t>).</w:t>
      </w:r>
    </w:p>
    <w:p w:rsidR="008F5E95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</w:p>
    <w:p w:rsidR="00446C67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8F5E95">
        <w:rPr>
          <w:rFonts w:ascii="Verdana" w:hAnsi="Verdana" w:cs="ArialMT"/>
          <w:b/>
          <w:color w:val="1F497D"/>
          <w:sz w:val="18"/>
          <w:szCs w:val="18"/>
          <w:lang w:eastAsia="en-US"/>
        </w:rPr>
        <w:t>Viited</w:t>
      </w:r>
    </w:p>
    <w:p w:rsidR="00A65437" w:rsidRPr="008F5E95" w:rsidRDefault="00A65437" w:rsidP="00A65437">
      <w:pPr>
        <w:rPr>
          <w:rFonts w:ascii="Verdana" w:hAnsi="Verdana"/>
          <w:i/>
          <w:color w:val="1F497D"/>
          <w:sz w:val="18"/>
          <w:szCs w:val="18"/>
        </w:rPr>
      </w:pPr>
    </w:p>
    <w:p w:rsidR="008F5E95" w:rsidRPr="00467D95" w:rsidRDefault="00467D95" w:rsidP="008F5E95">
      <w:pPr>
        <w:rPr>
          <w:rFonts w:ascii="Verdana" w:hAnsi="Verdana"/>
          <w:b/>
          <w:color w:val="1F497D"/>
          <w:sz w:val="16"/>
          <w:szCs w:val="16"/>
        </w:rPr>
      </w:pPr>
      <w:r w:rsidRPr="00467D95">
        <w:rPr>
          <w:rFonts w:ascii="Verdana" w:hAnsi="Verdana"/>
          <w:color w:val="1F497D"/>
          <w:sz w:val="18"/>
          <w:szCs w:val="18"/>
        </w:rPr>
        <w:t>Vt NICE 2014</w:t>
      </w:r>
      <w:r>
        <w:rPr>
          <w:rFonts w:ascii="Verdana" w:hAnsi="Verdana"/>
          <w:color w:val="1F497D"/>
          <w:sz w:val="18"/>
          <w:szCs w:val="18"/>
        </w:rPr>
        <w:t xml:space="preserve"> täistekst.</w:t>
      </w:r>
    </w:p>
    <w:p w:rsidR="008F5E95" w:rsidRPr="008F5E95" w:rsidRDefault="008F5E95" w:rsidP="008F5E95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D2340A" w:rsidRPr="00CA7379" w:rsidRDefault="00D2340A" w:rsidP="00CA7379">
      <w:pPr>
        <w:rPr>
          <w:i/>
          <w:sz w:val="16"/>
          <w:szCs w:val="16"/>
        </w:rPr>
      </w:pPr>
    </w:p>
    <w:sectPr w:rsidR="00D2340A" w:rsidRPr="00CA7379" w:rsidSect="00CA737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26" w:rsidRDefault="003F7626" w:rsidP="00AE2289">
      <w:r>
        <w:separator/>
      </w:r>
    </w:p>
  </w:endnote>
  <w:endnote w:type="continuationSeparator" w:id="0">
    <w:p w:rsidR="003F7626" w:rsidRDefault="003F7626" w:rsidP="00AE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26" w:rsidRDefault="003F7626" w:rsidP="00AE2289">
      <w:r>
        <w:separator/>
      </w:r>
    </w:p>
  </w:footnote>
  <w:footnote w:type="continuationSeparator" w:id="0">
    <w:p w:rsidR="003F7626" w:rsidRDefault="003F7626" w:rsidP="00AE2289">
      <w:r>
        <w:continuationSeparator/>
      </w:r>
    </w:p>
  </w:footnote>
  <w:footnote w:id="1">
    <w:p w:rsidR="00AE2289" w:rsidRPr="00AE2289" w:rsidRDefault="00AE2289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E2289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Gerald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V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Naccarelli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Leonard I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Ganz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Warren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Manning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: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to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sinus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rhythm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UpToDate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2017 (last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updated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Oct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10, 2016).</w:t>
      </w:r>
    </w:p>
  </w:footnote>
  <w:footnote w:id="2">
    <w:p w:rsidR="00AE2289" w:rsidRPr="00AE2289" w:rsidRDefault="00AE2289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E2289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Naccarelli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GV,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Dell'Orfano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Wolbrette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DL,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Patel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HM,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Luck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JC.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Cost-effective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management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acute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: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role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rate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control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spontaneous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conversion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medical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direct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current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transesophageal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echocardiography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antiembolic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therapy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>. 2000;85(10A):36D.</w:t>
      </w:r>
    </w:p>
  </w:footnote>
  <w:footnote w:id="3"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r w:rsidRPr="00AE2289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Predictors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unsuccessful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electrical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Elhendy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Gentile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F,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Khandheria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BK,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Hammill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SC,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Gersh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BJ,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Bailey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KR,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Montgomery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Burger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K,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Seward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JB.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2002;89(1):83.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Initial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energy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setting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outcome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efficiency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in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direct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current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flutter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Gallagher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MM,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Guo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XH,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Poloniecki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JD,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Guan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Yap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Y,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Ward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D,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Camm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AJ. J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Coll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2001;38(5):1498.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Echocardiographic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clinical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predictors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for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outcome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elective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Dittrich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HC,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Erickson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JS,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Schneiderman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Blacky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AR, Savides 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Nicod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PH.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1989;63(3):193.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Relation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between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echocardiographically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determined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left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size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Henry WL,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Morganroth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Pearlman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AS, Clark CE,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Redwood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DR,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Itscoitz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SB,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Epstein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SE.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Circulation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1976;53(2):273.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Chronic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Long-term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results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direct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current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conversion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Lundström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Rydén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L.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Acta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Med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Scand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1988;223(1):53.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Factors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determining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success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energy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requirements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for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Dalzell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GW,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Anderson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Adgey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AA. Q J Med. 1990;76(281):903.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Early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recurrence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after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ambulatory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shock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conversion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Schwartzman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D,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Musley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SK,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Swerdlow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C,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Hoyt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RH,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Warman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EN J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Coll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2002;40(1):93. </w:t>
      </w:r>
    </w:p>
    <w:p w:rsidR="00AE2289" w:rsidRPr="00AE2289" w:rsidRDefault="00AE2289" w:rsidP="00AE2289">
      <w:pPr>
        <w:pStyle w:val="FootnoteText"/>
        <w:rPr>
          <w:rFonts w:ascii="Verdana" w:hAnsi="Verdana"/>
          <w:color w:val="1F497D"/>
          <w:sz w:val="16"/>
          <w:szCs w:val="16"/>
        </w:rPr>
      </w:pPr>
      <w:proofErr w:type="spellStart"/>
      <w:r w:rsidRPr="00AE2289">
        <w:rPr>
          <w:rFonts w:ascii="Verdana" w:hAnsi="Verdana"/>
          <w:color w:val="1F497D"/>
          <w:sz w:val="16"/>
          <w:szCs w:val="16"/>
        </w:rPr>
        <w:t>Comparative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efficacy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monophasic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biphasic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waveforms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for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transthoracic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and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flutter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Gurevitz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Ammash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NM,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Malouf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JF,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Chandrasekaran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K,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Rosales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AG,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Ballman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KV,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Hammill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SC,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White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RD,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Gersh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BJ,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Friedman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PA.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Am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Heart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J. 2005;149(2):316.</w:t>
      </w:r>
    </w:p>
  </w:footnote>
  <w:footnote w:id="4">
    <w:p w:rsidR="00AE2289" w:rsidRDefault="00AE2289" w:rsidP="00AE2289">
      <w:pPr>
        <w:pStyle w:val="FootnoteText"/>
      </w:pPr>
      <w:r w:rsidRPr="00AE2289">
        <w:rPr>
          <w:rStyle w:val="FootnoteReference"/>
          <w:rFonts w:ascii="Verdana" w:hAnsi="Verdana"/>
          <w:color w:val="1F497D"/>
          <w:sz w:val="16"/>
          <w:szCs w:val="16"/>
        </w:rPr>
        <w:footnoteRef/>
      </w:r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Grönberg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Nuotio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I,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Nikkinen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M,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Ylitalo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A,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Vasankari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T,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Hartikainen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JE,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Airaksinen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KE.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Arrhythmic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complications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after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electrical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cardioversion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acute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: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the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FinCV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study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color w:val="1F497D"/>
          <w:sz w:val="16"/>
          <w:szCs w:val="16"/>
        </w:rPr>
        <w:t>Europace</w:t>
      </w:r>
      <w:proofErr w:type="spellEnd"/>
      <w:r w:rsidRPr="00AE2289">
        <w:rPr>
          <w:rFonts w:ascii="Verdana" w:hAnsi="Verdana"/>
          <w:color w:val="1F497D"/>
          <w:sz w:val="16"/>
          <w:szCs w:val="16"/>
        </w:rPr>
        <w:t>. 2013;15(10):1432.</w:t>
      </w:r>
    </w:p>
  </w:footnote>
  <w:footnote w:id="5">
    <w:p w:rsidR="00AE2289" w:rsidRPr="00AE2289" w:rsidRDefault="00AE2289" w:rsidP="00AE228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Bernd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Brüggenjürgen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, Stefan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Kohler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,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Nadja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Ezzat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, Thomas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Reinhold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, Stefan N.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Willich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Cost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Effectiveness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of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Antiarrhythmic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Medications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in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Patients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Suffering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from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Atrial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Fibrillation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. </w:t>
      </w:r>
      <w:proofErr w:type="spellStart"/>
      <w:r w:rsidRPr="00AE2289">
        <w:rPr>
          <w:rFonts w:ascii="Verdana" w:hAnsi="Verdana"/>
          <w:bCs/>
          <w:color w:val="1F497D"/>
          <w:sz w:val="16"/>
          <w:szCs w:val="16"/>
        </w:rPr>
        <w:t>PharmacoEconomics</w:t>
      </w:r>
      <w:proofErr w:type="spellEnd"/>
      <w:r w:rsidRPr="00AE2289">
        <w:rPr>
          <w:rFonts w:ascii="Verdana" w:hAnsi="Verdana"/>
          <w:bCs/>
          <w:color w:val="1F497D"/>
          <w:sz w:val="16"/>
          <w:szCs w:val="16"/>
        </w:rPr>
        <w:t xml:space="preserve"> 2013; 31(3):195-213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67F8"/>
    <w:multiLevelType w:val="hybridMultilevel"/>
    <w:tmpl w:val="B9104730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BBE27D5"/>
    <w:multiLevelType w:val="hybridMultilevel"/>
    <w:tmpl w:val="89482B58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54153"/>
    <w:multiLevelType w:val="hybridMultilevel"/>
    <w:tmpl w:val="EBCA53D2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30"/>
    </w:lvlOverride>
  </w:num>
  <w:num w:numId="4">
    <w:abstractNumId w:val="1"/>
    <w:lvlOverride w:ilvl="0">
      <w:startOverride w:val="3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137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06EC"/>
    <w:rsid w:val="00071076"/>
    <w:rsid w:val="0007107C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338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5ED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4112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DB1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2A1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6242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454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F3"/>
    <w:rsid w:val="00253F7A"/>
    <w:rsid w:val="002541F9"/>
    <w:rsid w:val="002548FB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156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437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E7F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6F72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57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4FB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3F7626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394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C67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67D95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2EC0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1F1"/>
    <w:rsid w:val="004B25A8"/>
    <w:rsid w:val="004B3B18"/>
    <w:rsid w:val="004B4626"/>
    <w:rsid w:val="004B4B6B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C58"/>
    <w:rsid w:val="004C7FC7"/>
    <w:rsid w:val="004D1135"/>
    <w:rsid w:val="004D1567"/>
    <w:rsid w:val="004D18B5"/>
    <w:rsid w:val="004D20D3"/>
    <w:rsid w:val="004D28B5"/>
    <w:rsid w:val="004D2E78"/>
    <w:rsid w:val="004D5AF9"/>
    <w:rsid w:val="004D5DD3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6A34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6EA5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549A"/>
    <w:rsid w:val="005E61D9"/>
    <w:rsid w:val="005E6332"/>
    <w:rsid w:val="005E6A1D"/>
    <w:rsid w:val="005E7702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730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5C1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278A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1969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BB7"/>
    <w:rsid w:val="00714E80"/>
    <w:rsid w:val="007155DA"/>
    <w:rsid w:val="00716388"/>
    <w:rsid w:val="0071686E"/>
    <w:rsid w:val="00717593"/>
    <w:rsid w:val="007175AA"/>
    <w:rsid w:val="007177CF"/>
    <w:rsid w:val="00720399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17D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1AB3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469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C03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6D6F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4CA4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C49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D25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BA4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2E97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8B1"/>
    <w:rsid w:val="008F4FE0"/>
    <w:rsid w:val="008F5E95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208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448D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58F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3C3"/>
    <w:rsid w:val="00A57790"/>
    <w:rsid w:val="00A57815"/>
    <w:rsid w:val="00A6076A"/>
    <w:rsid w:val="00A6108C"/>
    <w:rsid w:val="00A61A43"/>
    <w:rsid w:val="00A61B1E"/>
    <w:rsid w:val="00A6201F"/>
    <w:rsid w:val="00A62273"/>
    <w:rsid w:val="00A63619"/>
    <w:rsid w:val="00A63642"/>
    <w:rsid w:val="00A63A22"/>
    <w:rsid w:val="00A64731"/>
    <w:rsid w:val="00A64AB3"/>
    <w:rsid w:val="00A64FF3"/>
    <w:rsid w:val="00A65437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0EC1"/>
    <w:rsid w:val="00A91375"/>
    <w:rsid w:val="00A917CD"/>
    <w:rsid w:val="00A91E40"/>
    <w:rsid w:val="00A91EF3"/>
    <w:rsid w:val="00A91FF3"/>
    <w:rsid w:val="00A92020"/>
    <w:rsid w:val="00A92AA5"/>
    <w:rsid w:val="00A92F11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289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2DB0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CFE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2A4"/>
    <w:rsid w:val="00B63E99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BFC"/>
    <w:rsid w:val="00B930D0"/>
    <w:rsid w:val="00B933D3"/>
    <w:rsid w:val="00B9356B"/>
    <w:rsid w:val="00B93A58"/>
    <w:rsid w:val="00B94372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021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C26"/>
    <w:rsid w:val="00C12D4B"/>
    <w:rsid w:val="00C13963"/>
    <w:rsid w:val="00C14773"/>
    <w:rsid w:val="00C14D74"/>
    <w:rsid w:val="00C1536E"/>
    <w:rsid w:val="00C15A94"/>
    <w:rsid w:val="00C15B5D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263B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379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8A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4EB4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40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4A3"/>
    <w:rsid w:val="00D3665E"/>
    <w:rsid w:val="00D3681A"/>
    <w:rsid w:val="00D368CA"/>
    <w:rsid w:val="00D36A6A"/>
    <w:rsid w:val="00D36ACA"/>
    <w:rsid w:val="00D37256"/>
    <w:rsid w:val="00D40736"/>
    <w:rsid w:val="00D4093A"/>
    <w:rsid w:val="00D40E68"/>
    <w:rsid w:val="00D41D3A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6EA5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B9E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0EE"/>
    <w:rsid w:val="00DE7B8A"/>
    <w:rsid w:val="00DF05F5"/>
    <w:rsid w:val="00DF08CD"/>
    <w:rsid w:val="00DF0A25"/>
    <w:rsid w:val="00DF1331"/>
    <w:rsid w:val="00DF289B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442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DA4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550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040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0F27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01E"/>
    <w:rsid w:val="00EF54C2"/>
    <w:rsid w:val="00EF5662"/>
    <w:rsid w:val="00EF588D"/>
    <w:rsid w:val="00EF5CF3"/>
    <w:rsid w:val="00EF60FE"/>
    <w:rsid w:val="00EF643F"/>
    <w:rsid w:val="00EF6D38"/>
    <w:rsid w:val="00EF703E"/>
    <w:rsid w:val="00F0025D"/>
    <w:rsid w:val="00F00398"/>
    <w:rsid w:val="00F0085D"/>
    <w:rsid w:val="00F008CB"/>
    <w:rsid w:val="00F00D15"/>
    <w:rsid w:val="00F00DA9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092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677D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3F"/>
    <w:rsid w:val="00F500A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2D0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4CC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rsid w:val="00AE22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2289"/>
    <w:rPr>
      <w:lang w:eastAsia="et-EE"/>
    </w:rPr>
  </w:style>
  <w:style w:type="character" w:styleId="FootnoteReference">
    <w:name w:val="footnote reference"/>
    <w:basedOn w:val="DefaultParagraphFont"/>
    <w:rsid w:val="00AE2289"/>
    <w:rPr>
      <w:vertAlign w:val="superscript"/>
    </w:rPr>
  </w:style>
  <w:style w:type="paragraph" w:styleId="ListParagraph">
    <w:name w:val="List Paragraph"/>
    <w:basedOn w:val="Normal"/>
    <w:uiPriority w:val="72"/>
    <w:qFormat/>
    <w:rsid w:val="00AE2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rsid w:val="00AE22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2289"/>
    <w:rPr>
      <w:lang w:eastAsia="et-EE"/>
    </w:rPr>
  </w:style>
  <w:style w:type="character" w:styleId="FootnoteReference">
    <w:name w:val="footnote reference"/>
    <w:basedOn w:val="DefaultParagraphFont"/>
    <w:rsid w:val="00AE2289"/>
    <w:rPr>
      <w:vertAlign w:val="superscript"/>
    </w:rPr>
  </w:style>
  <w:style w:type="paragraph" w:styleId="ListParagraph">
    <w:name w:val="List Paragraph"/>
    <w:basedOn w:val="Normal"/>
    <w:uiPriority w:val="72"/>
    <w:qFormat/>
    <w:rsid w:val="00AE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5DFD40D-DDE3-426E-AB2D-A7CD3A86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2130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creator>Kasutaja</dc:creator>
  <cp:lastModifiedBy>Alar Irs</cp:lastModifiedBy>
  <cp:revision>4</cp:revision>
  <dcterms:created xsi:type="dcterms:W3CDTF">2017-09-09T18:03:00Z</dcterms:created>
  <dcterms:modified xsi:type="dcterms:W3CDTF">2017-09-12T19:49:00Z</dcterms:modified>
</cp:coreProperties>
</file>