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01D" w:rsidRPr="00A4001D" w:rsidRDefault="00A4001D" w:rsidP="00B63E99">
      <w:pPr>
        <w:spacing w:after="120"/>
        <w:rPr>
          <w:rFonts w:ascii="Verdana" w:hAnsi="Verdana"/>
          <w:b/>
          <w:bCs/>
          <w:color w:val="C00000"/>
          <w:sz w:val="18"/>
          <w:szCs w:val="18"/>
        </w:rPr>
      </w:pPr>
      <w:r>
        <w:rPr>
          <w:rFonts w:ascii="Verdana" w:hAnsi="Verdana"/>
          <w:b/>
          <w:bCs/>
          <w:color w:val="C00000"/>
          <w:sz w:val="18"/>
          <w:szCs w:val="18"/>
        </w:rPr>
        <w:t xml:space="preserve">Siinusrütmi säilitav pidev ravi </w:t>
      </w:r>
      <w:r w:rsidRPr="00A4001D">
        <w:rPr>
          <w:rFonts w:ascii="Verdana" w:hAnsi="Verdana"/>
          <w:b/>
          <w:bCs/>
          <w:i/>
          <w:color w:val="C00000"/>
          <w:sz w:val="18"/>
          <w:szCs w:val="18"/>
        </w:rPr>
        <w:t xml:space="preserve">versus </w:t>
      </w:r>
      <w:r>
        <w:rPr>
          <w:rFonts w:ascii="Verdana" w:hAnsi="Verdana"/>
          <w:b/>
          <w:bCs/>
          <w:i/>
          <w:color w:val="C00000"/>
          <w:sz w:val="18"/>
          <w:szCs w:val="18"/>
        </w:rPr>
        <w:t>„</w:t>
      </w:r>
      <w:r w:rsidRPr="00A4001D">
        <w:rPr>
          <w:rFonts w:ascii="Verdana" w:hAnsi="Verdana"/>
          <w:b/>
          <w:bCs/>
          <w:i/>
          <w:color w:val="C00000"/>
          <w:sz w:val="18"/>
          <w:szCs w:val="18"/>
        </w:rPr>
        <w:t xml:space="preserve">pill </w:t>
      </w:r>
      <w:proofErr w:type="spellStart"/>
      <w:r w:rsidRPr="00A4001D">
        <w:rPr>
          <w:rFonts w:ascii="Verdana" w:hAnsi="Verdana"/>
          <w:b/>
          <w:bCs/>
          <w:i/>
          <w:color w:val="C00000"/>
          <w:sz w:val="18"/>
          <w:szCs w:val="18"/>
        </w:rPr>
        <w:t>in</w:t>
      </w:r>
      <w:proofErr w:type="spellEnd"/>
      <w:r>
        <w:rPr>
          <w:rFonts w:ascii="Verdana" w:hAnsi="Verdana"/>
          <w:b/>
          <w:bCs/>
          <w:i/>
          <w:color w:val="C00000"/>
          <w:sz w:val="18"/>
          <w:szCs w:val="18"/>
        </w:rPr>
        <w:t xml:space="preserve"> </w:t>
      </w:r>
      <w:proofErr w:type="spellStart"/>
      <w:r w:rsidRPr="00A4001D">
        <w:rPr>
          <w:rFonts w:ascii="Verdana" w:hAnsi="Verdana"/>
          <w:b/>
          <w:bCs/>
          <w:i/>
          <w:color w:val="C00000"/>
          <w:sz w:val="18"/>
          <w:szCs w:val="18"/>
        </w:rPr>
        <w:t>the</w:t>
      </w:r>
      <w:proofErr w:type="spellEnd"/>
      <w:r w:rsidRPr="00A4001D">
        <w:rPr>
          <w:rFonts w:ascii="Verdana" w:hAnsi="Verdana"/>
          <w:b/>
          <w:bCs/>
          <w:i/>
          <w:color w:val="C00000"/>
          <w:sz w:val="18"/>
          <w:szCs w:val="18"/>
        </w:rPr>
        <w:t xml:space="preserve"> </w:t>
      </w:r>
      <w:proofErr w:type="spellStart"/>
      <w:r w:rsidRPr="00A4001D">
        <w:rPr>
          <w:rFonts w:ascii="Verdana" w:hAnsi="Verdana"/>
          <w:b/>
          <w:bCs/>
          <w:i/>
          <w:color w:val="C00000"/>
          <w:sz w:val="18"/>
          <w:szCs w:val="18"/>
        </w:rPr>
        <w:t>pocket</w:t>
      </w:r>
      <w:proofErr w:type="spellEnd"/>
      <w:r>
        <w:rPr>
          <w:rFonts w:ascii="Verdana" w:hAnsi="Verdana"/>
          <w:b/>
          <w:bCs/>
          <w:i/>
          <w:color w:val="C00000"/>
          <w:sz w:val="18"/>
          <w:szCs w:val="18"/>
        </w:rPr>
        <w:t xml:space="preserve">“ </w:t>
      </w:r>
      <w:r>
        <w:rPr>
          <w:rFonts w:ascii="Verdana" w:hAnsi="Verdana"/>
          <w:b/>
          <w:bCs/>
          <w:color w:val="C00000"/>
          <w:sz w:val="18"/>
          <w:szCs w:val="18"/>
        </w:rPr>
        <w:t>strateegia</w:t>
      </w:r>
    </w:p>
    <w:p w:rsidR="008D0BA4" w:rsidRDefault="002C0E7F" w:rsidP="00B63E99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CA7379">
        <w:rPr>
          <w:rFonts w:ascii="Verdana" w:hAnsi="Verdana"/>
          <w:b/>
          <w:bCs/>
          <w:color w:val="1F497D"/>
          <w:sz w:val="18"/>
          <w:szCs w:val="18"/>
        </w:rPr>
        <w:t>Kliiniline küsimus</w:t>
      </w:r>
      <w:r w:rsidR="00D56EA5" w:rsidRPr="00CA7379">
        <w:rPr>
          <w:rFonts w:ascii="Verdana" w:hAnsi="Verdana"/>
          <w:bCs/>
          <w:color w:val="1F497D"/>
          <w:sz w:val="18"/>
          <w:szCs w:val="18"/>
        </w:rPr>
        <w:t xml:space="preserve">  </w:t>
      </w:r>
    </w:p>
    <w:p w:rsidR="00A4001D" w:rsidRDefault="00A4001D" w:rsidP="00B63E99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A4001D">
        <w:rPr>
          <w:rFonts w:ascii="Verdana" w:hAnsi="Verdana"/>
          <w:bCs/>
          <w:color w:val="1F497D"/>
          <w:sz w:val="18"/>
          <w:szCs w:val="18"/>
        </w:rPr>
        <w:t xml:space="preserve">Kas harvade </w:t>
      </w:r>
      <w:proofErr w:type="spellStart"/>
      <w:r w:rsidRPr="00A4001D">
        <w:rPr>
          <w:rFonts w:ascii="Verdana" w:hAnsi="Verdana"/>
          <w:bCs/>
          <w:color w:val="1F497D"/>
          <w:sz w:val="18"/>
          <w:szCs w:val="18"/>
        </w:rPr>
        <w:t>paroksüsmidega</w:t>
      </w:r>
      <w:proofErr w:type="spellEnd"/>
      <w:r w:rsidRPr="00A4001D">
        <w:rPr>
          <w:rFonts w:ascii="Verdana" w:hAnsi="Verdana"/>
          <w:bCs/>
          <w:color w:val="1F497D"/>
          <w:sz w:val="18"/>
          <w:szCs w:val="18"/>
        </w:rPr>
        <w:t xml:space="preserve"> KVA patsientide siinusrütmi säilitavaks raviks tuleks kasutada tablett taskus strateegiat või pidevat ravi?</w:t>
      </w:r>
    </w:p>
    <w:p w:rsidR="008D0BA4" w:rsidRPr="00CA7379" w:rsidRDefault="002C0E7F" w:rsidP="00B63E99">
      <w:pPr>
        <w:spacing w:after="120"/>
        <w:rPr>
          <w:rFonts w:ascii="Verdana" w:hAnsi="Verdana"/>
          <w:color w:val="1F497D"/>
          <w:sz w:val="18"/>
          <w:szCs w:val="18"/>
        </w:rPr>
      </w:pPr>
      <w:r w:rsidRPr="00CA7379">
        <w:rPr>
          <w:rFonts w:ascii="Verdana" w:hAnsi="Verdana"/>
          <w:b/>
          <w:color w:val="1F497D"/>
          <w:sz w:val="18"/>
          <w:szCs w:val="18"/>
        </w:rPr>
        <w:t>Olulised tulemusnäitajad</w:t>
      </w:r>
      <w:r w:rsidR="008D0BA4" w:rsidRPr="00CA7379">
        <w:rPr>
          <w:rFonts w:ascii="Verdana" w:hAnsi="Verdana"/>
          <w:color w:val="1F497D"/>
          <w:sz w:val="18"/>
          <w:szCs w:val="18"/>
        </w:rPr>
        <w:t xml:space="preserve"> </w:t>
      </w:r>
    </w:p>
    <w:p w:rsidR="002C0E7F" w:rsidRDefault="008D0BA4" w:rsidP="00B63E99">
      <w:pPr>
        <w:spacing w:after="120"/>
        <w:rPr>
          <w:rFonts w:ascii="Verdana" w:hAnsi="Verdana"/>
          <w:color w:val="1F497D"/>
          <w:sz w:val="18"/>
          <w:szCs w:val="18"/>
        </w:rPr>
      </w:pPr>
      <w:r w:rsidRPr="00CA7379">
        <w:rPr>
          <w:rFonts w:ascii="Verdana" w:hAnsi="Verdana"/>
          <w:color w:val="1F497D"/>
          <w:sz w:val="18"/>
          <w:szCs w:val="18"/>
        </w:rPr>
        <w:t xml:space="preserve">Surm, ajuinfarkt, trombemboolia, elukvaliteet, südame löögisageduse eesmärkväärtuse (nt ≤100 </w:t>
      </w:r>
      <w:proofErr w:type="spellStart"/>
      <w:r w:rsidRPr="00CA7379">
        <w:rPr>
          <w:rFonts w:ascii="Verdana" w:hAnsi="Verdana"/>
          <w:color w:val="1F497D"/>
          <w:sz w:val="18"/>
          <w:szCs w:val="18"/>
        </w:rPr>
        <w:t>x/min</w:t>
      </w:r>
      <w:proofErr w:type="spellEnd"/>
      <w:r w:rsidRPr="00CA7379">
        <w:rPr>
          <w:rFonts w:ascii="Verdana" w:hAnsi="Verdana"/>
          <w:color w:val="1F497D"/>
          <w:sz w:val="18"/>
          <w:szCs w:val="18"/>
        </w:rPr>
        <w:t>) saavutamine, tõsine kõrvaltoime.</w:t>
      </w:r>
    </w:p>
    <w:p w:rsidR="00874CA4" w:rsidRPr="00CA7379" w:rsidRDefault="00874CA4" w:rsidP="00B63E99">
      <w:pPr>
        <w:spacing w:after="120"/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 xml:space="preserve">Mõõdukalt olulised: </w:t>
      </w:r>
      <w:r w:rsidRPr="00874CA4">
        <w:rPr>
          <w:rFonts w:ascii="Verdana" w:hAnsi="Verdana"/>
          <w:color w:val="1F497D"/>
          <w:sz w:val="18"/>
          <w:szCs w:val="18"/>
        </w:rPr>
        <w:t xml:space="preserve">hospitaliseerimine, KVA taasteke (sek preventsioonil), ravi katkestama sundiv </w:t>
      </w:r>
      <w:r w:rsidR="006329C7">
        <w:rPr>
          <w:rFonts w:ascii="Verdana" w:hAnsi="Verdana"/>
          <w:color w:val="1F497D"/>
          <w:sz w:val="18"/>
          <w:szCs w:val="18"/>
        </w:rPr>
        <w:t xml:space="preserve">kõrvaltoime, südamepuudulikkus, </w:t>
      </w:r>
      <w:r w:rsidRPr="00874CA4">
        <w:rPr>
          <w:rFonts w:ascii="Verdana" w:hAnsi="Verdana"/>
          <w:color w:val="1F497D"/>
          <w:sz w:val="18"/>
          <w:szCs w:val="18"/>
        </w:rPr>
        <w:t>aeg KVA esimese taastekkeni, siinusrütmi taastumine (</w:t>
      </w:r>
      <w:proofErr w:type="spellStart"/>
      <w:r w:rsidRPr="00874CA4">
        <w:rPr>
          <w:rFonts w:ascii="Verdana" w:hAnsi="Verdana"/>
          <w:color w:val="1F497D"/>
          <w:sz w:val="18"/>
          <w:szCs w:val="18"/>
        </w:rPr>
        <w:t>kardioversioonil</w:t>
      </w:r>
      <w:proofErr w:type="spellEnd"/>
      <w:r>
        <w:rPr>
          <w:rFonts w:ascii="Verdana" w:hAnsi="Verdana"/>
          <w:color w:val="1F497D"/>
          <w:sz w:val="18"/>
          <w:szCs w:val="18"/>
        </w:rPr>
        <w:t>), siinusrütmi püsimine 12 kuud</w:t>
      </w:r>
      <w:r w:rsidRPr="00874CA4">
        <w:rPr>
          <w:rFonts w:ascii="Verdana" w:hAnsi="Verdana"/>
          <w:color w:val="1F497D"/>
          <w:sz w:val="18"/>
          <w:szCs w:val="18"/>
        </w:rPr>
        <w:t>.</w:t>
      </w:r>
    </w:p>
    <w:p w:rsidR="00B63E99" w:rsidRDefault="00B63E99" w:rsidP="00B63E99">
      <w:pPr>
        <w:spacing w:after="120"/>
        <w:rPr>
          <w:rFonts w:ascii="Verdana" w:hAnsi="Verdana"/>
          <w:b/>
          <w:bCs/>
          <w:color w:val="1F497D"/>
          <w:sz w:val="18"/>
          <w:szCs w:val="18"/>
        </w:rPr>
      </w:pPr>
      <w:r w:rsidRPr="00CA7379">
        <w:rPr>
          <w:rFonts w:ascii="Verdana" w:hAnsi="Verdana"/>
          <w:b/>
          <w:bCs/>
          <w:color w:val="1F497D"/>
          <w:sz w:val="18"/>
          <w:szCs w:val="18"/>
        </w:rPr>
        <w:t>Kliinilise tõenduse kokkuvõte</w:t>
      </w:r>
    </w:p>
    <w:p w:rsidR="00134112" w:rsidRDefault="00A0705C" w:rsidP="009F558F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A0705C">
        <w:rPr>
          <w:rFonts w:ascii="Verdana" w:hAnsi="Verdana"/>
          <w:bCs/>
          <w:color w:val="1F497D"/>
          <w:sz w:val="18"/>
          <w:szCs w:val="18"/>
        </w:rPr>
        <w:t>„Tablett taskus“ (</w:t>
      </w:r>
      <w:proofErr w:type="spellStart"/>
      <w:r w:rsidRPr="00A0705C">
        <w:rPr>
          <w:rFonts w:ascii="Verdana" w:hAnsi="Verdana"/>
          <w:bCs/>
          <w:i/>
          <w:color w:val="1F497D"/>
          <w:sz w:val="18"/>
          <w:szCs w:val="18"/>
        </w:rPr>
        <w:t>Pill-in-the-pocket</w:t>
      </w:r>
      <w:proofErr w:type="spellEnd"/>
      <w:r w:rsidRPr="00A0705C">
        <w:rPr>
          <w:rFonts w:ascii="Verdana" w:hAnsi="Verdana"/>
          <w:bCs/>
          <w:color w:val="1F497D"/>
          <w:sz w:val="18"/>
          <w:szCs w:val="18"/>
        </w:rPr>
        <w:t xml:space="preserve">) on farmakoloogilise </w:t>
      </w:r>
      <w:proofErr w:type="spellStart"/>
      <w:r w:rsidRPr="00A0705C">
        <w:rPr>
          <w:rFonts w:ascii="Verdana" w:hAnsi="Verdana"/>
          <w:bCs/>
          <w:color w:val="1F497D"/>
          <w:sz w:val="18"/>
          <w:szCs w:val="18"/>
        </w:rPr>
        <w:t>kardioversiooni</w:t>
      </w:r>
      <w:proofErr w:type="spellEnd"/>
      <w:r w:rsidRPr="00A0705C">
        <w:rPr>
          <w:rFonts w:ascii="Verdana" w:hAnsi="Verdana"/>
          <w:bCs/>
          <w:color w:val="1F497D"/>
          <w:sz w:val="18"/>
          <w:szCs w:val="18"/>
        </w:rPr>
        <w:t xml:space="preserve"> viis, kus patsient kasutab varem kontrollitud tingimustes manustatuna efektiivseks ja ohutuks osutunud </w:t>
      </w:r>
      <w:proofErr w:type="spellStart"/>
      <w:r w:rsidRPr="00A0705C">
        <w:rPr>
          <w:rFonts w:ascii="Verdana" w:hAnsi="Verdana"/>
          <w:bCs/>
          <w:color w:val="1F497D"/>
          <w:sz w:val="18"/>
          <w:szCs w:val="18"/>
        </w:rPr>
        <w:t>antiarütmikumi</w:t>
      </w:r>
      <w:proofErr w:type="spellEnd"/>
      <w:r w:rsidRPr="00A0705C">
        <w:rPr>
          <w:rFonts w:ascii="Verdana" w:hAnsi="Verdana"/>
          <w:bCs/>
          <w:color w:val="1F497D"/>
          <w:sz w:val="18"/>
          <w:szCs w:val="18"/>
        </w:rPr>
        <w:t xml:space="preserve"> sümptomaatilise KVA tekkides kodus. </w:t>
      </w:r>
      <w:proofErr w:type="spellStart"/>
      <w:r w:rsidR="009208F0">
        <w:rPr>
          <w:rFonts w:ascii="Verdana" w:hAnsi="Verdana" w:cs="ArialMT"/>
          <w:color w:val="1F497D"/>
          <w:sz w:val="18"/>
          <w:szCs w:val="18"/>
          <w:lang w:eastAsia="en-US"/>
        </w:rPr>
        <w:t>Fleikainiidi</w:t>
      </w:r>
      <w:proofErr w:type="spellEnd"/>
      <w:r w:rsidR="009208F0">
        <w:rPr>
          <w:rFonts w:ascii="Verdana" w:hAnsi="Verdana" w:cs="ArialMT"/>
          <w:color w:val="1F497D"/>
          <w:sz w:val="18"/>
          <w:szCs w:val="18"/>
          <w:lang w:eastAsia="en-US"/>
        </w:rPr>
        <w:t xml:space="preserve"> ja </w:t>
      </w:r>
      <w:proofErr w:type="spellStart"/>
      <w:r w:rsidR="009208F0">
        <w:rPr>
          <w:rFonts w:ascii="Verdana" w:hAnsi="Verdana" w:cs="ArialMT"/>
          <w:color w:val="1F497D"/>
          <w:sz w:val="18"/>
          <w:szCs w:val="18"/>
          <w:lang w:eastAsia="en-US"/>
        </w:rPr>
        <w:t>propafenooni</w:t>
      </w:r>
      <w:proofErr w:type="spellEnd"/>
      <w:r w:rsidR="009208F0">
        <w:rPr>
          <w:rFonts w:ascii="Verdana" w:hAnsi="Verdana" w:cs="ArialMT"/>
          <w:color w:val="1F497D"/>
          <w:sz w:val="18"/>
          <w:szCs w:val="18"/>
          <w:lang w:eastAsia="en-US"/>
        </w:rPr>
        <w:t xml:space="preserve"> </w:t>
      </w:r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 xml:space="preserve"> efektiivsus </w:t>
      </w:r>
      <w:r w:rsidR="009208F0">
        <w:rPr>
          <w:rFonts w:ascii="Verdana" w:hAnsi="Verdana" w:cs="ArialMT"/>
          <w:color w:val="1F497D"/>
          <w:sz w:val="18"/>
          <w:szCs w:val="18"/>
          <w:lang w:eastAsia="en-US"/>
        </w:rPr>
        <w:t xml:space="preserve">hinnatakse olevat </w:t>
      </w:r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 xml:space="preserve">50 – 80%. </w:t>
      </w:r>
      <w:r w:rsidRPr="00A0705C">
        <w:rPr>
          <w:rFonts w:ascii="Verdana" w:hAnsi="Verdana"/>
          <w:bCs/>
          <w:color w:val="1F497D"/>
          <w:sz w:val="18"/>
          <w:szCs w:val="18"/>
        </w:rPr>
        <w:t xml:space="preserve">Enamasti peetakse vajalikus BBL või mitte-DHP KKB kasutamist enne </w:t>
      </w:r>
      <w:proofErr w:type="spellStart"/>
      <w:r w:rsidRPr="00A0705C">
        <w:rPr>
          <w:rFonts w:ascii="Verdana" w:hAnsi="Verdana"/>
          <w:bCs/>
          <w:color w:val="1F497D"/>
          <w:sz w:val="18"/>
          <w:szCs w:val="18"/>
        </w:rPr>
        <w:t>antiarütmikumi</w:t>
      </w:r>
      <w:proofErr w:type="spellEnd"/>
      <w:r w:rsidRPr="00A0705C">
        <w:rPr>
          <w:rFonts w:ascii="Verdana" w:hAnsi="Verdana"/>
          <w:bCs/>
          <w:color w:val="1F497D"/>
          <w:sz w:val="18"/>
          <w:szCs w:val="18"/>
        </w:rPr>
        <w:t xml:space="preserve"> (kui ei ole püsiravis). Antikoagulandi kasutamise juhised varieeruvad.</w:t>
      </w:r>
    </w:p>
    <w:p w:rsidR="009208F0" w:rsidRDefault="009208F0" w:rsidP="009F558F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>
        <w:rPr>
          <w:rFonts w:ascii="Verdana" w:hAnsi="Verdana"/>
          <w:bCs/>
          <w:color w:val="1F497D"/>
          <w:sz w:val="18"/>
          <w:szCs w:val="18"/>
        </w:rPr>
        <w:t>Hea kvaliteediga uuringud, kus erinevaid strateegiaid võrreldakse, ei ole.</w:t>
      </w:r>
    </w:p>
    <w:p w:rsidR="006329C7" w:rsidRPr="006329C7" w:rsidRDefault="006329C7" w:rsidP="006329C7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6329C7">
        <w:rPr>
          <w:rFonts w:ascii="Verdana" w:hAnsi="Verdana"/>
          <w:bCs/>
          <w:color w:val="1F497D"/>
          <w:sz w:val="18"/>
          <w:szCs w:val="18"/>
        </w:rPr>
        <w:t xml:space="preserve">Ühes uuringus leiti, et </w:t>
      </w:r>
      <w:proofErr w:type="spellStart"/>
      <w:r w:rsidRPr="006329C7">
        <w:rPr>
          <w:rFonts w:ascii="Verdana" w:hAnsi="Verdana"/>
          <w:bCs/>
          <w:color w:val="1F497D"/>
          <w:sz w:val="18"/>
          <w:szCs w:val="18"/>
        </w:rPr>
        <w:t>paroksüsmaalse</w:t>
      </w:r>
      <w:proofErr w:type="spellEnd"/>
      <w:r w:rsidRPr="006329C7">
        <w:rPr>
          <w:rFonts w:ascii="Verdana" w:hAnsi="Verdana"/>
          <w:bCs/>
          <w:color w:val="1F497D"/>
          <w:sz w:val="18"/>
          <w:szCs w:val="18"/>
        </w:rPr>
        <w:t xml:space="preserve"> KVA-ga patsientide puhul oli keskmine erakorralise ravi vajaduseks haiglasse pöördumiste ja hospitaliseerimiste hulk kuus “tablett taskus strateegia” puhul märkimisväärselt madalam, kui kasutati IC klassi </w:t>
      </w:r>
      <w:proofErr w:type="spellStart"/>
      <w:r w:rsidRPr="006329C7">
        <w:rPr>
          <w:rFonts w:ascii="Verdana" w:hAnsi="Verdana"/>
          <w:bCs/>
          <w:color w:val="1F497D"/>
          <w:sz w:val="18"/>
          <w:szCs w:val="18"/>
        </w:rPr>
        <w:t>antiarütmikume</w:t>
      </w:r>
      <w:proofErr w:type="spellEnd"/>
      <w:r w:rsidRPr="006329C7">
        <w:rPr>
          <w:rFonts w:ascii="Verdana" w:hAnsi="Verdana"/>
          <w:bCs/>
          <w:color w:val="1F497D"/>
          <w:sz w:val="18"/>
          <w:szCs w:val="18"/>
        </w:rPr>
        <w:t>. Erakorralise meditsiini</w:t>
      </w:r>
      <w:r w:rsidR="009208F0">
        <w:rPr>
          <w:rFonts w:ascii="Verdana" w:hAnsi="Verdana"/>
          <w:bCs/>
          <w:color w:val="1F497D"/>
          <w:sz w:val="18"/>
          <w:szCs w:val="18"/>
        </w:rPr>
        <w:t xml:space="preserve"> </w:t>
      </w:r>
      <w:r w:rsidRPr="006329C7">
        <w:rPr>
          <w:rFonts w:ascii="Verdana" w:hAnsi="Verdana"/>
          <w:bCs/>
          <w:color w:val="1F497D"/>
          <w:sz w:val="18"/>
          <w:szCs w:val="18"/>
        </w:rPr>
        <w:t>osakonna visiite ja hospitaliseerimisis oli uurimisperioodi ajal märkimisväärselt vähem</w:t>
      </w:r>
      <w:r w:rsidR="009208F0">
        <w:rPr>
          <w:rFonts w:ascii="Verdana" w:hAnsi="Verdana"/>
          <w:bCs/>
          <w:color w:val="1F497D"/>
          <w:sz w:val="18"/>
          <w:szCs w:val="18"/>
        </w:rPr>
        <w:t>,</w:t>
      </w:r>
      <w:r w:rsidRPr="006329C7">
        <w:rPr>
          <w:rFonts w:ascii="Verdana" w:hAnsi="Verdana"/>
          <w:bCs/>
          <w:color w:val="1F497D"/>
          <w:sz w:val="18"/>
          <w:szCs w:val="18"/>
        </w:rPr>
        <w:t xml:space="preserve">  võrrelduna uuringus osalemise eelse </w:t>
      </w:r>
      <w:r w:rsidR="009208F0">
        <w:rPr>
          <w:rFonts w:ascii="Verdana" w:hAnsi="Verdana"/>
          <w:bCs/>
          <w:color w:val="1F497D"/>
          <w:sz w:val="18"/>
          <w:szCs w:val="18"/>
        </w:rPr>
        <w:t>aastaga</w:t>
      </w:r>
      <w:r w:rsidRPr="006329C7">
        <w:rPr>
          <w:rFonts w:ascii="Verdana" w:hAnsi="Verdana"/>
          <w:bCs/>
          <w:color w:val="1F497D"/>
          <w:sz w:val="18"/>
          <w:szCs w:val="18"/>
        </w:rPr>
        <w:t>. Uuringus osalenud 165 patsiendil (79%) oli kokku 618 arütmiaepisoodi, millest 569 episoodi (92%)  lahenes 36±93 minuti jooksul peale sümptomite teket. Keskmine jälgimisa</w:t>
      </w:r>
      <w:r w:rsidR="009208F0">
        <w:rPr>
          <w:rFonts w:ascii="Verdana" w:hAnsi="Verdana"/>
          <w:bCs/>
          <w:color w:val="1F497D"/>
          <w:sz w:val="18"/>
          <w:szCs w:val="18"/>
        </w:rPr>
        <w:t>eg antud uuringus oli 15±5 kuud.</w:t>
      </w:r>
      <w:r w:rsidRPr="006329C7">
        <w:rPr>
          <w:rFonts w:ascii="Verdana" w:hAnsi="Verdana"/>
          <w:bCs/>
          <w:color w:val="1F497D"/>
          <w:sz w:val="18"/>
          <w:szCs w:val="18"/>
        </w:rPr>
        <w:t xml:space="preserve"> Ravi oli edukas 534 episoodi puhul (94%) ja aeg sümptomite kadumiseni oli 113 ± 84  minutit. Ravi oli efektiivne 139 patsiendi arütmiahoo puhul (84%). Kõrvaltoimeid esines ühe või mitme arütmiaepisoodi ajal 12-l patsiendil (7%), k.a. kodade laperdust (1 patsiendil) ja </w:t>
      </w:r>
      <w:proofErr w:type="spellStart"/>
      <w:r w:rsidRPr="006329C7">
        <w:rPr>
          <w:rFonts w:ascii="Verdana" w:hAnsi="Verdana"/>
          <w:bCs/>
          <w:color w:val="1F497D"/>
          <w:sz w:val="18"/>
          <w:szCs w:val="18"/>
        </w:rPr>
        <w:t>mittekardiaalseid</w:t>
      </w:r>
      <w:proofErr w:type="spellEnd"/>
      <w:r w:rsidRPr="006329C7">
        <w:rPr>
          <w:rFonts w:ascii="Verdana" w:hAnsi="Verdana"/>
          <w:bCs/>
          <w:color w:val="1F497D"/>
          <w:sz w:val="18"/>
          <w:szCs w:val="18"/>
        </w:rPr>
        <w:t xml:space="preserve"> kõrvaltoimeid (11 patsiendil). Osalenud patsiendid olid 18-75 aastat vanad, vasaku vatsakese väljutusfraktsioon oli suurem kui 50%, anamneesis ei olnud rasket südamehaigust, süstoolne vererõhk on kõrgem kui 100mmHg ja südame löögisagedus on suurem kui 70 lööki minutis. Kasutati </w:t>
      </w:r>
      <w:proofErr w:type="spellStart"/>
      <w:r w:rsidRPr="006329C7">
        <w:rPr>
          <w:rFonts w:ascii="Verdana" w:hAnsi="Verdana"/>
          <w:bCs/>
          <w:color w:val="1F497D"/>
          <w:sz w:val="18"/>
          <w:szCs w:val="18"/>
        </w:rPr>
        <w:t>flekainiid</w:t>
      </w:r>
      <w:proofErr w:type="spellEnd"/>
      <w:r w:rsidRPr="006329C7">
        <w:rPr>
          <w:rFonts w:ascii="Verdana" w:hAnsi="Verdana"/>
          <w:bCs/>
          <w:color w:val="1F497D"/>
          <w:sz w:val="18"/>
          <w:szCs w:val="18"/>
        </w:rPr>
        <w:t xml:space="preserve"> ja </w:t>
      </w:r>
      <w:proofErr w:type="spellStart"/>
      <w:r w:rsidRPr="006329C7">
        <w:rPr>
          <w:rFonts w:ascii="Verdana" w:hAnsi="Verdana"/>
          <w:bCs/>
          <w:color w:val="1F497D"/>
          <w:sz w:val="18"/>
          <w:szCs w:val="18"/>
        </w:rPr>
        <w:t>propafenooni</w:t>
      </w:r>
      <w:proofErr w:type="spellEnd"/>
      <w:r w:rsidRPr="006329C7">
        <w:rPr>
          <w:rFonts w:ascii="Verdana" w:hAnsi="Verdana"/>
          <w:bCs/>
          <w:color w:val="1F497D"/>
          <w:sz w:val="18"/>
          <w:szCs w:val="18"/>
        </w:rPr>
        <w:t xml:space="preserve">.  </w:t>
      </w:r>
    </w:p>
    <w:p w:rsidR="006329C7" w:rsidRDefault="006329C7" w:rsidP="006329C7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6329C7">
        <w:rPr>
          <w:rFonts w:ascii="Verdana" w:hAnsi="Verdana"/>
          <w:bCs/>
          <w:color w:val="1F497D"/>
          <w:sz w:val="18"/>
          <w:szCs w:val="18"/>
        </w:rPr>
        <w:t xml:space="preserve">Teises uuringus kasutati kumulatiivset </w:t>
      </w:r>
      <w:proofErr w:type="spellStart"/>
      <w:r w:rsidRPr="006329C7">
        <w:rPr>
          <w:rFonts w:ascii="Verdana" w:hAnsi="Verdana"/>
          <w:bCs/>
          <w:color w:val="1F497D"/>
          <w:sz w:val="18"/>
          <w:szCs w:val="18"/>
        </w:rPr>
        <w:t>proafenooni</w:t>
      </w:r>
      <w:proofErr w:type="spellEnd"/>
      <w:r w:rsidRPr="006329C7">
        <w:rPr>
          <w:rFonts w:ascii="Verdana" w:hAnsi="Verdana"/>
          <w:bCs/>
          <w:color w:val="1F497D"/>
          <w:sz w:val="18"/>
          <w:szCs w:val="18"/>
        </w:rPr>
        <w:t xml:space="preserve"> 600mg suukaudselt ja leiti, et see on ohutu ja efektiivne 56-83% juhtudel sõltudes KVA kestvusest ja jälgimisperioodi pikkusest.</w:t>
      </w:r>
    </w:p>
    <w:p w:rsidR="00691E14" w:rsidRDefault="00691E14" w:rsidP="006329C7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>
        <w:rPr>
          <w:rFonts w:ascii="Verdana" w:hAnsi="Verdana"/>
          <w:bCs/>
          <w:color w:val="1F497D"/>
          <w:sz w:val="18"/>
          <w:szCs w:val="18"/>
        </w:rPr>
        <w:t xml:space="preserve">Ühes süstemaatilises tõhususe ja kulutõhususe ülevaates ja </w:t>
      </w:r>
      <w:r w:rsidR="009208F0">
        <w:rPr>
          <w:rFonts w:ascii="Verdana" w:hAnsi="Verdana"/>
          <w:bCs/>
          <w:color w:val="1F497D"/>
          <w:sz w:val="18"/>
          <w:szCs w:val="18"/>
        </w:rPr>
        <w:t xml:space="preserve">modelleeritud </w:t>
      </w:r>
      <w:r>
        <w:rPr>
          <w:rFonts w:ascii="Verdana" w:hAnsi="Verdana"/>
          <w:bCs/>
          <w:color w:val="1F497D"/>
          <w:sz w:val="18"/>
          <w:szCs w:val="18"/>
        </w:rPr>
        <w:t>analüüsis</w:t>
      </w:r>
      <w:r>
        <w:rPr>
          <w:rStyle w:val="FootnoteReference"/>
          <w:rFonts w:ascii="Verdana" w:hAnsi="Verdana"/>
          <w:bCs/>
          <w:color w:val="1F497D"/>
          <w:sz w:val="18"/>
          <w:szCs w:val="18"/>
        </w:rPr>
        <w:footnoteReference w:id="1"/>
      </w:r>
      <w:r>
        <w:rPr>
          <w:rFonts w:ascii="Verdana" w:hAnsi="Verdana"/>
          <w:bCs/>
          <w:color w:val="1F497D"/>
          <w:sz w:val="18"/>
          <w:szCs w:val="18"/>
        </w:rPr>
        <w:t xml:space="preserve"> tundus „tablett taskus“ strateegia, kasutades </w:t>
      </w:r>
      <w:proofErr w:type="spellStart"/>
      <w:r>
        <w:rPr>
          <w:rFonts w:ascii="Verdana" w:hAnsi="Verdana"/>
          <w:bCs/>
          <w:color w:val="1F497D"/>
          <w:sz w:val="18"/>
          <w:szCs w:val="18"/>
        </w:rPr>
        <w:t>flekainiidi</w:t>
      </w:r>
      <w:proofErr w:type="spellEnd"/>
      <w:r>
        <w:rPr>
          <w:rFonts w:ascii="Verdana" w:hAnsi="Verdana"/>
          <w:bCs/>
          <w:color w:val="1F497D"/>
          <w:sz w:val="18"/>
          <w:szCs w:val="18"/>
        </w:rPr>
        <w:t xml:space="preserve"> või </w:t>
      </w:r>
      <w:proofErr w:type="spellStart"/>
      <w:r>
        <w:rPr>
          <w:rFonts w:ascii="Verdana" w:hAnsi="Verdana"/>
          <w:bCs/>
          <w:color w:val="1F497D"/>
          <w:sz w:val="18"/>
          <w:szCs w:val="18"/>
        </w:rPr>
        <w:t>propafenooni</w:t>
      </w:r>
      <w:proofErr w:type="spellEnd"/>
      <w:r>
        <w:rPr>
          <w:rFonts w:ascii="Verdana" w:hAnsi="Verdana"/>
          <w:bCs/>
          <w:color w:val="1F497D"/>
          <w:sz w:val="18"/>
          <w:szCs w:val="18"/>
        </w:rPr>
        <w:t>, olevat marginaalselt vähem efektiivne kui siinusrütmi taastamine haiglas või pidev siinusrütmi säilitav ravi (vähem QALY-sid), ent ka odavam. Viidati ka, et patsiendid võivad seda eelistada.</w:t>
      </w:r>
    </w:p>
    <w:p w:rsidR="00F30092" w:rsidRPr="00CA7379" w:rsidRDefault="00A92F11" w:rsidP="00B63E99">
      <w:pPr>
        <w:shd w:val="clear" w:color="auto" w:fill="FFFFFF"/>
        <w:spacing w:after="120"/>
        <w:ind w:right="238"/>
        <w:rPr>
          <w:rFonts w:ascii="Verdana" w:hAnsi="Verdana" w:cs="Arial"/>
          <w:b/>
          <w:color w:val="1F497D"/>
          <w:sz w:val="18"/>
          <w:szCs w:val="18"/>
        </w:rPr>
      </w:pPr>
      <w:r w:rsidRPr="00CA7379">
        <w:rPr>
          <w:rFonts w:ascii="Verdana" w:hAnsi="Verdana" w:cs="Arial"/>
          <w:b/>
          <w:color w:val="1F497D"/>
          <w:sz w:val="18"/>
          <w:szCs w:val="18"/>
        </w:rPr>
        <w:t>Teiste</w:t>
      </w:r>
      <w:r w:rsidR="002C0E7F" w:rsidRPr="00CA7379">
        <w:rPr>
          <w:rFonts w:ascii="Verdana" w:hAnsi="Verdana" w:cs="Arial"/>
          <w:b/>
          <w:color w:val="1F497D"/>
          <w:sz w:val="18"/>
          <w:szCs w:val="18"/>
        </w:rPr>
        <w:t xml:space="preserve"> ravijuhendite soovitus</w:t>
      </w:r>
      <w:r w:rsidRPr="00CA7379">
        <w:rPr>
          <w:rFonts w:ascii="Verdana" w:hAnsi="Verdana" w:cs="Arial"/>
          <w:b/>
          <w:color w:val="1F497D"/>
          <w:sz w:val="18"/>
          <w:szCs w:val="18"/>
        </w:rPr>
        <w:t>ed s</w:t>
      </w:r>
      <w:r w:rsidR="002C0E7F" w:rsidRPr="00CA7379">
        <w:rPr>
          <w:rFonts w:ascii="Verdana" w:hAnsi="Verdana" w:cs="Arial"/>
          <w:b/>
          <w:color w:val="1F497D"/>
          <w:sz w:val="18"/>
          <w:szCs w:val="18"/>
        </w:rPr>
        <w:t>amal teemal</w:t>
      </w:r>
    </w:p>
    <w:p w:rsidR="00DE70EE" w:rsidRPr="00CA7379" w:rsidRDefault="000706EC" w:rsidP="00D41D3A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AHA 2014</w:t>
      </w:r>
      <w:r w:rsidR="00F802D0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  <w:r w:rsidR="00A92F11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juhend</w:t>
      </w:r>
      <w:r w:rsidR="00F802D0" w:rsidRPr="00CA7379">
        <w:rPr>
          <w:rFonts w:ascii="Verdana" w:hAnsi="Verdana" w:cs="ArialMT"/>
          <w:color w:val="1F497D"/>
          <w:sz w:val="18"/>
          <w:szCs w:val="18"/>
          <w:lang w:eastAsia="en-US"/>
        </w:rPr>
        <w:t xml:space="preserve"> </w:t>
      </w:r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 xml:space="preserve">soovitab kasutada </w:t>
      </w:r>
      <w:proofErr w:type="spellStart"/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>propafenooni</w:t>
      </w:r>
      <w:proofErr w:type="spellEnd"/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 xml:space="preserve"> või </w:t>
      </w:r>
      <w:proofErr w:type="spellStart"/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>flekainiidi</w:t>
      </w:r>
      <w:proofErr w:type="spellEnd"/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 xml:space="preserve"> KVA hoo lõpetamiseks ambulatoorsel patsiendil, kellel on eelnevalt </w:t>
      </w:r>
      <w:proofErr w:type="spellStart"/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>monitooritud</w:t>
      </w:r>
      <w:proofErr w:type="spellEnd"/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 xml:space="preserve"> tingimustes ohutus kindlaks tehtud (</w:t>
      </w:r>
      <w:proofErr w:type="spellStart"/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>IIa</w:t>
      </w:r>
      <w:proofErr w:type="spellEnd"/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 xml:space="preserve">, B). &gt; 30 minutit enne </w:t>
      </w:r>
      <w:proofErr w:type="spellStart"/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>Ic</w:t>
      </w:r>
      <w:proofErr w:type="spellEnd"/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 xml:space="preserve"> klassi </w:t>
      </w:r>
      <w:proofErr w:type="spellStart"/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>antiarütmikumi</w:t>
      </w:r>
      <w:proofErr w:type="spellEnd"/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 xml:space="preserve"> sissevõtmist tuleb võtta </w:t>
      </w:r>
      <w:proofErr w:type="spellStart"/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>beetablokaatorit</w:t>
      </w:r>
      <w:proofErr w:type="spellEnd"/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 xml:space="preserve"> või </w:t>
      </w:r>
      <w:proofErr w:type="spellStart"/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>mittedihüdropüridiinrü</w:t>
      </w:r>
      <w:r w:rsidR="009208F0">
        <w:rPr>
          <w:rFonts w:ascii="Verdana" w:hAnsi="Verdana" w:cs="ArialMT"/>
          <w:color w:val="1F497D"/>
          <w:sz w:val="18"/>
          <w:szCs w:val="18"/>
          <w:lang w:eastAsia="en-US"/>
        </w:rPr>
        <w:t>hma</w:t>
      </w:r>
      <w:proofErr w:type="spellEnd"/>
      <w:r w:rsidR="009208F0">
        <w:rPr>
          <w:rFonts w:ascii="Verdana" w:hAnsi="Verdana" w:cs="ArialMT"/>
          <w:color w:val="1F497D"/>
          <w:sz w:val="18"/>
          <w:szCs w:val="18"/>
          <w:lang w:eastAsia="en-US"/>
        </w:rPr>
        <w:t xml:space="preserve"> kaltsiumkanali antagonisti.</w:t>
      </w:r>
    </w:p>
    <w:p w:rsidR="009208F0" w:rsidRPr="00A0705C" w:rsidRDefault="00E05442" w:rsidP="009208F0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Kanada ravijuhend</w:t>
      </w:r>
      <w:r w:rsidR="00F30092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>soovitab kasutada</w:t>
      </w:r>
      <w:r w:rsidR="009208F0">
        <w:rPr>
          <w:rFonts w:ascii="Verdana" w:hAnsi="Verdana" w:cs="ArialMT"/>
          <w:color w:val="1F497D"/>
          <w:sz w:val="18"/>
          <w:szCs w:val="18"/>
          <w:lang w:eastAsia="en-US"/>
        </w:rPr>
        <w:t xml:space="preserve"> </w:t>
      </w:r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>“</w:t>
      </w:r>
      <w:r w:rsidR="009208F0" w:rsidRPr="009208F0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pill </w:t>
      </w:r>
      <w:proofErr w:type="spellStart"/>
      <w:r w:rsidR="009208F0" w:rsidRPr="009208F0">
        <w:rPr>
          <w:rFonts w:ascii="Verdana" w:hAnsi="Verdana" w:cs="ArialMT"/>
          <w:i/>
          <w:color w:val="1F497D"/>
          <w:sz w:val="18"/>
          <w:szCs w:val="18"/>
          <w:lang w:eastAsia="en-US"/>
        </w:rPr>
        <w:t>in</w:t>
      </w:r>
      <w:proofErr w:type="spellEnd"/>
      <w:r w:rsidR="009208F0" w:rsidRPr="009208F0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="009208F0" w:rsidRPr="009208F0">
        <w:rPr>
          <w:rFonts w:ascii="Verdana" w:hAnsi="Verdana" w:cs="ArialMT"/>
          <w:i/>
          <w:color w:val="1F497D"/>
          <w:sz w:val="18"/>
          <w:szCs w:val="18"/>
          <w:lang w:eastAsia="en-US"/>
        </w:rPr>
        <w:t>the</w:t>
      </w:r>
      <w:proofErr w:type="spellEnd"/>
      <w:r w:rsidR="009208F0" w:rsidRPr="009208F0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="009208F0" w:rsidRPr="009208F0">
        <w:rPr>
          <w:rFonts w:ascii="Verdana" w:hAnsi="Verdana" w:cs="ArialMT"/>
          <w:i/>
          <w:color w:val="1F497D"/>
          <w:sz w:val="18"/>
          <w:szCs w:val="18"/>
          <w:lang w:eastAsia="en-US"/>
        </w:rPr>
        <w:t>pocket</w:t>
      </w:r>
      <w:proofErr w:type="spellEnd"/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>” strateegiat sümptomaatiliste</w:t>
      </w:r>
      <w:r w:rsidR="009208F0">
        <w:rPr>
          <w:rFonts w:ascii="Verdana" w:hAnsi="Verdana" w:cs="ArialMT"/>
          <w:color w:val="1F497D"/>
          <w:sz w:val="18"/>
          <w:szCs w:val="18"/>
          <w:lang w:eastAsia="en-US"/>
        </w:rPr>
        <w:t>l</w:t>
      </w:r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 xml:space="preserve"> patsientidel, kellel esinevad harvad, kuid pikalt kestvad KVA või KLA episoodid alternatiivina igapäevasele antiarütmilisele ravile (tugev soovitus, mõõduka kvaliteediga tõendus).</w:t>
      </w:r>
    </w:p>
    <w:p w:rsidR="00B63E99" w:rsidRPr="00CA7379" w:rsidRDefault="002C0E7F" w:rsidP="00B63E99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ESC</w:t>
      </w:r>
      <w:r w:rsidR="00A57790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2016</w:t>
      </w:r>
      <w:r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  <w:r w:rsidR="00B63E99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ravijuhend</w:t>
      </w:r>
      <w:r w:rsidR="00F30092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  <w:r w:rsidR="009208F0" w:rsidRPr="009208F0">
        <w:rPr>
          <w:rFonts w:ascii="Verdana" w:hAnsi="Verdana" w:cs="ArialMT"/>
          <w:color w:val="1F497D"/>
          <w:sz w:val="18"/>
          <w:szCs w:val="18"/>
          <w:lang w:eastAsia="en-US"/>
        </w:rPr>
        <w:t xml:space="preserve">soovitab kasutada ühekordse suukaudse annusena </w:t>
      </w:r>
      <w:proofErr w:type="spellStart"/>
      <w:r w:rsidR="009208F0" w:rsidRPr="009208F0">
        <w:rPr>
          <w:rFonts w:ascii="Verdana" w:hAnsi="Verdana" w:cs="ArialMT"/>
          <w:color w:val="1F497D"/>
          <w:sz w:val="18"/>
          <w:szCs w:val="18"/>
          <w:lang w:eastAsia="en-US"/>
        </w:rPr>
        <w:t>propafenooni</w:t>
      </w:r>
      <w:proofErr w:type="spellEnd"/>
      <w:r w:rsidR="009208F0" w:rsidRPr="009208F0">
        <w:rPr>
          <w:rFonts w:ascii="Verdana" w:hAnsi="Verdana" w:cs="ArialMT"/>
          <w:color w:val="1F497D"/>
          <w:sz w:val="18"/>
          <w:szCs w:val="18"/>
          <w:lang w:eastAsia="en-US"/>
        </w:rPr>
        <w:t xml:space="preserve"> (450-600mg) või </w:t>
      </w:r>
      <w:proofErr w:type="spellStart"/>
      <w:r w:rsidR="009208F0" w:rsidRPr="009208F0">
        <w:rPr>
          <w:rFonts w:ascii="Verdana" w:hAnsi="Verdana" w:cs="ArialMT"/>
          <w:color w:val="1F497D"/>
          <w:sz w:val="18"/>
          <w:szCs w:val="18"/>
          <w:lang w:eastAsia="en-US"/>
        </w:rPr>
        <w:t>flekaiini</w:t>
      </w:r>
      <w:proofErr w:type="spellEnd"/>
      <w:r w:rsidR="009208F0" w:rsidRPr="009208F0">
        <w:rPr>
          <w:rFonts w:ascii="Verdana" w:hAnsi="Verdana" w:cs="ArialMT"/>
          <w:color w:val="1F497D"/>
          <w:sz w:val="18"/>
          <w:szCs w:val="18"/>
          <w:lang w:eastAsia="en-US"/>
        </w:rPr>
        <w:t xml:space="preserve"> (200-300mg) KVA hoo lõpetamiseks ambulatoorsel patsiendil, kellel on eelnevalt </w:t>
      </w:r>
      <w:proofErr w:type="spellStart"/>
      <w:r w:rsidR="009208F0" w:rsidRPr="009208F0">
        <w:rPr>
          <w:rFonts w:ascii="Verdana" w:hAnsi="Verdana" w:cs="ArialMT"/>
          <w:color w:val="1F497D"/>
          <w:sz w:val="18"/>
          <w:szCs w:val="18"/>
          <w:lang w:eastAsia="en-US"/>
        </w:rPr>
        <w:t>monitooritud</w:t>
      </w:r>
      <w:proofErr w:type="spellEnd"/>
      <w:r w:rsidR="009208F0" w:rsidRPr="009208F0">
        <w:rPr>
          <w:rFonts w:ascii="Verdana" w:hAnsi="Verdana" w:cs="ArialMT"/>
          <w:color w:val="1F497D"/>
          <w:sz w:val="18"/>
          <w:szCs w:val="18"/>
          <w:lang w:eastAsia="en-US"/>
        </w:rPr>
        <w:t xml:space="preserve"> tingimustes ohutus kindlaks tehtud.</w:t>
      </w:r>
      <w:r w:rsidR="009208F0" w:rsidRPr="009208F0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</w:p>
    <w:p w:rsidR="00B63E99" w:rsidRPr="00CA7379" w:rsidRDefault="002C0E7F" w:rsidP="00B63E99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lastRenderedPageBreak/>
        <w:t>N</w:t>
      </w:r>
      <w:r w:rsidR="00F3677D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ICE</w:t>
      </w:r>
      <w:r w:rsidR="00B63E99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  <w:r w:rsidR="00DE70EE" w:rsidRPr="00D41D3A">
        <w:rPr>
          <w:rFonts w:ascii="Verdana" w:hAnsi="Verdana" w:cs="ArialMT"/>
          <w:b/>
          <w:color w:val="1F497D"/>
          <w:sz w:val="18"/>
          <w:szCs w:val="18"/>
          <w:lang w:eastAsia="en-US"/>
        </w:rPr>
        <w:t>ravijuhend</w:t>
      </w:r>
      <w:r w:rsidR="00F3677D" w:rsidRPr="00CA7379">
        <w:rPr>
          <w:rFonts w:ascii="Verdana" w:hAnsi="Verdana" w:cs="ArialMT"/>
          <w:color w:val="1F497D"/>
          <w:sz w:val="18"/>
          <w:szCs w:val="18"/>
          <w:lang w:eastAsia="en-US"/>
        </w:rPr>
        <w:t xml:space="preserve"> </w:t>
      </w:r>
      <w:r w:rsidR="009208F0">
        <w:rPr>
          <w:rFonts w:ascii="Verdana" w:hAnsi="Verdana" w:cs="ArialMT"/>
          <w:color w:val="1F497D"/>
          <w:sz w:val="18"/>
          <w:szCs w:val="18"/>
          <w:lang w:eastAsia="en-US"/>
        </w:rPr>
        <w:t xml:space="preserve">soovitab „pill </w:t>
      </w:r>
      <w:proofErr w:type="spellStart"/>
      <w:r w:rsidR="009208F0">
        <w:rPr>
          <w:rFonts w:ascii="Verdana" w:hAnsi="Verdana" w:cs="ArialMT"/>
          <w:color w:val="1F497D"/>
          <w:sz w:val="18"/>
          <w:szCs w:val="18"/>
          <w:lang w:eastAsia="en-US"/>
        </w:rPr>
        <w:t>in</w:t>
      </w:r>
      <w:proofErr w:type="spellEnd"/>
      <w:r w:rsidR="009208F0">
        <w:rPr>
          <w:rFonts w:ascii="Verdana" w:hAnsi="Verdana" w:cs="ArialMT"/>
          <w:color w:val="1F497D"/>
          <w:sz w:val="18"/>
          <w:szCs w:val="18"/>
          <w:lang w:eastAsia="en-US"/>
        </w:rPr>
        <w:t xml:space="preserve"> </w:t>
      </w:r>
      <w:proofErr w:type="spellStart"/>
      <w:r w:rsidR="009208F0">
        <w:rPr>
          <w:rFonts w:ascii="Verdana" w:hAnsi="Verdana" w:cs="ArialMT"/>
          <w:color w:val="1F497D"/>
          <w:sz w:val="18"/>
          <w:szCs w:val="18"/>
          <w:lang w:eastAsia="en-US"/>
        </w:rPr>
        <w:t>the</w:t>
      </w:r>
      <w:proofErr w:type="spellEnd"/>
      <w:r w:rsidR="009208F0">
        <w:rPr>
          <w:rFonts w:ascii="Verdana" w:hAnsi="Verdana" w:cs="ArialMT"/>
          <w:color w:val="1F497D"/>
          <w:sz w:val="18"/>
          <w:szCs w:val="18"/>
          <w:lang w:eastAsia="en-US"/>
        </w:rPr>
        <w:t xml:space="preserve"> </w:t>
      </w:r>
      <w:proofErr w:type="spellStart"/>
      <w:r w:rsidR="009208F0">
        <w:rPr>
          <w:rFonts w:ascii="Verdana" w:hAnsi="Verdana" w:cs="ArialMT"/>
          <w:color w:val="1F497D"/>
          <w:sz w:val="18"/>
          <w:szCs w:val="18"/>
          <w:lang w:eastAsia="en-US"/>
        </w:rPr>
        <w:t>pocket</w:t>
      </w:r>
      <w:proofErr w:type="spellEnd"/>
      <w:r w:rsidR="009208F0">
        <w:rPr>
          <w:rFonts w:ascii="Verdana" w:hAnsi="Verdana" w:cs="ArialMT"/>
          <w:color w:val="1F497D"/>
          <w:sz w:val="18"/>
          <w:szCs w:val="18"/>
          <w:lang w:eastAsia="en-US"/>
        </w:rPr>
        <w:t xml:space="preserve">“ strateegiat patsientidel, </w:t>
      </w:r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 xml:space="preserve">kellel ei ole anamneesis vasaku vatsakese </w:t>
      </w:r>
      <w:proofErr w:type="spellStart"/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>düsfunktsiooni</w:t>
      </w:r>
      <w:proofErr w:type="spellEnd"/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 xml:space="preserve">, klapiriket ega südame isheemiatõbe ja kellel on anamneesis </w:t>
      </w:r>
      <w:proofErr w:type="spellStart"/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>harvaesienvad</w:t>
      </w:r>
      <w:proofErr w:type="spellEnd"/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 xml:space="preserve"> </w:t>
      </w:r>
      <w:proofErr w:type="spellStart"/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>paroksüsmaalse</w:t>
      </w:r>
      <w:proofErr w:type="spellEnd"/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 xml:space="preserve"> </w:t>
      </w:r>
      <w:bookmarkStart w:id="0" w:name="_GoBack"/>
      <w:bookmarkEnd w:id="0"/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 xml:space="preserve">KVA episoodid ja kellel süstoolne vererõhk on kõrgem kui 100 </w:t>
      </w:r>
      <w:proofErr w:type="spellStart"/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>mmHg</w:t>
      </w:r>
      <w:proofErr w:type="spellEnd"/>
      <w:r w:rsidR="009208F0" w:rsidRPr="00A0705C">
        <w:rPr>
          <w:rFonts w:ascii="Verdana" w:hAnsi="Verdana" w:cs="ArialMT"/>
          <w:color w:val="1F497D"/>
          <w:sz w:val="18"/>
          <w:szCs w:val="18"/>
          <w:lang w:eastAsia="en-US"/>
        </w:rPr>
        <w:t xml:space="preserve"> ja rahuloleku südamesagedus on rohkem kui 70 lööki minutis ja kes saavad aru, kuidas ja millal tuleb ravimit võtta.</w:t>
      </w:r>
    </w:p>
    <w:p w:rsidR="003B0510" w:rsidRDefault="00F3677D" w:rsidP="00B63E99">
      <w:pPr>
        <w:shd w:val="clear" w:color="auto" w:fill="FFFFFF"/>
        <w:spacing w:after="120"/>
        <w:ind w:right="238"/>
        <w:jc w:val="both"/>
        <w:rPr>
          <w:rFonts w:ascii="Verdana" w:hAnsi="Verdana" w:cs="ArialMT"/>
          <w:b/>
          <w:color w:val="1F497D"/>
          <w:sz w:val="18"/>
          <w:szCs w:val="18"/>
          <w:lang w:eastAsia="en-US"/>
        </w:rPr>
      </w:pPr>
      <w:r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Soome</w:t>
      </w:r>
      <w:r w:rsidR="00B63E99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ravijuhend</w:t>
      </w:r>
      <w:r w:rsidR="00A65437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  <w:r w:rsidR="009208F0" w:rsidRPr="009208F0">
        <w:rPr>
          <w:rFonts w:ascii="Verdana" w:hAnsi="Verdana" w:cs="ArialMT"/>
          <w:color w:val="1F497D"/>
          <w:sz w:val="18"/>
          <w:szCs w:val="18"/>
          <w:lang w:eastAsia="en-US"/>
        </w:rPr>
        <w:t xml:space="preserve">soovitab kasutada ühekordse suukaudse annusena </w:t>
      </w:r>
      <w:proofErr w:type="spellStart"/>
      <w:r w:rsidR="009208F0" w:rsidRPr="009208F0">
        <w:rPr>
          <w:rFonts w:ascii="Verdana" w:hAnsi="Verdana" w:cs="ArialMT"/>
          <w:color w:val="1F497D"/>
          <w:sz w:val="18"/>
          <w:szCs w:val="18"/>
          <w:lang w:eastAsia="en-US"/>
        </w:rPr>
        <w:t>propafenooni</w:t>
      </w:r>
      <w:proofErr w:type="spellEnd"/>
      <w:r w:rsidR="009208F0" w:rsidRPr="009208F0">
        <w:rPr>
          <w:rFonts w:ascii="Verdana" w:hAnsi="Verdana" w:cs="ArialMT"/>
          <w:color w:val="1F497D"/>
          <w:sz w:val="18"/>
          <w:szCs w:val="18"/>
          <w:lang w:eastAsia="en-US"/>
        </w:rPr>
        <w:t xml:space="preserve"> (450-600mg) või </w:t>
      </w:r>
      <w:proofErr w:type="spellStart"/>
      <w:r w:rsidR="009208F0" w:rsidRPr="009208F0">
        <w:rPr>
          <w:rFonts w:ascii="Verdana" w:hAnsi="Verdana" w:cs="ArialMT"/>
          <w:color w:val="1F497D"/>
          <w:sz w:val="18"/>
          <w:szCs w:val="18"/>
          <w:lang w:eastAsia="en-US"/>
        </w:rPr>
        <w:t>flekaiini</w:t>
      </w:r>
      <w:proofErr w:type="spellEnd"/>
      <w:r w:rsidR="009208F0" w:rsidRPr="009208F0">
        <w:rPr>
          <w:rFonts w:ascii="Verdana" w:hAnsi="Verdana" w:cs="ArialMT"/>
          <w:color w:val="1F497D"/>
          <w:sz w:val="18"/>
          <w:szCs w:val="18"/>
          <w:lang w:eastAsia="en-US"/>
        </w:rPr>
        <w:t xml:space="preserve"> (200-300mg) KVA hoo lõpetamiseks ambulatoorsel patsiendil, kellel on eelnevalt </w:t>
      </w:r>
      <w:proofErr w:type="spellStart"/>
      <w:r w:rsidR="009208F0" w:rsidRPr="009208F0">
        <w:rPr>
          <w:rFonts w:ascii="Verdana" w:hAnsi="Verdana" w:cs="ArialMT"/>
          <w:color w:val="1F497D"/>
          <w:sz w:val="18"/>
          <w:szCs w:val="18"/>
          <w:lang w:eastAsia="en-US"/>
        </w:rPr>
        <w:t>monitooritud</w:t>
      </w:r>
      <w:proofErr w:type="spellEnd"/>
      <w:r w:rsidR="009208F0" w:rsidRPr="009208F0">
        <w:rPr>
          <w:rFonts w:ascii="Verdana" w:hAnsi="Verdana" w:cs="ArialMT"/>
          <w:color w:val="1F497D"/>
          <w:sz w:val="18"/>
          <w:szCs w:val="18"/>
          <w:lang w:eastAsia="en-US"/>
        </w:rPr>
        <w:t xml:space="preserve"> tingimustes ohutus kindlaks tehtud. Juhend </w:t>
      </w:r>
      <w:proofErr w:type="spellStart"/>
      <w:r w:rsidR="009208F0" w:rsidRPr="009208F0">
        <w:rPr>
          <w:rFonts w:ascii="Verdana" w:hAnsi="Verdana" w:cs="ArialMT"/>
          <w:color w:val="1F497D"/>
          <w:sz w:val="18"/>
          <w:szCs w:val="18"/>
          <w:lang w:eastAsia="en-US"/>
        </w:rPr>
        <w:t>soovitab“tablett</w:t>
      </w:r>
      <w:proofErr w:type="spellEnd"/>
      <w:r w:rsidR="009208F0" w:rsidRPr="009208F0">
        <w:rPr>
          <w:rFonts w:ascii="Verdana" w:hAnsi="Verdana" w:cs="ArialMT"/>
          <w:color w:val="1F497D"/>
          <w:sz w:val="18"/>
          <w:szCs w:val="18"/>
          <w:lang w:eastAsia="en-US"/>
        </w:rPr>
        <w:t xml:space="preserve"> taskus strateegia” rakendamiseks eriarsti konsultatsiooni.</w:t>
      </w:r>
    </w:p>
    <w:p w:rsidR="008F5E95" w:rsidRPr="008F5E95" w:rsidRDefault="008F5E95" w:rsidP="003B0510">
      <w:pPr>
        <w:autoSpaceDE w:val="0"/>
        <w:autoSpaceDN w:val="0"/>
        <w:adjustRightInd w:val="0"/>
        <w:jc w:val="both"/>
        <w:rPr>
          <w:rFonts w:ascii="Verdana" w:hAnsi="Verdana" w:cs="ArialMT"/>
          <w:b/>
          <w:color w:val="1F497D"/>
          <w:sz w:val="18"/>
          <w:szCs w:val="18"/>
          <w:lang w:eastAsia="en-US"/>
        </w:rPr>
      </w:pPr>
    </w:p>
    <w:p w:rsidR="00446C67" w:rsidRPr="008F5E95" w:rsidRDefault="008F5E95" w:rsidP="003B0510">
      <w:pPr>
        <w:autoSpaceDE w:val="0"/>
        <w:autoSpaceDN w:val="0"/>
        <w:adjustRightInd w:val="0"/>
        <w:jc w:val="both"/>
        <w:rPr>
          <w:rFonts w:ascii="Verdana" w:hAnsi="Verdana" w:cs="ArialMT"/>
          <w:b/>
          <w:color w:val="1F497D"/>
          <w:sz w:val="18"/>
          <w:szCs w:val="18"/>
          <w:lang w:eastAsia="en-US"/>
        </w:rPr>
      </w:pPr>
      <w:r w:rsidRPr="008F5E95">
        <w:rPr>
          <w:rFonts w:ascii="Verdana" w:hAnsi="Verdana" w:cs="ArialMT"/>
          <w:b/>
          <w:color w:val="1F497D"/>
          <w:sz w:val="18"/>
          <w:szCs w:val="18"/>
          <w:lang w:eastAsia="en-US"/>
        </w:rPr>
        <w:t>Viited</w:t>
      </w:r>
    </w:p>
    <w:p w:rsidR="00A65437" w:rsidRPr="008F5E95" w:rsidRDefault="00A65437" w:rsidP="00A65437">
      <w:pPr>
        <w:rPr>
          <w:rFonts w:ascii="Verdana" w:hAnsi="Verdana"/>
          <w:i/>
          <w:color w:val="1F497D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8"/>
        <w:gridCol w:w="1720"/>
      </w:tblGrid>
      <w:tr w:rsidR="00A0705C" w:rsidRPr="002C0E7F" w:rsidTr="008976D0">
        <w:tc>
          <w:tcPr>
            <w:tcW w:w="7618" w:type="dxa"/>
            <w:shd w:val="clear" w:color="auto" w:fill="auto"/>
          </w:tcPr>
          <w:p w:rsidR="00A0705C" w:rsidRPr="00A0705C" w:rsidRDefault="00A0705C" w:rsidP="008976D0">
            <w:pPr>
              <w:spacing w:before="75" w:after="225"/>
              <w:rPr>
                <w:rFonts w:ascii="Verdana" w:hAnsi="Verdana" w:cs="Arial"/>
                <w:b/>
                <w:color w:val="1F497D"/>
                <w:sz w:val="18"/>
                <w:szCs w:val="18"/>
                <w:lang w:val="en-US"/>
              </w:rPr>
            </w:pPr>
            <w:proofErr w:type="spellStart"/>
            <w:r w:rsidRPr="00A0705C">
              <w:rPr>
                <w:rFonts w:ascii="Verdana" w:hAnsi="Verdana" w:cs="Arial"/>
                <w:b/>
                <w:color w:val="1F497D"/>
                <w:sz w:val="18"/>
                <w:szCs w:val="18"/>
                <w:lang w:val="en-US"/>
              </w:rPr>
              <w:t>Meetod</w:t>
            </w:r>
            <w:proofErr w:type="spellEnd"/>
            <w:r w:rsidRPr="00A0705C">
              <w:rPr>
                <w:rFonts w:ascii="Verdana" w:hAnsi="Verdana" w:cs="Arial"/>
                <w:b/>
                <w:color w:val="1F497D"/>
                <w:sz w:val="18"/>
                <w:szCs w:val="18"/>
                <w:lang w:val="en-US"/>
              </w:rPr>
              <w:t xml:space="preserve"> ja </w:t>
            </w:r>
            <w:proofErr w:type="spellStart"/>
            <w:r w:rsidRPr="00A0705C">
              <w:rPr>
                <w:rFonts w:ascii="Verdana" w:hAnsi="Verdana" w:cs="Arial"/>
                <w:b/>
                <w:color w:val="1F497D"/>
                <w:sz w:val="18"/>
                <w:szCs w:val="18"/>
                <w:lang w:val="en-US"/>
              </w:rPr>
              <w:t>tulemused</w:t>
            </w:r>
            <w:proofErr w:type="spellEnd"/>
            <w:r w:rsidRPr="00A0705C">
              <w:rPr>
                <w:rFonts w:ascii="Verdana" w:hAnsi="Verdana" w:cs="Arial"/>
                <w:b/>
                <w:color w:val="1F497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b/>
                <w:color w:val="1F497D"/>
                <w:sz w:val="18"/>
                <w:szCs w:val="18"/>
                <w:lang w:val="en-US"/>
              </w:rPr>
              <w:t>abstrakti</w:t>
            </w:r>
            <w:proofErr w:type="spellEnd"/>
            <w:r w:rsidRPr="00A0705C">
              <w:rPr>
                <w:rFonts w:ascii="Verdana" w:hAnsi="Verdana" w:cs="Arial"/>
                <w:b/>
                <w:color w:val="1F497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b/>
                <w:color w:val="1F497D"/>
                <w:sz w:val="18"/>
                <w:szCs w:val="18"/>
                <w:lang w:val="en-US"/>
              </w:rPr>
              <w:t>mahus</w:t>
            </w:r>
            <w:proofErr w:type="spellEnd"/>
            <w:r w:rsidRPr="00A0705C">
              <w:rPr>
                <w:rFonts w:ascii="Verdana" w:hAnsi="Verdana" w:cs="Arial"/>
                <w:b/>
                <w:color w:val="1F497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b/>
                <w:color w:val="1F497D"/>
                <w:sz w:val="18"/>
                <w:szCs w:val="18"/>
                <w:lang w:val="en-US"/>
              </w:rPr>
              <w:t>või</w:t>
            </w:r>
            <w:proofErr w:type="spellEnd"/>
            <w:r w:rsidRPr="00A0705C">
              <w:rPr>
                <w:rFonts w:ascii="Verdana" w:hAnsi="Verdana" w:cs="Arial"/>
                <w:b/>
                <w:color w:val="1F497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b/>
                <w:color w:val="1F497D"/>
                <w:sz w:val="18"/>
                <w:szCs w:val="18"/>
                <w:lang w:val="en-US"/>
              </w:rPr>
              <w:t>vähem</w:t>
            </w:r>
            <w:proofErr w:type="spellEnd"/>
          </w:p>
        </w:tc>
        <w:tc>
          <w:tcPr>
            <w:tcW w:w="1670" w:type="dxa"/>
            <w:shd w:val="clear" w:color="auto" w:fill="auto"/>
          </w:tcPr>
          <w:p w:rsidR="00A0705C" w:rsidRPr="00A0705C" w:rsidRDefault="00A0705C" w:rsidP="008976D0">
            <w:pPr>
              <w:spacing w:before="75" w:after="225"/>
              <w:rPr>
                <w:rFonts w:ascii="Verdana" w:hAnsi="Verdana" w:cs="Arial"/>
                <w:b/>
                <w:color w:val="1F497D"/>
                <w:sz w:val="18"/>
                <w:szCs w:val="18"/>
                <w:lang w:val="en-US"/>
              </w:rPr>
            </w:pPr>
            <w:proofErr w:type="spellStart"/>
            <w:r w:rsidRPr="00A0705C">
              <w:rPr>
                <w:rFonts w:ascii="Verdana" w:hAnsi="Verdana" w:cs="Arial"/>
                <w:b/>
                <w:bCs/>
                <w:color w:val="1F497D"/>
                <w:sz w:val="18"/>
                <w:szCs w:val="18"/>
                <w:lang w:val="en-US"/>
              </w:rPr>
              <w:t>Viide</w:t>
            </w:r>
            <w:proofErr w:type="spellEnd"/>
          </w:p>
        </w:tc>
      </w:tr>
      <w:tr w:rsidR="00A0705C" w:rsidRPr="002C0E7F" w:rsidTr="008976D0">
        <w:tc>
          <w:tcPr>
            <w:tcW w:w="7618" w:type="dxa"/>
            <w:shd w:val="clear" w:color="auto" w:fill="auto"/>
          </w:tcPr>
          <w:p w:rsidR="00A0705C" w:rsidRPr="00A0705C" w:rsidRDefault="00A0705C" w:rsidP="008976D0">
            <w:pPr>
              <w:rPr>
                <w:rFonts w:ascii="Verdana" w:hAnsi="Verdana"/>
                <w:b/>
                <w:color w:val="1F497D"/>
                <w:sz w:val="18"/>
                <w:szCs w:val="18"/>
              </w:rPr>
            </w:pPr>
            <w:proofErr w:type="spellStart"/>
            <w:r w:rsidRPr="00A0705C">
              <w:rPr>
                <w:rFonts w:ascii="Verdana" w:hAnsi="Verdana"/>
                <w:b/>
                <w:color w:val="1F497D"/>
                <w:sz w:val="18"/>
                <w:szCs w:val="18"/>
              </w:rPr>
              <w:t>Background</w:t>
            </w:r>
            <w:proofErr w:type="spellEnd"/>
            <w:r w:rsidRPr="00A0705C">
              <w:rPr>
                <w:rFonts w:ascii="Verdana" w:hAnsi="Verdana"/>
                <w:b/>
                <w:color w:val="1F497D"/>
                <w:sz w:val="18"/>
                <w:szCs w:val="18"/>
              </w:rPr>
              <w:t xml:space="preserve"> </w:t>
            </w:r>
          </w:p>
          <w:p w:rsidR="00A0705C" w:rsidRPr="00A0705C" w:rsidRDefault="00A0705C" w:rsidP="008976D0">
            <w:pPr>
              <w:rPr>
                <w:rFonts w:ascii="Verdana" w:hAnsi="Verdana"/>
                <w:color w:val="1F497D"/>
                <w:sz w:val="18"/>
                <w:szCs w:val="18"/>
              </w:rPr>
            </w:pP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In-hospital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administration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of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flecainide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and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propafenone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in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a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single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oral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loading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dose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has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been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shown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to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be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effective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and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superior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to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placebo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in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terminating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atrial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fibrillation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.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We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evaluated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the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feasibility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and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the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safety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of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self-administered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oral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loading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of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flecainide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and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propafenone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in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terminating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atrial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fibrillation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of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recent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onset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outside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the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hospital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. </w:t>
            </w:r>
          </w:p>
          <w:p w:rsidR="00A0705C" w:rsidRPr="00A0705C" w:rsidRDefault="00A0705C" w:rsidP="008976D0">
            <w:pPr>
              <w:rPr>
                <w:rFonts w:ascii="Verdana" w:hAnsi="Verdana"/>
                <w:color w:val="1F497D"/>
                <w:sz w:val="18"/>
                <w:szCs w:val="18"/>
              </w:rPr>
            </w:pPr>
            <w:proofErr w:type="spellStart"/>
            <w:r w:rsidRPr="00A0705C">
              <w:rPr>
                <w:rFonts w:ascii="Verdana" w:hAnsi="Verdana"/>
                <w:b/>
                <w:color w:val="1F497D"/>
                <w:sz w:val="18"/>
                <w:szCs w:val="18"/>
              </w:rPr>
              <w:t>Method</w:t>
            </w:r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</w:p>
          <w:p w:rsidR="00A0705C" w:rsidRPr="00A0705C" w:rsidRDefault="00A0705C" w:rsidP="008976D0">
            <w:pPr>
              <w:rPr>
                <w:rFonts w:ascii="Verdana" w:hAnsi="Verdana"/>
                <w:color w:val="1F497D"/>
                <w:sz w:val="18"/>
                <w:szCs w:val="18"/>
              </w:rPr>
            </w:pP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We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administered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either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flecainide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or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propafenone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orally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to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restore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sinus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rhythm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in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268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patients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with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mild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heart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disease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or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none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who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came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to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the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emergency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room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with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atrial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fibrillation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of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recent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onset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that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was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hemodynamically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well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tolerated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. Of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these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patients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, 58 (22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percent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)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were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excluded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from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the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study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because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of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treatment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failure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or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side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effects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.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Out-of-hospital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self-administration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of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flecainide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or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propafenone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—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the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“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pill-in-thepocket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”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approach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—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after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the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onset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of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heart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palpitations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was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evaluated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in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the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remaining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210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patients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(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mean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age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[±SD], 59±11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years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). </w:t>
            </w:r>
          </w:p>
          <w:p w:rsidR="00A0705C" w:rsidRPr="00A0705C" w:rsidRDefault="00A0705C" w:rsidP="008976D0">
            <w:pPr>
              <w:rPr>
                <w:rFonts w:ascii="Verdana" w:hAnsi="Verdana"/>
                <w:b/>
                <w:color w:val="1F497D"/>
                <w:sz w:val="18"/>
                <w:szCs w:val="18"/>
              </w:rPr>
            </w:pPr>
            <w:proofErr w:type="spellStart"/>
            <w:r w:rsidRPr="00A0705C">
              <w:rPr>
                <w:rFonts w:ascii="Verdana" w:hAnsi="Verdana"/>
                <w:b/>
                <w:color w:val="1F497D"/>
                <w:sz w:val="18"/>
                <w:szCs w:val="18"/>
              </w:rPr>
              <w:t>Results</w:t>
            </w:r>
            <w:proofErr w:type="spellEnd"/>
            <w:r w:rsidRPr="00A0705C">
              <w:rPr>
                <w:rFonts w:ascii="Verdana" w:hAnsi="Verdana"/>
                <w:b/>
                <w:color w:val="1F497D"/>
                <w:sz w:val="18"/>
                <w:szCs w:val="18"/>
              </w:rPr>
              <w:t xml:space="preserve"> </w:t>
            </w:r>
          </w:p>
          <w:p w:rsidR="00A0705C" w:rsidRPr="00A0705C" w:rsidRDefault="00A0705C" w:rsidP="008976D0">
            <w:pPr>
              <w:rPr>
                <w:rFonts w:ascii="Verdana" w:hAnsi="Verdana"/>
                <w:color w:val="1F497D"/>
                <w:sz w:val="18"/>
                <w:szCs w:val="18"/>
              </w:rPr>
            </w:pP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During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a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mean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follow-up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of 15±5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months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, 165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patients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(79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percent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)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had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a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total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of 618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episodes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of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arrhythmia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; of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those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episodes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, 569 (92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percent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)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were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treated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36±93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minutes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after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the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onset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of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symptoms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.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Treatment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was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successful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in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534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episodes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(94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percent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);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the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time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to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resolution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of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symptoms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was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113±84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minutes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.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Among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the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165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patients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with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recurrences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,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the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drug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was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effective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during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all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the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arrhythmic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episodes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in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139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patients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(84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percent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).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Adverse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effects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were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reported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during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one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or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more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arrhythmic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episodes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by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12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patients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(7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percent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),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including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atrial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flutter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at a rapid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ventricular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rate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in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1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patient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and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noncardiac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side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effects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in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11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patients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. The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numbers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of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monthly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visits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to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the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emergency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room and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hospitalizations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were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significantly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lower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during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follow-up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than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during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the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year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before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the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target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episode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(P 0.001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for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both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comparisons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).</w:t>
            </w:r>
          </w:p>
          <w:p w:rsidR="00A0705C" w:rsidRPr="00A0705C" w:rsidRDefault="00A0705C" w:rsidP="008976D0">
            <w:pPr>
              <w:rPr>
                <w:rFonts w:ascii="Verdana" w:hAnsi="Verdana"/>
                <w:b/>
                <w:color w:val="1F497D"/>
                <w:sz w:val="18"/>
                <w:szCs w:val="18"/>
              </w:rPr>
            </w:pPr>
            <w:proofErr w:type="spellStart"/>
            <w:r w:rsidRPr="00A0705C">
              <w:rPr>
                <w:rFonts w:ascii="Verdana" w:hAnsi="Verdana"/>
                <w:b/>
                <w:color w:val="1F497D"/>
                <w:sz w:val="18"/>
                <w:szCs w:val="18"/>
              </w:rPr>
              <w:t>Conclusions</w:t>
            </w:r>
            <w:proofErr w:type="spellEnd"/>
          </w:p>
          <w:p w:rsidR="00A0705C" w:rsidRPr="00A0705C" w:rsidRDefault="00A0705C" w:rsidP="00A0705C">
            <w:pPr>
              <w:rPr>
                <w:rFonts w:ascii="Verdana" w:hAnsi="Verdana"/>
                <w:color w:val="1F497D"/>
                <w:sz w:val="18"/>
                <w:szCs w:val="18"/>
              </w:rPr>
            </w:pP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In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a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selected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,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risk-stratified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population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of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patients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with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recurrent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atrial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fibrillation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,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pill-in-the-pocket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treatment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is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feasible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and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safe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,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with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a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high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rate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of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compliance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by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patients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, a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low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rate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of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adverse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events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, and a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marked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reduction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in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emergency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room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visits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and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hospital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admissions</w:t>
            </w:r>
            <w:proofErr w:type="spellEnd"/>
            <w:r>
              <w:rPr>
                <w:rFonts w:ascii="Verdana" w:hAnsi="Verdana"/>
                <w:color w:val="1F497D"/>
                <w:sz w:val="18"/>
                <w:szCs w:val="18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:rsidR="00A0705C" w:rsidRPr="00A0705C" w:rsidRDefault="00A0705C" w:rsidP="008976D0">
            <w:pPr>
              <w:pStyle w:val="p1"/>
              <w:rPr>
                <w:rFonts w:ascii="Verdana" w:hAnsi="Verdana"/>
                <w:color w:val="1F497D"/>
                <w:sz w:val="18"/>
                <w:szCs w:val="18"/>
              </w:rPr>
            </w:pP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Alboni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P,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Botto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GL,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Baldi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N, et al. Outpatient treatment of recent-onset</w:t>
            </w:r>
          </w:p>
          <w:p w:rsidR="00A0705C" w:rsidRPr="00A0705C" w:rsidRDefault="00A0705C" w:rsidP="008976D0">
            <w:pPr>
              <w:pStyle w:val="p1"/>
              <w:rPr>
                <w:rFonts w:ascii="Verdana" w:hAnsi="Verdana"/>
                <w:color w:val="1F497D"/>
                <w:sz w:val="18"/>
                <w:szCs w:val="18"/>
              </w:rPr>
            </w:pPr>
            <w:proofErr w:type="gram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atrial</w:t>
            </w:r>
            <w:proofErr w:type="gram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fibrillation with the “pill-in-the-pocket” approach. N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Engl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J Med</w:t>
            </w:r>
          </w:p>
          <w:p w:rsidR="00A0705C" w:rsidRPr="00A0705C" w:rsidRDefault="00A0705C" w:rsidP="008976D0">
            <w:pPr>
              <w:pStyle w:val="p1"/>
              <w:rPr>
                <w:rFonts w:ascii="Verdana" w:hAnsi="Verdana"/>
                <w:color w:val="1F497D"/>
                <w:sz w:val="18"/>
                <w:szCs w:val="18"/>
              </w:rPr>
            </w:pPr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2004</w:t>
            </w:r>
            <w:proofErr w:type="gram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;351:2384</w:t>
            </w:r>
            <w:proofErr w:type="gram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-91.</w:t>
            </w:r>
          </w:p>
          <w:p w:rsidR="00A0705C" w:rsidRPr="00A0705C" w:rsidRDefault="00A0705C" w:rsidP="008976D0">
            <w:pPr>
              <w:spacing w:before="75" w:after="225"/>
              <w:rPr>
                <w:rFonts w:ascii="Verdana" w:hAnsi="Verdana" w:cs="Arial"/>
                <w:color w:val="1F497D"/>
                <w:sz w:val="18"/>
                <w:szCs w:val="18"/>
                <w:lang w:val="en-US"/>
              </w:rPr>
            </w:pPr>
          </w:p>
        </w:tc>
      </w:tr>
      <w:tr w:rsidR="00A0705C" w:rsidRPr="00DF725B" w:rsidTr="008976D0">
        <w:tc>
          <w:tcPr>
            <w:tcW w:w="7618" w:type="dxa"/>
            <w:shd w:val="clear" w:color="auto" w:fill="auto"/>
          </w:tcPr>
          <w:p w:rsidR="00A0705C" w:rsidRPr="00A0705C" w:rsidRDefault="00A0705C" w:rsidP="00A0705C">
            <w:pPr>
              <w:shd w:val="clear" w:color="auto" w:fill="FFFFFF"/>
              <w:spacing w:after="120"/>
              <w:rPr>
                <w:rFonts w:ascii="Verdana" w:hAnsi="Verdana" w:cs="Arial"/>
                <w:color w:val="1F497D"/>
                <w:sz w:val="18"/>
                <w:szCs w:val="18"/>
              </w:rPr>
            </w:pPr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The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efficacy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and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safety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of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the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single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dose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oral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loading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regimen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of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propafenone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for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pharmacological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cardioversion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of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recent-onset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atrial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fibrillation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(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AFib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)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was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evaluated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by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analyzing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the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trials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on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the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subject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identified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through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a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comprehensive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literature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search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.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Most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of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the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trials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used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a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single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dose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of 600 mg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for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oral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loading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. The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success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rates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ranged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from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56%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to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83%,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depending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on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the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duration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of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AFib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and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follow-up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after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drug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administration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. The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conversion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time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ranged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from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110 +/- 59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to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287 +/- 352 min,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depending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on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the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duration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of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observation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after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drug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administration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. The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single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dose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oral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loading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regimen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of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propafenone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was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significantly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more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efficacious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than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placebo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in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the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first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8 h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after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administration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but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not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at 24 h.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Compared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with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the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intravenous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regimen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,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the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oral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regimen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resulted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in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fewer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conversions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in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the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first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2 h,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but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both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regimens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were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equally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efficacious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afterward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. The oral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propafenone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regimen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was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as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efficacious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as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the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single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dose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oral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loading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regimen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of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flecainide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but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was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superior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to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those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of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quinidine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and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amiodarone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. The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adverse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effects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reported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were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transient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arrhythmia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,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reversible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QRS-complex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widening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,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transient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hypotension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and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mild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noncardiac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side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effects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. The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transient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arrhythmias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were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chiefly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at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the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time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of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lastRenderedPageBreak/>
              <w:t>conversion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and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included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appearance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of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atrial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flutter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,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bradycardia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,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pauses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and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junctional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rhythm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. No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life-threatening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proarrhythmic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adverse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effects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were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reported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. The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single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oral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loading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dose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of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propafenone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appears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to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be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highly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effective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for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conversion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of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recent-onset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AFib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,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with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a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relatively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rapid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effect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within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2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to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3 h and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freedom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from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serious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adverse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effects</w:t>
            </w:r>
            <w:proofErr w:type="spellEnd"/>
            <w:r w:rsidRPr="00A0705C">
              <w:rPr>
                <w:rFonts w:ascii="Verdana" w:hAnsi="Verdana" w:cs="Arial"/>
                <w:color w:val="1F497D"/>
                <w:sz w:val="18"/>
                <w:szCs w:val="18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:rsidR="00A0705C" w:rsidRPr="00A0705C" w:rsidRDefault="00A0705C" w:rsidP="008976D0">
            <w:pPr>
              <w:pStyle w:val="p1"/>
              <w:rPr>
                <w:rFonts w:ascii="Verdana" w:hAnsi="Verdana"/>
                <w:color w:val="1F497D"/>
                <w:sz w:val="18"/>
                <w:szCs w:val="18"/>
              </w:rPr>
            </w:pPr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lastRenderedPageBreak/>
              <w:t xml:space="preserve">  Khan IA. Single oral loading dose of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propafenone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for pharmacological cardioversion of recent-onset atrial</w:t>
            </w:r>
          </w:p>
          <w:p w:rsidR="00A0705C" w:rsidRPr="00A0705C" w:rsidRDefault="00A0705C" w:rsidP="008976D0">
            <w:pPr>
              <w:rPr>
                <w:rFonts w:ascii="Verdana" w:hAnsi="Verdana"/>
                <w:color w:val="1F497D"/>
                <w:sz w:val="18"/>
                <w:szCs w:val="18"/>
              </w:rPr>
            </w:pP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fibrillation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. J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Am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Coll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 xml:space="preserve"> </w:t>
            </w:r>
            <w:proofErr w:type="spellStart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Cardiol</w:t>
            </w:r>
            <w:proofErr w:type="spellEnd"/>
            <w:r w:rsidRPr="00A0705C">
              <w:rPr>
                <w:rFonts w:ascii="Verdana" w:hAnsi="Verdana"/>
                <w:color w:val="1F497D"/>
                <w:sz w:val="18"/>
                <w:szCs w:val="18"/>
              </w:rPr>
              <w:t>. 2001;37:542-7.</w:t>
            </w:r>
          </w:p>
          <w:p w:rsidR="00A0705C" w:rsidRPr="00A0705C" w:rsidRDefault="00A0705C" w:rsidP="008976D0">
            <w:pPr>
              <w:spacing w:before="75" w:after="225"/>
              <w:rPr>
                <w:rFonts w:ascii="Verdana" w:hAnsi="Verdana" w:cs="Arial"/>
                <w:color w:val="1F497D"/>
                <w:sz w:val="18"/>
                <w:szCs w:val="18"/>
                <w:lang w:val="en-US"/>
              </w:rPr>
            </w:pPr>
            <w:r w:rsidRPr="00A0705C">
              <w:rPr>
                <w:rFonts w:ascii="Verdana" w:hAnsi="Verdana" w:cs="Arial"/>
                <w:color w:val="1F497D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8F5E95" w:rsidRPr="008F5E95" w:rsidRDefault="008F5E95" w:rsidP="008F5E95">
      <w:pPr>
        <w:rPr>
          <w:rFonts w:ascii="Verdana" w:hAnsi="Verdana"/>
          <w:b/>
          <w:i/>
          <w:color w:val="1F497D"/>
          <w:sz w:val="16"/>
          <w:szCs w:val="16"/>
        </w:rPr>
      </w:pPr>
    </w:p>
    <w:p w:rsidR="00A65437" w:rsidRPr="00A65437" w:rsidRDefault="00A65437" w:rsidP="00A65437">
      <w:pPr>
        <w:rPr>
          <w:rFonts w:ascii="Verdana" w:hAnsi="Verdana"/>
          <w:b/>
          <w:i/>
          <w:color w:val="1F497D"/>
          <w:sz w:val="16"/>
          <w:szCs w:val="16"/>
        </w:rPr>
      </w:pPr>
    </w:p>
    <w:p w:rsidR="00A65437" w:rsidRPr="00A65437" w:rsidRDefault="00A65437" w:rsidP="00A65437">
      <w:pPr>
        <w:rPr>
          <w:rFonts w:ascii="Verdana" w:hAnsi="Verdana"/>
          <w:b/>
          <w:i/>
          <w:color w:val="1F497D"/>
          <w:sz w:val="16"/>
          <w:szCs w:val="16"/>
        </w:rPr>
      </w:pPr>
    </w:p>
    <w:p w:rsidR="00D2340A" w:rsidRPr="00CA7379" w:rsidRDefault="00D2340A" w:rsidP="00CA7379">
      <w:pPr>
        <w:rPr>
          <w:i/>
          <w:sz w:val="16"/>
          <w:szCs w:val="16"/>
        </w:rPr>
      </w:pPr>
    </w:p>
    <w:sectPr w:rsidR="00D2340A" w:rsidRPr="00CA7379" w:rsidSect="00CA737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0BF" w:rsidRDefault="007110BF" w:rsidP="00691E14">
      <w:r>
        <w:separator/>
      </w:r>
    </w:p>
  </w:endnote>
  <w:endnote w:type="continuationSeparator" w:id="0">
    <w:p w:rsidR="007110BF" w:rsidRDefault="007110BF" w:rsidP="0069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">
    <w:altName w:val="Calibri"/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0BF" w:rsidRDefault="007110BF" w:rsidP="00691E14">
      <w:r>
        <w:separator/>
      </w:r>
    </w:p>
  </w:footnote>
  <w:footnote w:type="continuationSeparator" w:id="0">
    <w:p w:rsidR="007110BF" w:rsidRDefault="007110BF" w:rsidP="00691E14">
      <w:r>
        <w:continuationSeparator/>
      </w:r>
    </w:p>
  </w:footnote>
  <w:footnote w:id="1">
    <w:p w:rsidR="00691E14" w:rsidRPr="009208F0" w:rsidRDefault="00691E14" w:rsidP="00691E14">
      <w:pPr>
        <w:pStyle w:val="FootnoteText"/>
        <w:rPr>
          <w:rFonts w:ascii="Verdana" w:hAnsi="Verdana"/>
          <w:color w:val="1F497D"/>
          <w:sz w:val="16"/>
          <w:szCs w:val="16"/>
        </w:rPr>
      </w:pPr>
      <w:r w:rsidRPr="009208F0">
        <w:rPr>
          <w:rStyle w:val="FootnoteReference"/>
          <w:rFonts w:ascii="Verdana" w:hAnsi="Verdana"/>
          <w:color w:val="1F497D"/>
          <w:sz w:val="16"/>
          <w:szCs w:val="16"/>
        </w:rPr>
        <w:footnoteRef/>
      </w:r>
      <w:r w:rsidRPr="009208F0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9208F0">
        <w:rPr>
          <w:rFonts w:ascii="Verdana" w:hAnsi="Verdana"/>
          <w:color w:val="1F497D"/>
          <w:sz w:val="16"/>
          <w:szCs w:val="16"/>
        </w:rPr>
        <w:t>Saborido</w:t>
      </w:r>
      <w:proofErr w:type="spellEnd"/>
      <w:r w:rsidRPr="009208F0">
        <w:rPr>
          <w:rFonts w:ascii="Verdana" w:hAnsi="Verdana"/>
          <w:color w:val="1F497D"/>
          <w:sz w:val="16"/>
          <w:szCs w:val="16"/>
        </w:rPr>
        <w:t xml:space="preserve"> CM1, </w:t>
      </w:r>
      <w:proofErr w:type="spellStart"/>
      <w:r w:rsidRPr="009208F0">
        <w:rPr>
          <w:rFonts w:ascii="Verdana" w:hAnsi="Verdana"/>
          <w:color w:val="1F497D"/>
          <w:sz w:val="16"/>
          <w:szCs w:val="16"/>
        </w:rPr>
        <w:t>Hockenhull</w:t>
      </w:r>
      <w:proofErr w:type="spellEnd"/>
      <w:r w:rsidRPr="009208F0">
        <w:rPr>
          <w:rFonts w:ascii="Verdana" w:hAnsi="Verdana"/>
          <w:color w:val="1F497D"/>
          <w:sz w:val="16"/>
          <w:szCs w:val="16"/>
        </w:rPr>
        <w:t xml:space="preserve"> J, </w:t>
      </w:r>
      <w:proofErr w:type="spellStart"/>
      <w:r w:rsidRPr="009208F0">
        <w:rPr>
          <w:rFonts w:ascii="Verdana" w:hAnsi="Verdana"/>
          <w:color w:val="1F497D"/>
          <w:sz w:val="16"/>
          <w:szCs w:val="16"/>
        </w:rPr>
        <w:t>Bagust</w:t>
      </w:r>
      <w:proofErr w:type="spellEnd"/>
      <w:r w:rsidRPr="009208F0">
        <w:rPr>
          <w:rFonts w:ascii="Verdana" w:hAnsi="Verdana"/>
          <w:color w:val="1F497D"/>
          <w:sz w:val="16"/>
          <w:szCs w:val="16"/>
        </w:rPr>
        <w:t xml:space="preserve"> A, </w:t>
      </w:r>
      <w:proofErr w:type="spellStart"/>
      <w:r w:rsidRPr="009208F0">
        <w:rPr>
          <w:rFonts w:ascii="Verdana" w:hAnsi="Verdana"/>
          <w:color w:val="1F497D"/>
          <w:sz w:val="16"/>
          <w:szCs w:val="16"/>
        </w:rPr>
        <w:t>Boland</w:t>
      </w:r>
      <w:proofErr w:type="spellEnd"/>
      <w:r w:rsidRPr="009208F0">
        <w:rPr>
          <w:rFonts w:ascii="Verdana" w:hAnsi="Verdana"/>
          <w:color w:val="1F497D"/>
          <w:sz w:val="16"/>
          <w:szCs w:val="16"/>
        </w:rPr>
        <w:t xml:space="preserve"> A, </w:t>
      </w:r>
      <w:proofErr w:type="spellStart"/>
      <w:r w:rsidRPr="009208F0">
        <w:rPr>
          <w:rFonts w:ascii="Verdana" w:hAnsi="Verdana"/>
          <w:color w:val="1F497D"/>
          <w:sz w:val="16"/>
          <w:szCs w:val="16"/>
        </w:rPr>
        <w:t>Dickson</w:t>
      </w:r>
      <w:proofErr w:type="spellEnd"/>
      <w:r w:rsidRPr="009208F0">
        <w:rPr>
          <w:rFonts w:ascii="Verdana" w:hAnsi="Verdana"/>
          <w:color w:val="1F497D"/>
          <w:sz w:val="16"/>
          <w:szCs w:val="16"/>
        </w:rPr>
        <w:t xml:space="preserve"> R, </w:t>
      </w:r>
      <w:proofErr w:type="spellStart"/>
      <w:r w:rsidRPr="009208F0">
        <w:rPr>
          <w:rFonts w:ascii="Verdana" w:hAnsi="Verdana"/>
          <w:color w:val="1F497D"/>
          <w:sz w:val="16"/>
          <w:szCs w:val="16"/>
        </w:rPr>
        <w:t>Todd</w:t>
      </w:r>
      <w:proofErr w:type="spellEnd"/>
      <w:r w:rsidRPr="009208F0">
        <w:rPr>
          <w:rFonts w:ascii="Verdana" w:hAnsi="Verdana"/>
          <w:color w:val="1F497D"/>
          <w:sz w:val="16"/>
          <w:szCs w:val="16"/>
        </w:rPr>
        <w:t xml:space="preserve"> D.</w:t>
      </w:r>
      <w:r w:rsidRPr="009208F0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9208F0">
        <w:rPr>
          <w:rFonts w:ascii="Verdana" w:hAnsi="Verdana"/>
          <w:color w:val="1F497D"/>
          <w:sz w:val="16"/>
          <w:szCs w:val="16"/>
        </w:rPr>
        <w:t>Systematic</w:t>
      </w:r>
      <w:proofErr w:type="spellEnd"/>
      <w:r w:rsidRPr="009208F0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9208F0">
        <w:rPr>
          <w:rFonts w:ascii="Verdana" w:hAnsi="Verdana"/>
          <w:color w:val="1F497D"/>
          <w:sz w:val="16"/>
          <w:szCs w:val="16"/>
        </w:rPr>
        <w:t>review</w:t>
      </w:r>
      <w:proofErr w:type="spellEnd"/>
      <w:r w:rsidRPr="009208F0">
        <w:rPr>
          <w:rFonts w:ascii="Verdana" w:hAnsi="Verdana"/>
          <w:color w:val="1F497D"/>
          <w:sz w:val="16"/>
          <w:szCs w:val="16"/>
        </w:rPr>
        <w:t xml:space="preserve"> and </w:t>
      </w:r>
      <w:proofErr w:type="spellStart"/>
      <w:r w:rsidRPr="009208F0">
        <w:rPr>
          <w:rFonts w:ascii="Verdana" w:hAnsi="Verdana"/>
          <w:color w:val="1F497D"/>
          <w:sz w:val="16"/>
          <w:szCs w:val="16"/>
        </w:rPr>
        <w:t>cost-effectiveness</w:t>
      </w:r>
      <w:proofErr w:type="spellEnd"/>
      <w:r w:rsidRPr="009208F0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9208F0">
        <w:rPr>
          <w:rFonts w:ascii="Verdana" w:hAnsi="Verdana"/>
          <w:color w:val="1F497D"/>
          <w:sz w:val="16"/>
          <w:szCs w:val="16"/>
        </w:rPr>
        <w:t>evaluation</w:t>
      </w:r>
      <w:proofErr w:type="spellEnd"/>
      <w:r w:rsidRPr="009208F0">
        <w:rPr>
          <w:rFonts w:ascii="Verdana" w:hAnsi="Verdana"/>
          <w:color w:val="1F497D"/>
          <w:sz w:val="16"/>
          <w:szCs w:val="16"/>
        </w:rPr>
        <w:t xml:space="preserve"> of '</w:t>
      </w:r>
      <w:proofErr w:type="spellStart"/>
      <w:r w:rsidRPr="009208F0">
        <w:rPr>
          <w:rFonts w:ascii="Verdana" w:hAnsi="Verdana"/>
          <w:color w:val="1F497D"/>
          <w:sz w:val="16"/>
          <w:szCs w:val="16"/>
        </w:rPr>
        <w:t>pill-in-the-pocket</w:t>
      </w:r>
      <w:proofErr w:type="spellEnd"/>
      <w:r w:rsidRPr="009208F0">
        <w:rPr>
          <w:rFonts w:ascii="Verdana" w:hAnsi="Verdana"/>
          <w:color w:val="1F497D"/>
          <w:sz w:val="16"/>
          <w:szCs w:val="16"/>
        </w:rPr>
        <w:t xml:space="preserve">' </w:t>
      </w:r>
      <w:proofErr w:type="spellStart"/>
      <w:r w:rsidRPr="009208F0">
        <w:rPr>
          <w:rFonts w:ascii="Verdana" w:hAnsi="Verdana"/>
          <w:color w:val="1F497D"/>
          <w:sz w:val="16"/>
          <w:szCs w:val="16"/>
        </w:rPr>
        <w:t>strategy</w:t>
      </w:r>
      <w:proofErr w:type="spellEnd"/>
      <w:r w:rsidRPr="009208F0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9208F0">
        <w:rPr>
          <w:rFonts w:ascii="Verdana" w:hAnsi="Verdana"/>
          <w:color w:val="1F497D"/>
          <w:sz w:val="16"/>
          <w:szCs w:val="16"/>
        </w:rPr>
        <w:t>for</w:t>
      </w:r>
      <w:proofErr w:type="spellEnd"/>
      <w:r w:rsidRPr="009208F0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9208F0">
        <w:rPr>
          <w:rFonts w:ascii="Verdana" w:hAnsi="Verdana"/>
          <w:color w:val="1F497D"/>
          <w:sz w:val="16"/>
          <w:szCs w:val="16"/>
        </w:rPr>
        <w:t>paroxysmal</w:t>
      </w:r>
      <w:proofErr w:type="spellEnd"/>
      <w:r w:rsidRPr="009208F0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9208F0">
        <w:rPr>
          <w:rFonts w:ascii="Verdana" w:hAnsi="Verdana"/>
          <w:color w:val="1F497D"/>
          <w:sz w:val="16"/>
          <w:szCs w:val="16"/>
        </w:rPr>
        <w:t>atrial</w:t>
      </w:r>
      <w:proofErr w:type="spellEnd"/>
      <w:r w:rsidRPr="009208F0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9208F0">
        <w:rPr>
          <w:rFonts w:ascii="Verdana" w:hAnsi="Verdana"/>
          <w:color w:val="1F497D"/>
          <w:sz w:val="16"/>
          <w:szCs w:val="16"/>
        </w:rPr>
        <w:t>fibrillation</w:t>
      </w:r>
      <w:proofErr w:type="spellEnd"/>
      <w:r w:rsidRPr="009208F0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9208F0">
        <w:rPr>
          <w:rFonts w:ascii="Verdana" w:hAnsi="Verdana"/>
          <w:color w:val="1F497D"/>
          <w:sz w:val="16"/>
          <w:szCs w:val="16"/>
        </w:rPr>
        <w:t>compared</w:t>
      </w:r>
      <w:proofErr w:type="spellEnd"/>
      <w:r w:rsidRPr="009208F0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9208F0">
        <w:rPr>
          <w:rFonts w:ascii="Verdana" w:hAnsi="Verdana"/>
          <w:color w:val="1F497D"/>
          <w:sz w:val="16"/>
          <w:szCs w:val="16"/>
        </w:rPr>
        <w:t>to</w:t>
      </w:r>
      <w:proofErr w:type="spellEnd"/>
      <w:r w:rsidRPr="009208F0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9208F0">
        <w:rPr>
          <w:rFonts w:ascii="Verdana" w:hAnsi="Verdana"/>
          <w:color w:val="1F497D"/>
          <w:sz w:val="16"/>
          <w:szCs w:val="16"/>
        </w:rPr>
        <w:t>episodic</w:t>
      </w:r>
      <w:proofErr w:type="spellEnd"/>
      <w:r w:rsidRPr="009208F0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9208F0">
        <w:rPr>
          <w:rFonts w:ascii="Verdana" w:hAnsi="Verdana"/>
          <w:color w:val="1F497D"/>
          <w:sz w:val="16"/>
          <w:szCs w:val="16"/>
        </w:rPr>
        <w:t>in-hospital</w:t>
      </w:r>
      <w:proofErr w:type="spellEnd"/>
      <w:r w:rsidRPr="009208F0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9208F0">
        <w:rPr>
          <w:rFonts w:ascii="Verdana" w:hAnsi="Verdana"/>
          <w:color w:val="1F497D"/>
          <w:sz w:val="16"/>
          <w:szCs w:val="16"/>
        </w:rPr>
        <w:t>treatment</w:t>
      </w:r>
      <w:proofErr w:type="spellEnd"/>
      <w:r w:rsidRPr="009208F0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9208F0">
        <w:rPr>
          <w:rFonts w:ascii="Verdana" w:hAnsi="Verdana"/>
          <w:color w:val="1F497D"/>
          <w:sz w:val="16"/>
          <w:szCs w:val="16"/>
        </w:rPr>
        <w:t>or</w:t>
      </w:r>
      <w:proofErr w:type="spellEnd"/>
      <w:r w:rsidRPr="009208F0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9208F0">
        <w:rPr>
          <w:rFonts w:ascii="Verdana" w:hAnsi="Verdana"/>
          <w:color w:val="1F497D"/>
          <w:sz w:val="16"/>
          <w:szCs w:val="16"/>
        </w:rPr>
        <w:t>continuous</w:t>
      </w:r>
      <w:proofErr w:type="spellEnd"/>
      <w:r w:rsidRPr="009208F0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9208F0">
        <w:rPr>
          <w:rFonts w:ascii="Verdana" w:hAnsi="Verdana"/>
          <w:color w:val="1F497D"/>
          <w:sz w:val="16"/>
          <w:szCs w:val="16"/>
        </w:rPr>
        <w:t>antiarrhythmic</w:t>
      </w:r>
      <w:proofErr w:type="spellEnd"/>
      <w:r w:rsidRPr="009208F0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9208F0">
        <w:rPr>
          <w:rFonts w:ascii="Verdana" w:hAnsi="Verdana"/>
          <w:color w:val="1F497D"/>
          <w:sz w:val="16"/>
          <w:szCs w:val="16"/>
        </w:rPr>
        <w:t>drug</w:t>
      </w:r>
      <w:proofErr w:type="spellEnd"/>
      <w:r w:rsidRPr="009208F0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9208F0">
        <w:rPr>
          <w:rFonts w:ascii="Verdana" w:hAnsi="Verdana"/>
          <w:color w:val="1F497D"/>
          <w:sz w:val="16"/>
          <w:szCs w:val="16"/>
        </w:rPr>
        <w:t>therapy</w:t>
      </w:r>
      <w:proofErr w:type="spellEnd"/>
      <w:r w:rsidRPr="009208F0">
        <w:rPr>
          <w:rFonts w:ascii="Verdana" w:hAnsi="Verdana"/>
          <w:color w:val="1F497D"/>
          <w:sz w:val="16"/>
          <w:szCs w:val="16"/>
        </w:rPr>
        <w:t>.</w:t>
      </w:r>
      <w:r w:rsidRPr="009208F0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9208F0">
        <w:rPr>
          <w:rFonts w:ascii="Verdana" w:hAnsi="Verdana"/>
          <w:color w:val="1F497D"/>
          <w:sz w:val="16"/>
          <w:szCs w:val="16"/>
        </w:rPr>
        <w:t>Health</w:t>
      </w:r>
      <w:proofErr w:type="spellEnd"/>
      <w:r w:rsidRPr="009208F0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9208F0">
        <w:rPr>
          <w:rFonts w:ascii="Verdana" w:hAnsi="Verdana"/>
          <w:color w:val="1F497D"/>
          <w:sz w:val="16"/>
          <w:szCs w:val="16"/>
        </w:rPr>
        <w:t>Technol</w:t>
      </w:r>
      <w:proofErr w:type="spellEnd"/>
      <w:r w:rsidRPr="009208F0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9208F0">
        <w:rPr>
          <w:rFonts w:ascii="Verdana" w:hAnsi="Verdana"/>
          <w:color w:val="1F497D"/>
          <w:sz w:val="16"/>
          <w:szCs w:val="16"/>
        </w:rPr>
        <w:t>Assess</w:t>
      </w:r>
      <w:proofErr w:type="spellEnd"/>
      <w:r w:rsidRPr="009208F0">
        <w:rPr>
          <w:rFonts w:ascii="Verdana" w:hAnsi="Verdana"/>
          <w:color w:val="1F497D"/>
          <w:sz w:val="16"/>
          <w:szCs w:val="16"/>
        </w:rPr>
        <w:t xml:space="preserve">. 2010 Jun;14(31):iii-iv, 1-75. </w:t>
      </w:r>
      <w:proofErr w:type="spellStart"/>
      <w:r w:rsidRPr="009208F0">
        <w:rPr>
          <w:rFonts w:ascii="Verdana" w:hAnsi="Verdana"/>
          <w:color w:val="1F497D"/>
          <w:sz w:val="16"/>
          <w:szCs w:val="16"/>
        </w:rPr>
        <w:t>doi</w:t>
      </w:r>
      <w:proofErr w:type="spellEnd"/>
      <w:r w:rsidRPr="009208F0">
        <w:rPr>
          <w:rFonts w:ascii="Verdana" w:hAnsi="Verdana"/>
          <w:color w:val="1F497D"/>
          <w:sz w:val="16"/>
          <w:szCs w:val="16"/>
        </w:rPr>
        <w:t>: 10.3310/hta14310.</w:t>
      </w:r>
    </w:p>
    <w:p w:rsidR="00691E14" w:rsidRDefault="00691E14" w:rsidP="00691E14">
      <w:pPr>
        <w:pStyle w:val="FootnoteText"/>
      </w:pPr>
    </w:p>
    <w:p w:rsidR="00691E14" w:rsidRDefault="00691E14" w:rsidP="00691E14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87658"/>
    <w:multiLevelType w:val="multilevel"/>
    <w:tmpl w:val="D82E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A662C"/>
    <w:multiLevelType w:val="multilevel"/>
    <w:tmpl w:val="DBB2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B60555"/>
    <w:multiLevelType w:val="hybridMultilevel"/>
    <w:tmpl w:val="7FF442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628CC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27A7A2E"/>
    <w:multiLevelType w:val="multilevel"/>
    <w:tmpl w:val="0CF09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30"/>
    </w:lvlOverride>
  </w:num>
  <w:num w:numId="4">
    <w:abstractNumId w:val="0"/>
    <w:lvlOverride w:ilvl="0">
      <w:startOverride w:val="3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DE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5208"/>
    <w:rsid w:val="000463B8"/>
    <w:rsid w:val="00046AC5"/>
    <w:rsid w:val="00046B43"/>
    <w:rsid w:val="00046EF3"/>
    <w:rsid w:val="00046F86"/>
    <w:rsid w:val="000472DC"/>
    <w:rsid w:val="00047F39"/>
    <w:rsid w:val="000500F3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06EC"/>
    <w:rsid w:val="00071076"/>
    <w:rsid w:val="0007107C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338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5AE5"/>
    <w:rsid w:val="000A5D2A"/>
    <w:rsid w:val="000A638C"/>
    <w:rsid w:val="000A65ED"/>
    <w:rsid w:val="000A692C"/>
    <w:rsid w:val="000A7B10"/>
    <w:rsid w:val="000A7D46"/>
    <w:rsid w:val="000B0705"/>
    <w:rsid w:val="000B07C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4112"/>
    <w:rsid w:val="001343D0"/>
    <w:rsid w:val="00134EFF"/>
    <w:rsid w:val="0013545D"/>
    <w:rsid w:val="00136991"/>
    <w:rsid w:val="00136DD4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DB1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6F4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2A1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6242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11FC"/>
    <w:rsid w:val="00222470"/>
    <w:rsid w:val="002228B6"/>
    <w:rsid w:val="00222BE3"/>
    <w:rsid w:val="00222CCB"/>
    <w:rsid w:val="00222F3E"/>
    <w:rsid w:val="0022391C"/>
    <w:rsid w:val="00224454"/>
    <w:rsid w:val="00224CA5"/>
    <w:rsid w:val="00224E2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F3"/>
    <w:rsid w:val="00253F7A"/>
    <w:rsid w:val="002541F9"/>
    <w:rsid w:val="002548FB"/>
    <w:rsid w:val="00255397"/>
    <w:rsid w:val="00255A1C"/>
    <w:rsid w:val="00255A8A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156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6437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0E7F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50EB"/>
    <w:rsid w:val="002D5A86"/>
    <w:rsid w:val="002D5B8E"/>
    <w:rsid w:val="002D65F1"/>
    <w:rsid w:val="002D67F4"/>
    <w:rsid w:val="002D680F"/>
    <w:rsid w:val="002D6EA8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9E2"/>
    <w:rsid w:val="002E7706"/>
    <w:rsid w:val="002F12D2"/>
    <w:rsid w:val="002F1CC1"/>
    <w:rsid w:val="002F1DB7"/>
    <w:rsid w:val="002F288D"/>
    <w:rsid w:val="002F2E78"/>
    <w:rsid w:val="002F3BAB"/>
    <w:rsid w:val="002F4488"/>
    <w:rsid w:val="002F4A75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20514"/>
    <w:rsid w:val="003209AF"/>
    <w:rsid w:val="00320B2D"/>
    <w:rsid w:val="003211FC"/>
    <w:rsid w:val="003220DA"/>
    <w:rsid w:val="003221C7"/>
    <w:rsid w:val="003228AA"/>
    <w:rsid w:val="00324819"/>
    <w:rsid w:val="00326F72"/>
    <w:rsid w:val="00327AC5"/>
    <w:rsid w:val="003302C8"/>
    <w:rsid w:val="003316EF"/>
    <w:rsid w:val="00331F57"/>
    <w:rsid w:val="00332F11"/>
    <w:rsid w:val="0033378D"/>
    <w:rsid w:val="0033443E"/>
    <w:rsid w:val="003354CC"/>
    <w:rsid w:val="00336193"/>
    <w:rsid w:val="003361D6"/>
    <w:rsid w:val="003363D7"/>
    <w:rsid w:val="0033648E"/>
    <w:rsid w:val="00336E34"/>
    <w:rsid w:val="0033737E"/>
    <w:rsid w:val="00340802"/>
    <w:rsid w:val="00341857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A1E"/>
    <w:rsid w:val="00377A70"/>
    <w:rsid w:val="00380DBE"/>
    <w:rsid w:val="00381414"/>
    <w:rsid w:val="003827F4"/>
    <w:rsid w:val="00382A28"/>
    <w:rsid w:val="003844DA"/>
    <w:rsid w:val="00384A54"/>
    <w:rsid w:val="00385243"/>
    <w:rsid w:val="00385C51"/>
    <w:rsid w:val="003860B9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4FB"/>
    <w:rsid w:val="00397511"/>
    <w:rsid w:val="00397906"/>
    <w:rsid w:val="00397AD0"/>
    <w:rsid w:val="003A028D"/>
    <w:rsid w:val="003A0773"/>
    <w:rsid w:val="003A1967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510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425"/>
    <w:rsid w:val="003D56FF"/>
    <w:rsid w:val="003D6B3C"/>
    <w:rsid w:val="003D70F8"/>
    <w:rsid w:val="003D7704"/>
    <w:rsid w:val="003D7F53"/>
    <w:rsid w:val="003E0296"/>
    <w:rsid w:val="003E0698"/>
    <w:rsid w:val="003E0FEA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B4B"/>
    <w:rsid w:val="00401BB6"/>
    <w:rsid w:val="0040228C"/>
    <w:rsid w:val="004022B2"/>
    <w:rsid w:val="004024CA"/>
    <w:rsid w:val="004025F9"/>
    <w:rsid w:val="00402CDE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57B0"/>
    <w:rsid w:val="00415B52"/>
    <w:rsid w:val="00415D35"/>
    <w:rsid w:val="00415F11"/>
    <w:rsid w:val="004161D3"/>
    <w:rsid w:val="004162E8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394"/>
    <w:rsid w:val="004319F0"/>
    <w:rsid w:val="004320AD"/>
    <w:rsid w:val="004321FE"/>
    <w:rsid w:val="004323B4"/>
    <w:rsid w:val="00432AB7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C67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580"/>
    <w:rsid w:val="00465FE8"/>
    <w:rsid w:val="0046628F"/>
    <w:rsid w:val="004669FF"/>
    <w:rsid w:val="00466CAB"/>
    <w:rsid w:val="00466FF9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A58"/>
    <w:rsid w:val="0049208E"/>
    <w:rsid w:val="00492EC0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1F1"/>
    <w:rsid w:val="004B25A8"/>
    <w:rsid w:val="004B3B18"/>
    <w:rsid w:val="004B4626"/>
    <w:rsid w:val="004B4B6B"/>
    <w:rsid w:val="004B4DAE"/>
    <w:rsid w:val="004B5D97"/>
    <w:rsid w:val="004B64E1"/>
    <w:rsid w:val="004B683C"/>
    <w:rsid w:val="004B71F2"/>
    <w:rsid w:val="004B738F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C58"/>
    <w:rsid w:val="004C7FC7"/>
    <w:rsid w:val="004D1135"/>
    <w:rsid w:val="004D1567"/>
    <w:rsid w:val="004D18B5"/>
    <w:rsid w:val="004D20D3"/>
    <w:rsid w:val="004D28B5"/>
    <w:rsid w:val="004D2E78"/>
    <w:rsid w:val="004D5AF9"/>
    <w:rsid w:val="004D5DD3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F99"/>
    <w:rsid w:val="004F50C9"/>
    <w:rsid w:val="004F5ECC"/>
    <w:rsid w:val="004F6795"/>
    <w:rsid w:val="004F6B1B"/>
    <w:rsid w:val="004F7C97"/>
    <w:rsid w:val="00500E17"/>
    <w:rsid w:val="00500EBF"/>
    <w:rsid w:val="00500F0A"/>
    <w:rsid w:val="00501088"/>
    <w:rsid w:val="0050148A"/>
    <w:rsid w:val="005019E3"/>
    <w:rsid w:val="005029E0"/>
    <w:rsid w:val="00502C9A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BAC"/>
    <w:rsid w:val="00524FED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6A34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6EA5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549A"/>
    <w:rsid w:val="005E61D9"/>
    <w:rsid w:val="005E6332"/>
    <w:rsid w:val="005E6A1D"/>
    <w:rsid w:val="005E7702"/>
    <w:rsid w:val="005E7FBF"/>
    <w:rsid w:val="005F0140"/>
    <w:rsid w:val="005F0A0C"/>
    <w:rsid w:val="005F0B47"/>
    <w:rsid w:val="005F0B8A"/>
    <w:rsid w:val="005F1237"/>
    <w:rsid w:val="005F1C65"/>
    <w:rsid w:val="005F200F"/>
    <w:rsid w:val="005F2474"/>
    <w:rsid w:val="005F2730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600138"/>
    <w:rsid w:val="006003D9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195C"/>
    <w:rsid w:val="00611FD1"/>
    <w:rsid w:val="0061214C"/>
    <w:rsid w:val="006124A2"/>
    <w:rsid w:val="00612FEB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29C7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A67"/>
    <w:rsid w:val="00652298"/>
    <w:rsid w:val="00652492"/>
    <w:rsid w:val="00652723"/>
    <w:rsid w:val="00652CA2"/>
    <w:rsid w:val="006535C1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34DC"/>
    <w:rsid w:val="006638AA"/>
    <w:rsid w:val="00663ADA"/>
    <w:rsid w:val="00664533"/>
    <w:rsid w:val="00664CB0"/>
    <w:rsid w:val="00664E7A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278A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E14"/>
    <w:rsid w:val="00691F67"/>
    <w:rsid w:val="00693468"/>
    <w:rsid w:val="00693607"/>
    <w:rsid w:val="00693DB7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3C3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E0216"/>
    <w:rsid w:val="006E0505"/>
    <w:rsid w:val="006E07D1"/>
    <w:rsid w:val="006E1969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0BF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BB7"/>
    <w:rsid w:val="00714E80"/>
    <w:rsid w:val="007155DA"/>
    <w:rsid w:val="00716388"/>
    <w:rsid w:val="0071686E"/>
    <w:rsid w:val="00717593"/>
    <w:rsid w:val="007175AA"/>
    <w:rsid w:val="007177CF"/>
    <w:rsid w:val="00720399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17D"/>
    <w:rsid w:val="00796754"/>
    <w:rsid w:val="007968E7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1AB3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994"/>
    <w:rsid w:val="007D69B6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97D"/>
    <w:rsid w:val="00816DB0"/>
    <w:rsid w:val="008172FF"/>
    <w:rsid w:val="00817AE0"/>
    <w:rsid w:val="00820469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C03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6D6F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F48"/>
    <w:rsid w:val="0087352B"/>
    <w:rsid w:val="008738B7"/>
    <w:rsid w:val="00873E4D"/>
    <w:rsid w:val="008741D5"/>
    <w:rsid w:val="00874CA4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C49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D25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0BA4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2E97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601"/>
    <w:rsid w:val="008F1E6B"/>
    <w:rsid w:val="008F22C3"/>
    <w:rsid w:val="008F3879"/>
    <w:rsid w:val="008F3CC6"/>
    <w:rsid w:val="008F3CEB"/>
    <w:rsid w:val="008F3F1A"/>
    <w:rsid w:val="008F48B1"/>
    <w:rsid w:val="008F4FE0"/>
    <w:rsid w:val="008F5E95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AD8"/>
    <w:rsid w:val="00917C5B"/>
    <w:rsid w:val="009208F0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208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448D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58F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05C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01D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3C3"/>
    <w:rsid w:val="00A57790"/>
    <w:rsid w:val="00A57815"/>
    <w:rsid w:val="00A6076A"/>
    <w:rsid w:val="00A6108C"/>
    <w:rsid w:val="00A61A43"/>
    <w:rsid w:val="00A61B1E"/>
    <w:rsid w:val="00A6201F"/>
    <w:rsid w:val="00A62273"/>
    <w:rsid w:val="00A63619"/>
    <w:rsid w:val="00A63642"/>
    <w:rsid w:val="00A63A22"/>
    <w:rsid w:val="00A64731"/>
    <w:rsid w:val="00A64AB3"/>
    <w:rsid w:val="00A64FF3"/>
    <w:rsid w:val="00A65437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45C"/>
    <w:rsid w:val="00A84689"/>
    <w:rsid w:val="00A86009"/>
    <w:rsid w:val="00A86431"/>
    <w:rsid w:val="00A869B5"/>
    <w:rsid w:val="00A86CE7"/>
    <w:rsid w:val="00A875E1"/>
    <w:rsid w:val="00A87A25"/>
    <w:rsid w:val="00A90EC1"/>
    <w:rsid w:val="00A91375"/>
    <w:rsid w:val="00A917CD"/>
    <w:rsid w:val="00A91E40"/>
    <w:rsid w:val="00A91EF3"/>
    <w:rsid w:val="00A91FF3"/>
    <w:rsid w:val="00A92020"/>
    <w:rsid w:val="00A92AA5"/>
    <w:rsid w:val="00A92F11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4AF5"/>
    <w:rsid w:val="00AD51E3"/>
    <w:rsid w:val="00AD5599"/>
    <w:rsid w:val="00AD73AF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2DB0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3B26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5CFE"/>
    <w:rsid w:val="00B3612A"/>
    <w:rsid w:val="00B36162"/>
    <w:rsid w:val="00B3647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32A4"/>
    <w:rsid w:val="00B63E99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BFC"/>
    <w:rsid w:val="00B930D0"/>
    <w:rsid w:val="00B933D3"/>
    <w:rsid w:val="00B9356B"/>
    <w:rsid w:val="00B93A58"/>
    <w:rsid w:val="00B94372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052"/>
    <w:rsid w:val="00BC6430"/>
    <w:rsid w:val="00BC660B"/>
    <w:rsid w:val="00BC695E"/>
    <w:rsid w:val="00BC73A6"/>
    <w:rsid w:val="00BC78EA"/>
    <w:rsid w:val="00BC7A1C"/>
    <w:rsid w:val="00BD1E97"/>
    <w:rsid w:val="00BD20E6"/>
    <w:rsid w:val="00BD2780"/>
    <w:rsid w:val="00BD3021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A71"/>
    <w:rsid w:val="00BE1B2F"/>
    <w:rsid w:val="00BE1B38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C26"/>
    <w:rsid w:val="00C12D4B"/>
    <w:rsid w:val="00C13963"/>
    <w:rsid w:val="00C14773"/>
    <w:rsid w:val="00C14D74"/>
    <w:rsid w:val="00C1536E"/>
    <w:rsid w:val="00C15A94"/>
    <w:rsid w:val="00C15B5D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28A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D27"/>
    <w:rsid w:val="00C3326D"/>
    <w:rsid w:val="00C337D7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E6B"/>
    <w:rsid w:val="00C645E1"/>
    <w:rsid w:val="00C645E5"/>
    <w:rsid w:val="00C64919"/>
    <w:rsid w:val="00C64C13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263B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26E"/>
    <w:rsid w:val="00CA22DE"/>
    <w:rsid w:val="00CA25E4"/>
    <w:rsid w:val="00CA34AF"/>
    <w:rsid w:val="00CA3999"/>
    <w:rsid w:val="00CA4953"/>
    <w:rsid w:val="00CA4A81"/>
    <w:rsid w:val="00CA5327"/>
    <w:rsid w:val="00CA7379"/>
    <w:rsid w:val="00CA7526"/>
    <w:rsid w:val="00CA75B4"/>
    <w:rsid w:val="00CB0EF8"/>
    <w:rsid w:val="00CB0FAA"/>
    <w:rsid w:val="00CB2EB7"/>
    <w:rsid w:val="00CB3518"/>
    <w:rsid w:val="00CB3611"/>
    <w:rsid w:val="00CB4279"/>
    <w:rsid w:val="00CB648E"/>
    <w:rsid w:val="00CB6531"/>
    <w:rsid w:val="00CB6A5B"/>
    <w:rsid w:val="00CB6B45"/>
    <w:rsid w:val="00CB6EB5"/>
    <w:rsid w:val="00CB725E"/>
    <w:rsid w:val="00CB7601"/>
    <w:rsid w:val="00CC05E8"/>
    <w:rsid w:val="00CC0C91"/>
    <w:rsid w:val="00CC0DA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5B40"/>
    <w:rsid w:val="00CE6FD5"/>
    <w:rsid w:val="00CE722B"/>
    <w:rsid w:val="00CE73B4"/>
    <w:rsid w:val="00CF04ED"/>
    <w:rsid w:val="00CF080B"/>
    <w:rsid w:val="00CF08AB"/>
    <w:rsid w:val="00CF0944"/>
    <w:rsid w:val="00CF14AD"/>
    <w:rsid w:val="00CF1BEC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D003DC"/>
    <w:rsid w:val="00D01306"/>
    <w:rsid w:val="00D0145D"/>
    <w:rsid w:val="00D021AF"/>
    <w:rsid w:val="00D022A5"/>
    <w:rsid w:val="00D023B8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4EB4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40A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4A3"/>
    <w:rsid w:val="00D3665E"/>
    <w:rsid w:val="00D3681A"/>
    <w:rsid w:val="00D368CA"/>
    <w:rsid w:val="00D36A6A"/>
    <w:rsid w:val="00D36ACA"/>
    <w:rsid w:val="00D37256"/>
    <w:rsid w:val="00D40736"/>
    <w:rsid w:val="00D4093A"/>
    <w:rsid w:val="00D40E68"/>
    <w:rsid w:val="00D41D3A"/>
    <w:rsid w:val="00D42AC7"/>
    <w:rsid w:val="00D4338F"/>
    <w:rsid w:val="00D434D5"/>
    <w:rsid w:val="00D43941"/>
    <w:rsid w:val="00D4469C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6EA5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B9E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0EE"/>
    <w:rsid w:val="00DE7B8A"/>
    <w:rsid w:val="00DF05F5"/>
    <w:rsid w:val="00DF08CD"/>
    <w:rsid w:val="00DF0A25"/>
    <w:rsid w:val="00DF1331"/>
    <w:rsid w:val="00DF289B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442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DA4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550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040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0F27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01E"/>
    <w:rsid w:val="00EF54C2"/>
    <w:rsid w:val="00EF5662"/>
    <w:rsid w:val="00EF588D"/>
    <w:rsid w:val="00EF5CF3"/>
    <w:rsid w:val="00EF60FE"/>
    <w:rsid w:val="00EF643F"/>
    <w:rsid w:val="00EF6D38"/>
    <w:rsid w:val="00EF703E"/>
    <w:rsid w:val="00F0025D"/>
    <w:rsid w:val="00F00398"/>
    <w:rsid w:val="00F0085D"/>
    <w:rsid w:val="00F008CB"/>
    <w:rsid w:val="00F00D15"/>
    <w:rsid w:val="00F00DA9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092"/>
    <w:rsid w:val="00F306BE"/>
    <w:rsid w:val="00F3080A"/>
    <w:rsid w:val="00F3103E"/>
    <w:rsid w:val="00F31327"/>
    <w:rsid w:val="00F31C42"/>
    <w:rsid w:val="00F31D8F"/>
    <w:rsid w:val="00F32045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677D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3F"/>
    <w:rsid w:val="00F500A5"/>
    <w:rsid w:val="00F50E4F"/>
    <w:rsid w:val="00F5141E"/>
    <w:rsid w:val="00F5148C"/>
    <w:rsid w:val="00F518BC"/>
    <w:rsid w:val="00F51F59"/>
    <w:rsid w:val="00F527AB"/>
    <w:rsid w:val="00F52D51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2D0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4CC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abstractlabel">
    <w:name w:val="sub_abstract_label"/>
    <w:rsid w:val="00402CDE"/>
    <w:rPr>
      <w:b/>
      <w:bCs/>
      <w:sz w:val="24"/>
      <w:szCs w:val="24"/>
    </w:rPr>
  </w:style>
  <w:style w:type="table" w:styleId="TableGrid">
    <w:name w:val="Table Grid"/>
    <w:basedOn w:val="TableNormal"/>
    <w:rsid w:val="00402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-term-highlight1">
    <w:name w:val="search-term-highlight1"/>
    <w:rsid w:val="00196F4C"/>
    <w:rPr>
      <w:b/>
      <w:bCs/>
      <w:color w:val="CC0000"/>
    </w:rPr>
  </w:style>
  <w:style w:type="character" w:styleId="HTMLCite">
    <w:name w:val="HTML Cite"/>
    <w:rsid w:val="00C337D7"/>
    <w:rPr>
      <w:i/>
      <w:iCs/>
    </w:rPr>
  </w:style>
  <w:style w:type="character" w:customStyle="1" w:styleId="cit-vol1">
    <w:name w:val="cit-vol1"/>
    <w:rsid w:val="00C337D7"/>
    <w:rPr>
      <w:b w:val="0"/>
      <w:bCs w:val="0"/>
    </w:rPr>
  </w:style>
  <w:style w:type="character" w:customStyle="1" w:styleId="cit-title1">
    <w:name w:val="cit-title1"/>
    <w:basedOn w:val="DefaultParagraphFont"/>
    <w:rsid w:val="00C337D7"/>
  </w:style>
  <w:style w:type="character" w:customStyle="1" w:styleId="cit-authcit-auth-type-author">
    <w:name w:val="cit-auth cit-auth-type-author"/>
    <w:basedOn w:val="DefaultParagraphFont"/>
    <w:rsid w:val="00C337D7"/>
  </w:style>
  <w:style w:type="character" w:customStyle="1" w:styleId="cit-sepcit-sep-separator">
    <w:name w:val="cit-sep cit-sep-separator"/>
    <w:basedOn w:val="DefaultParagraphFont"/>
    <w:rsid w:val="00C337D7"/>
  </w:style>
  <w:style w:type="character" w:customStyle="1" w:styleId="cit-print-date">
    <w:name w:val="cit-print-date"/>
    <w:basedOn w:val="DefaultParagraphFont"/>
    <w:rsid w:val="00C337D7"/>
  </w:style>
  <w:style w:type="character" w:customStyle="1" w:styleId="cit-sepcit-sep-after-article-print-date">
    <w:name w:val="cit-sep cit-sep-after-article-print-date"/>
    <w:basedOn w:val="DefaultParagraphFont"/>
    <w:rsid w:val="00C337D7"/>
  </w:style>
  <w:style w:type="character" w:customStyle="1" w:styleId="cit-sepcit-sep-after-article-vol">
    <w:name w:val="cit-sep cit-sep-after-article-vol"/>
    <w:basedOn w:val="DefaultParagraphFont"/>
    <w:rsid w:val="00C337D7"/>
  </w:style>
  <w:style w:type="character" w:customStyle="1" w:styleId="cit-first-page">
    <w:name w:val="cit-first-page"/>
    <w:basedOn w:val="DefaultParagraphFont"/>
    <w:rsid w:val="00C337D7"/>
  </w:style>
  <w:style w:type="character" w:styleId="Hyperlink">
    <w:name w:val="Hyperlink"/>
    <w:rsid w:val="00BC6052"/>
    <w:rPr>
      <w:color w:val="0000FF"/>
      <w:u w:val="single"/>
    </w:rPr>
  </w:style>
  <w:style w:type="character" w:styleId="Emphasis">
    <w:name w:val="Emphasis"/>
    <w:qFormat/>
    <w:rsid w:val="00BC6052"/>
    <w:rPr>
      <w:i/>
      <w:iCs/>
    </w:rPr>
  </w:style>
  <w:style w:type="paragraph" w:customStyle="1" w:styleId="p1">
    <w:name w:val="p1"/>
    <w:basedOn w:val="Normal"/>
    <w:rsid w:val="00C7263B"/>
    <w:rPr>
      <w:rFonts w:ascii="Times" w:hAnsi="Times"/>
      <w:sz w:val="15"/>
      <w:szCs w:val="15"/>
      <w:lang w:val="en-GB" w:eastAsia="en-GB"/>
    </w:rPr>
  </w:style>
  <w:style w:type="character" w:customStyle="1" w:styleId="apple-converted-space">
    <w:name w:val="apple-converted-space"/>
    <w:rsid w:val="00C7263B"/>
  </w:style>
  <w:style w:type="paragraph" w:styleId="BalloonText">
    <w:name w:val="Balloon Text"/>
    <w:basedOn w:val="Normal"/>
    <w:link w:val="BalloonTextChar"/>
    <w:rsid w:val="009F5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558F"/>
    <w:rPr>
      <w:rFonts w:ascii="Tahoma" w:hAnsi="Tahoma" w:cs="Tahoma"/>
      <w:sz w:val="16"/>
      <w:szCs w:val="16"/>
      <w:lang w:eastAsia="et-EE"/>
    </w:rPr>
  </w:style>
  <w:style w:type="paragraph" w:styleId="FootnoteText">
    <w:name w:val="footnote text"/>
    <w:basedOn w:val="Normal"/>
    <w:link w:val="FootnoteTextChar"/>
    <w:rsid w:val="00691E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91E14"/>
    <w:rPr>
      <w:lang w:eastAsia="et-EE"/>
    </w:rPr>
  </w:style>
  <w:style w:type="character" w:styleId="FootnoteReference">
    <w:name w:val="footnote reference"/>
    <w:basedOn w:val="DefaultParagraphFont"/>
    <w:rsid w:val="00691E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abstractlabel">
    <w:name w:val="sub_abstract_label"/>
    <w:rsid w:val="00402CDE"/>
    <w:rPr>
      <w:b/>
      <w:bCs/>
      <w:sz w:val="24"/>
      <w:szCs w:val="24"/>
    </w:rPr>
  </w:style>
  <w:style w:type="table" w:styleId="TableGrid">
    <w:name w:val="Table Grid"/>
    <w:basedOn w:val="TableNormal"/>
    <w:rsid w:val="00402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-term-highlight1">
    <w:name w:val="search-term-highlight1"/>
    <w:rsid w:val="00196F4C"/>
    <w:rPr>
      <w:b/>
      <w:bCs/>
      <w:color w:val="CC0000"/>
    </w:rPr>
  </w:style>
  <w:style w:type="character" w:styleId="HTMLCite">
    <w:name w:val="HTML Cite"/>
    <w:rsid w:val="00C337D7"/>
    <w:rPr>
      <w:i/>
      <w:iCs/>
    </w:rPr>
  </w:style>
  <w:style w:type="character" w:customStyle="1" w:styleId="cit-vol1">
    <w:name w:val="cit-vol1"/>
    <w:rsid w:val="00C337D7"/>
    <w:rPr>
      <w:b w:val="0"/>
      <w:bCs w:val="0"/>
    </w:rPr>
  </w:style>
  <w:style w:type="character" w:customStyle="1" w:styleId="cit-title1">
    <w:name w:val="cit-title1"/>
    <w:basedOn w:val="DefaultParagraphFont"/>
    <w:rsid w:val="00C337D7"/>
  </w:style>
  <w:style w:type="character" w:customStyle="1" w:styleId="cit-authcit-auth-type-author">
    <w:name w:val="cit-auth cit-auth-type-author"/>
    <w:basedOn w:val="DefaultParagraphFont"/>
    <w:rsid w:val="00C337D7"/>
  </w:style>
  <w:style w:type="character" w:customStyle="1" w:styleId="cit-sepcit-sep-separator">
    <w:name w:val="cit-sep cit-sep-separator"/>
    <w:basedOn w:val="DefaultParagraphFont"/>
    <w:rsid w:val="00C337D7"/>
  </w:style>
  <w:style w:type="character" w:customStyle="1" w:styleId="cit-print-date">
    <w:name w:val="cit-print-date"/>
    <w:basedOn w:val="DefaultParagraphFont"/>
    <w:rsid w:val="00C337D7"/>
  </w:style>
  <w:style w:type="character" w:customStyle="1" w:styleId="cit-sepcit-sep-after-article-print-date">
    <w:name w:val="cit-sep cit-sep-after-article-print-date"/>
    <w:basedOn w:val="DefaultParagraphFont"/>
    <w:rsid w:val="00C337D7"/>
  </w:style>
  <w:style w:type="character" w:customStyle="1" w:styleId="cit-sepcit-sep-after-article-vol">
    <w:name w:val="cit-sep cit-sep-after-article-vol"/>
    <w:basedOn w:val="DefaultParagraphFont"/>
    <w:rsid w:val="00C337D7"/>
  </w:style>
  <w:style w:type="character" w:customStyle="1" w:styleId="cit-first-page">
    <w:name w:val="cit-first-page"/>
    <w:basedOn w:val="DefaultParagraphFont"/>
    <w:rsid w:val="00C337D7"/>
  </w:style>
  <w:style w:type="character" w:styleId="Hyperlink">
    <w:name w:val="Hyperlink"/>
    <w:rsid w:val="00BC6052"/>
    <w:rPr>
      <w:color w:val="0000FF"/>
      <w:u w:val="single"/>
    </w:rPr>
  </w:style>
  <w:style w:type="character" w:styleId="Emphasis">
    <w:name w:val="Emphasis"/>
    <w:qFormat/>
    <w:rsid w:val="00BC6052"/>
    <w:rPr>
      <w:i/>
      <w:iCs/>
    </w:rPr>
  </w:style>
  <w:style w:type="paragraph" w:customStyle="1" w:styleId="p1">
    <w:name w:val="p1"/>
    <w:basedOn w:val="Normal"/>
    <w:rsid w:val="00C7263B"/>
    <w:rPr>
      <w:rFonts w:ascii="Times" w:hAnsi="Times"/>
      <w:sz w:val="15"/>
      <w:szCs w:val="15"/>
      <w:lang w:val="en-GB" w:eastAsia="en-GB"/>
    </w:rPr>
  </w:style>
  <w:style w:type="character" w:customStyle="1" w:styleId="apple-converted-space">
    <w:name w:val="apple-converted-space"/>
    <w:rsid w:val="00C7263B"/>
  </w:style>
  <w:style w:type="paragraph" w:styleId="BalloonText">
    <w:name w:val="Balloon Text"/>
    <w:basedOn w:val="Normal"/>
    <w:link w:val="BalloonTextChar"/>
    <w:rsid w:val="009F5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558F"/>
    <w:rPr>
      <w:rFonts w:ascii="Tahoma" w:hAnsi="Tahoma" w:cs="Tahoma"/>
      <w:sz w:val="16"/>
      <w:szCs w:val="16"/>
      <w:lang w:eastAsia="et-EE"/>
    </w:rPr>
  </w:style>
  <w:style w:type="paragraph" w:styleId="FootnoteText">
    <w:name w:val="footnote text"/>
    <w:basedOn w:val="Normal"/>
    <w:link w:val="FootnoteTextChar"/>
    <w:rsid w:val="00691E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91E14"/>
    <w:rPr>
      <w:lang w:eastAsia="et-EE"/>
    </w:rPr>
  </w:style>
  <w:style w:type="character" w:styleId="FootnoteReference">
    <w:name w:val="footnote reference"/>
    <w:basedOn w:val="DefaultParagraphFont"/>
    <w:rsid w:val="00691E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0559">
              <w:marLeft w:val="0"/>
              <w:marRight w:val="0"/>
              <w:marTop w:val="0"/>
              <w:marBottom w:val="0"/>
              <w:divBdr>
                <w:top w:val="single" w:sz="2" w:space="0" w:color="B8B6B6"/>
                <w:left w:val="single" w:sz="6" w:space="0" w:color="B8B6B6"/>
                <w:bottom w:val="single" w:sz="6" w:space="0" w:color="B8B6B6"/>
                <w:right w:val="single" w:sz="6" w:space="0" w:color="B8B6B6"/>
              </w:divBdr>
              <w:divsChild>
                <w:div w:id="15271389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88029">
                          <w:marLeft w:val="15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5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2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0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6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36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405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176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5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10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863EB9A-6898-4FD5-8F15-C1681CA03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1266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Non-pharmacological treatment</vt:lpstr>
    </vt:vector>
  </TitlesOfParts>
  <Company>Ravimiamet</Company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Non-pharmacological treatment</dc:title>
  <dc:creator>Kasutaja</dc:creator>
  <cp:lastModifiedBy>Alar Irs</cp:lastModifiedBy>
  <cp:revision>4</cp:revision>
  <dcterms:created xsi:type="dcterms:W3CDTF">2017-09-09T18:04:00Z</dcterms:created>
  <dcterms:modified xsi:type="dcterms:W3CDTF">2017-09-12T19:10:00Z</dcterms:modified>
</cp:coreProperties>
</file>