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90A" w:rsidRPr="00A97024" w:rsidRDefault="0002590A" w:rsidP="004F6C78">
      <w:pPr>
        <w:rPr>
          <w:rFonts w:ascii="Verdana" w:hAnsi="Verdana"/>
          <w:b/>
          <w:color w:val="000080"/>
          <w:sz w:val="18"/>
          <w:szCs w:val="18"/>
        </w:rPr>
      </w:pPr>
    </w:p>
    <w:p w:rsidR="004654CD" w:rsidRDefault="0031077D" w:rsidP="004654CD">
      <w:pPr>
        <w:rPr>
          <w:b/>
          <w:sz w:val="20"/>
          <w:szCs w:val="20"/>
        </w:rPr>
      </w:pPr>
      <w:r w:rsidRPr="00553B01">
        <w:rPr>
          <w:b/>
          <w:sz w:val="20"/>
          <w:szCs w:val="20"/>
        </w:rPr>
        <w:t>Kliiniline küsimus nr</w:t>
      </w:r>
      <w:r w:rsidR="00B2455C">
        <w:rPr>
          <w:b/>
          <w:sz w:val="20"/>
          <w:szCs w:val="20"/>
        </w:rPr>
        <w:t xml:space="preserve"> </w:t>
      </w:r>
      <w:r w:rsidR="0082784D">
        <w:rPr>
          <w:b/>
          <w:sz w:val="20"/>
          <w:szCs w:val="20"/>
        </w:rPr>
        <w:t>1</w:t>
      </w:r>
      <w:r w:rsidR="00EC25D0">
        <w:rPr>
          <w:b/>
          <w:sz w:val="20"/>
          <w:szCs w:val="20"/>
        </w:rPr>
        <w:t>7</w:t>
      </w:r>
      <w:r w:rsidR="00B2455C">
        <w:rPr>
          <w:b/>
          <w:sz w:val="20"/>
          <w:szCs w:val="20"/>
        </w:rPr>
        <w:t>.</w:t>
      </w:r>
    </w:p>
    <w:p w:rsidR="00B2455C" w:rsidRPr="00553B01" w:rsidRDefault="00B2455C" w:rsidP="004654CD">
      <w:pPr>
        <w:rPr>
          <w:b/>
          <w:sz w:val="20"/>
          <w:szCs w:val="20"/>
        </w:rPr>
      </w:pPr>
    </w:p>
    <w:p w:rsidR="000C5360" w:rsidRDefault="00EC25D0" w:rsidP="009A0577">
      <w:pPr>
        <w:spacing w:after="120"/>
        <w:rPr>
          <w:color w:val="000000"/>
          <w:shd w:val="clear" w:color="auto" w:fill="FFFFFF"/>
        </w:rPr>
      </w:pPr>
      <w:r w:rsidRPr="003A365E">
        <w:rPr>
          <w:color w:val="000000"/>
          <w:shd w:val="clear" w:color="auto" w:fill="FFFFFF"/>
        </w:rPr>
        <w:t xml:space="preserve">Kas siinusrütmi säilitavaks raviks tuleks eelistada mõnd konkreetset ravimirühma/ravimit: BBL vs </w:t>
      </w:r>
      <w:proofErr w:type="spellStart"/>
      <w:r w:rsidRPr="003A365E">
        <w:rPr>
          <w:color w:val="000000"/>
          <w:shd w:val="clear" w:color="auto" w:fill="FFFFFF"/>
        </w:rPr>
        <w:t>Ic</w:t>
      </w:r>
      <w:proofErr w:type="spellEnd"/>
      <w:r w:rsidRPr="003A365E">
        <w:rPr>
          <w:color w:val="000000"/>
          <w:shd w:val="clear" w:color="auto" w:fill="FFFFFF"/>
        </w:rPr>
        <w:t xml:space="preserve"> vs III</w:t>
      </w:r>
      <w:r w:rsidR="00AE1E17" w:rsidRPr="00AE1E17">
        <w:rPr>
          <w:color w:val="000000"/>
          <w:shd w:val="clear" w:color="auto" w:fill="FFFFFF"/>
        </w:rPr>
        <w:t>?</w:t>
      </w:r>
    </w:p>
    <w:p w:rsidR="00D4790A" w:rsidRPr="00553B01" w:rsidRDefault="00D4790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432CD4" w:rsidRPr="00553B01" w:rsidTr="000A44F5">
        <w:trPr>
          <w:trHeight w:val="1026"/>
        </w:trPr>
        <w:tc>
          <w:tcPr>
            <w:tcW w:w="9288" w:type="dxa"/>
            <w:gridSpan w:val="3"/>
            <w:shd w:val="clear" w:color="auto" w:fill="auto"/>
          </w:tcPr>
          <w:p w:rsidR="00891C08" w:rsidRPr="00553B01" w:rsidRDefault="00891C08">
            <w:pPr>
              <w:rPr>
                <w:b/>
                <w:sz w:val="20"/>
                <w:szCs w:val="20"/>
              </w:rPr>
            </w:pPr>
          </w:p>
          <w:p w:rsidR="00553B01" w:rsidRDefault="0031077D" w:rsidP="003764E6">
            <w:pPr>
              <w:rPr>
                <w:sz w:val="20"/>
                <w:szCs w:val="20"/>
              </w:rPr>
            </w:pPr>
            <w:r w:rsidRPr="004F4099">
              <w:rPr>
                <w:b/>
                <w:sz w:val="20"/>
                <w:szCs w:val="20"/>
              </w:rPr>
              <w:t>Töörühma soovitus</w:t>
            </w:r>
            <w:r w:rsidR="00553B01" w:rsidRPr="004F4099">
              <w:rPr>
                <w:b/>
                <w:sz w:val="20"/>
                <w:szCs w:val="20"/>
              </w:rPr>
              <w:t>ed</w:t>
            </w:r>
            <w:r w:rsidRPr="00553B01">
              <w:rPr>
                <w:sz w:val="20"/>
                <w:szCs w:val="20"/>
              </w:rPr>
              <w:t xml:space="preserve">: </w:t>
            </w:r>
          </w:p>
          <w:p w:rsidR="00553B01" w:rsidRDefault="001F2127" w:rsidP="001F2127">
            <w:r w:rsidRPr="007D6B5F">
              <w:rPr>
                <w:i/>
              </w:rPr>
              <w:t>Tugev soovitus, mõõdukas tõendatus</w:t>
            </w:r>
            <w:r>
              <w:rPr>
                <w:i/>
              </w:rPr>
              <w:t xml:space="preserve"> „</w:t>
            </w:r>
            <w:r w:rsidRPr="7BC01E0A">
              <w:t xml:space="preserve">Kui sümptomaatiliste </w:t>
            </w:r>
            <w:proofErr w:type="spellStart"/>
            <w:r w:rsidRPr="7BC01E0A">
              <w:t>paroksüsmidega</w:t>
            </w:r>
            <w:proofErr w:type="spellEnd"/>
            <w:r w:rsidRPr="7BC01E0A">
              <w:t xml:space="preserve"> </w:t>
            </w:r>
            <w:r>
              <w:t>KVA</w:t>
            </w:r>
            <w:r w:rsidRPr="7BC01E0A">
              <w:t xml:space="preserve"> puhul on koostöös patsiendiga valitud siinusrütmi säilitav ravistrateegia, kasutage esimese siinusrütmi säilitava ravimina beeta</w:t>
            </w:r>
            <w:r>
              <w:t>-</w:t>
            </w:r>
            <w:proofErr w:type="spellStart"/>
            <w:r w:rsidRPr="7BC01E0A">
              <w:t>adrenoblokaatorit</w:t>
            </w:r>
            <w:proofErr w:type="spellEnd"/>
            <w:r w:rsidRPr="7BC01E0A">
              <w:t>.</w:t>
            </w:r>
            <w:r>
              <w:t>“</w:t>
            </w:r>
          </w:p>
          <w:p w:rsidR="001F2127" w:rsidRDefault="001F2127" w:rsidP="001F2127">
            <w:pPr>
              <w:rPr>
                <w:sz w:val="20"/>
                <w:szCs w:val="20"/>
                <w:u w:val="single"/>
              </w:rPr>
            </w:pPr>
          </w:p>
          <w:p w:rsidR="001F2127" w:rsidRDefault="001F2127" w:rsidP="001F2127">
            <w:pPr>
              <w:spacing w:before="120" w:after="120"/>
            </w:pPr>
            <w:r w:rsidRPr="007D6B5F">
              <w:rPr>
                <w:i/>
              </w:rPr>
              <w:t>Tugev soovitus, väga madal tõendatus</w:t>
            </w:r>
            <w:r>
              <w:rPr>
                <w:i/>
              </w:rPr>
              <w:t xml:space="preserve"> „</w:t>
            </w:r>
            <w:r w:rsidRPr="000C6261">
              <w:t xml:space="preserve">Kui sümptomaatiliste </w:t>
            </w:r>
            <w:proofErr w:type="spellStart"/>
            <w:r w:rsidRPr="000C6261">
              <w:t>paroksüsmidega</w:t>
            </w:r>
            <w:proofErr w:type="spellEnd"/>
            <w:r w:rsidRPr="000C6261">
              <w:t xml:space="preserve"> </w:t>
            </w:r>
            <w:r>
              <w:t xml:space="preserve">KVA </w:t>
            </w:r>
            <w:r w:rsidRPr="000C6261">
              <w:t xml:space="preserve">puhul on </w:t>
            </w:r>
            <w:r w:rsidRPr="0053696E">
              <w:t>koostöös patsiendiga valitud siinusrütmi säilitav ravistrateegia</w:t>
            </w:r>
            <w:r w:rsidRPr="0053696E" w:rsidDel="000C6261">
              <w:t xml:space="preserve"> </w:t>
            </w:r>
            <w:r>
              <w:t xml:space="preserve">ja </w:t>
            </w:r>
            <w:r w:rsidRPr="2BC20FEF">
              <w:t xml:space="preserve">beetablokaatori kasutamine </w:t>
            </w:r>
            <w:r>
              <w:t xml:space="preserve">on </w:t>
            </w:r>
            <w:r w:rsidRPr="2BC20FEF">
              <w:t xml:space="preserve">vastunäidustatud või see ei ole tõhus, valige </w:t>
            </w:r>
            <w:proofErr w:type="spellStart"/>
            <w:r w:rsidRPr="2BC20FEF">
              <w:t>antiarütmiline</w:t>
            </w:r>
            <w:proofErr w:type="spellEnd"/>
            <w:r w:rsidRPr="2BC20FEF">
              <w:t xml:space="preserve"> ravim</w:t>
            </w:r>
            <w:r>
              <w:t>,</w:t>
            </w:r>
            <w:r w:rsidRPr="2BC20FEF">
              <w:t xml:space="preserve"> lähtudes ohutusest ning kaasuvatest haigustest </w:t>
            </w:r>
            <w:r w:rsidRPr="00B125F2">
              <w:t>(vt tabel y).“</w:t>
            </w:r>
          </w:p>
          <w:p w:rsidR="001F2127" w:rsidRDefault="001F2127" w:rsidP="001F2127">
            <w:pPr>
              <w:spacing w:before="120" w:after="120"/>
            </w:pPr>
          </w:p>
          <w:p w:rsidR="001F2127" w:rsidRDefault="001F2127" w:rsidP="001F2127">
            <w:pPr>
              <w:spacing w:before="120" w:after="120"/>
            </w:pPr>
            <w:r w:rsidRPr="007D6B5F">
              <w:rPr>
                <w:i/>
              </w:rPr>
              <w:t>Tugev soovitus, mõõdukas tõendatus</w:t>
            </w:r>
            <w:r>
              <w:rPr>
                <w:i/>
              </w:rPr>
              <w:t xml:space="preserve"> „</w:t>
            </w:r>
            <w:r w:rsidRPr="2BC20FEF">
              <w:t xml:space="preserve">Ärge kasutage IC klassi </w:t>
            </w:r>
            <w:proofErr w:type="spellStart"/>
            <w:r w:rsidRPr="2BC20FEF">
              <w:t>antiarütmikume</w:t>
            </w:r>
            <w:proofErr w:type="spellEnd"/>
            <w:r w:rsidRPr="2BC20FEF">
              <w:t xml:space="preserve"> (</w:t>
            </w:r>
            <w:proofErr w:type="spellStart"/>
            <w:r w:rsidRPr="2BC20FEF">
              <w:t>flekainiid</w:t>
            </w:r>
            <w:proofErr w:type="spellEnd"/>
            <w:r w:rsidRPr="2BC20FEF">
              <w:t xml:space="preserve">, </w:t>
            </w:r>
            <w:proofErr w:type="spellStart"/>
            <w:r w:rsidRPr="2BC20FEF">
              <w:t>propafenoon</w:t>
            </w:r>
            <w:proofErr w:type="spellEnd"/>
            <w:r w:rsidRPr="2BC20FEF">
              <w:t>) südame isheemiatõve ja struktuurse südamehaigusega patsientidel.</w:t>
            </w:r>
            <w:r>
              <w:t>“</w:t>
            </w:r>
          </w:p>
          <w:p w:rsidR="001F2127" w:rsidRDefault="001F2127" w:rsidP="001F2127">
            <w:pPr>
              <w:spacing w:before="120" w:after="120"/>
            </w:pPr>
          </w:p>
          <w:p w:rsidR="001F2127" w:rsidRDefault="001F2127" w:rsidP="001F2127">
            <w:pPr>
              <w:spacing w:before="120" w:after="120"/>
            </w:pPr>
            <w:r w:rsidRPr="007D6B5F">
              <w:rPr>
                <w:i/>
              </w:rPr>
              <w:t>Tugev soovitus, kõrge tõendatus</w:t>
            </w:r>
            <w:r>
              <w:rPr>
                <w:i/>
              </w:rPr>
              <w:t xml:space="preserve"> „</w:t>
            </w:r>
            <w:r w:rsidRPr="2BC20FEF">
              <w:t xml:space="preserve">Ärge kasutage </w:t>
            </w:r>
            <w:proofErr w:type="spellStart"/>
            <w:r w:rsidRPr="2BC20FEF">
              <w:t>amiodarooni</w:t>
            </w:r>
            <w:proofErr w:type="spellEnd"/>
            <w:r w:rsidRPr="2BC20FEF">
              <w:t xml:space="preserve"> pikaajaliselt, välja arvatud juhul, kui on kindel vajadus siinusrütmi säilitava ravi järele ja teised </w:t>
            </w:r>
            <w:proofErr w:type="spellStart"/>
            <w:r w:rsidRPr="2BC20FEF">
              <w:t>antiarütmikumid</w:t>
            </w:r>
            <w:proofErr w:type="spellEnd"/>
            <w:r w:rsidRPr="2BC20FEF">
              <w:t xml:space="preserve"> ei ole efektiivsed või on vastunäidustatud.</w:t>
            </w:r>
            <w:r>
              <w:t>“</w:t>
            </w:r>
          </w:p>
          <w:p w:rsidR="001F2127" w:rsidRDefault="001F2127" w:rsidP="001F2127">
            <w:pPr>
              <w:spacing w:before="120" w:after="120"/>
            </w:pPr>
          </w:p>
          <w:p w:rsidR="001F2127" w:rsidRDefault="001F2127" w:rsidP="001F2127">
            <w:pPr>
              <w:spacing w:before="120" w:after="120"/>
            </w:pPr>
            <w:r w:rsidRPr="007D6B5F">
              <w:rPr>
                <w:i/>
              </w:rPr>
              <w:t>Töörühma praktiline soovitus</w:t>
            </w:r>
            <w:r>
              <w:rPr>
                <w:i/>
              </w:rPr>
              <w:t xml:space="preserve"> „</w:t>
            </w:r>
            <w:r w:rsidRPr="0053696E">
              <w:t xml:space="preserve">Sagedaste sümptomaatiliste </w:t>
            </w:r>
            <w:proofErr w:type="spellStart"/>
            <w:r w:rsidRPr="0053696E">
              <w:t>paroksüsmidega</w:t>
            </w:r>
            <w:proofErr w:type="spellEnd"/>
            <w:r w:rsidRPr="0053696E">
              <w:t xml:space="preserve"> </w:t>
            </w:r>
            <w:r w:rsidRPr="00B125F2">
              <w:t xml:space="preserve">kodade virvendusarütmia puhul kaaluge patsiendi suunamist </w:t>
            </w:r>
            <w:proofErr w:type="spellStart"/>
            <w:r w:rsidRPr="00B125F2">
              <w:t>kateeterablatsioonile</w:t>
            </w:r>
            <w:proofErr w:type="spellEnd"/>
            <w:r w:rsidRPr="00B125F2">
              <w:t xml:space="preserve"> (vt tabel z</w:t>
            </w:r>
            <w:r w:rsidRPr="0053696E">
              <w:t xml:space="preserve"> näidustuste kohta).</w:t>
            </w:r>
            <w:r>
              <w:t>“</w:t>
            </w:r>
          </w:p>
          <w:p w:rsidR="001F2127" w:rsidRDefault="001F2127" w:rsidP="001F2127">
            <w:pPr>
              <w:spacing w:before="120" w:after="120"/>
            </w:pPr>
          </w:p>
          <w:p w:rsidR="001F2127" w:rsidRPr="001F2127" w:rsidRDefault="001F2127" w:rsidP="001F2127">
            <w:pPr>
              <w:spacing w:before="120" w:after="120"/>
            </w:pPr>
            <w:r w:rsidRPr="007D6B5F">
              <w:rPr>
                <w:i/>
              </w:rPr>
              <w:t>Tugev soovitus, mõõdukas tõendatus</w:t>
            </w:r>
            <w:r>
              <w:rPr>
                <w:i/>
              </w:rPr>
              <w:t xml:space="preserve"> „</w:t>
            </w:r>
            <w:r w:rsidRPr="2BC20FEF">
              <w:t xml:space="preserve">Kasutage </w:t>
            </w:r>
            <w:proofErr w:type="spellStart"/>
            <w:r w:rsidRPr="2BC20FEF">
              <w:t>angiotensiini</w:t>
            </w:r>
            <w:proofErr w:type="spellEnd"/>
            <w:r w:rsidRPr="2BC20FEF">
              <w:t xml:space="preserve"> konverteeriva ensüümi inhibiitorit (või </w:t>
            </w:r>
            <w:r>
              <w:t xml:space="preserve">selle talumatuse korral </w:t>
            </w:r>
            <w:proofErr w:type="spellStart"/>
            <w:r w:rsidRPr="2BC20FEF">
              <w:t>angiotensiini</w:t>
            </w:r>
            <w:proofErr w:type="spellEnd"/>
            <w:r w:rsidRPr="2BC20FEF">
              <w:t xml:space="preserve"> retseptori </w:t>
            </w:r>
            <w:proofErr w:type="spellStart"/>
            <w:r w:rsidRPr="2BC20FEF">
              <w:t>blokaatorit</w:t>
            </w:r>
            <w:proofErr w:type="spellEnd"/>
            <w:r w:rsidRPr="2BC20FEF">
              <w:t xml:space="preserve">) ja </w:t>
            </w:r>
            <w:proofErr w:type="spellStart"/>
            <w:r w:rsidRPr="2BC20FEF">
              <w:t>beetablokaatorit</w:t>
            </w:r>
            <w:proofErr w:type="spellEnd"/>
            <w:r w:rsidRPr="2BC20FEF">
              <w:t xml:space="preserve"> südamepuudulikkuse ja langenud väljutusfraktsiooniga patsientidel, et ennetada kodade virvendusarütmia uue </w:t>
            </w:r>
            <w:proofErr w:type="spellStart"/>
            <w:r>
              <w:t>paroksüsmi</w:t>
            </w:r>
            <w:proofErr w:type="spellEnd"/>
            <w:r w:rsidRPr="2BC20FEF">
              <w:t xml:space="preserve"> teket.</w:t>
            </w:r>
            <w:r>
              <w:t>“</w:t>
            </w: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Patsient/sihtrühm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287C7F" w:rsidRPr="009B6A08" w:rsidRDefault="00B125F2" w:rsidP="00287C7F">
            <w:pPr>
              <w:rPr>
                <w:i/>
              </w:rPr>
            </w:pPr>
            <w:r w:rsidRPr="009B6A08">
              <w:t>KVA patsiend</w:t>
            </w:r>
            <w:r w:rsidR="009B6A08">
              <w:t xml:space="preserve">i </w:t>
            </w:r>
            <w:r w:rsidR="009B6A08" w:rsidRPr="003A365E">
              <w:rPr>
                <w:color w:val="000000"/>
                <w:shd w:val="clear" w:color="auto" w:fill="FFFFFF"/>
              </w:rPr>
              <w:t>siinusrütmi säilitav ravi</w:t>
            </w:r>
            <w:bookmarkStart w:id="0" w:name="_GoBack"/>
            <w:bookmarkEnd w:id="0"/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Sekkumine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4654CD" w:rsidRPr="009B6A08" w:rsidRDefault="00B125F2" w:rsidP="00287C7F">
            <w:pPr>
              <w:rPr>
                <w:i/>
              </w:rPr>
            </w:pPr>
            <w:r w:rsidRPr="009B6A08">
              <w:rPr>
                <w:color w:val="000000"/>
                <w:shd w:val="clear" w:color="auto" w:fill="FFFFFF"/>
              </w:rPr>
              <w:t xml:space="preserve">BBL vs </w:t>
            </w:r>
            <w:proofErr w:type="spellStart"/>
            <w:r w:rsidRPr="009B6A08">
              <w:rPr>
                <w:color w:val="000000"/>
                <w:shd w:val="clear" w:color="auto" w:fill="FFFFFF"/>
              </w:rPr>
              <w:t>Ic</w:t>
            </w:r>
            <w:proofErr w:type="spellEnd"/>
            <w:r w:rsidRPr="009B6A08">
              <w:rPr>
                <w:color w:val="000000"/>
                <w:shd w:val="clear" w:color="auto" w:fill="FFFFFF"/>
              </w:rPr>
              <w:t xml:space="preserve"> vs III</w:t>
            </w:r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Tegur</w:t>
            </w:r>
          </w:p>
          <w:p w:rsidR="00F54ABC" w:rsidRPr="00553B01" w:rsidRDefault="00F54ABC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Otsus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Selgitus</w:t>
            </w:r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Väga hea või keskmise kvaliteediga tõendusmaterjal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 xml:space="preserve">(kas tõendusmaterjal on väga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>kvaliteetne?)</w:t>
            </w:r>
            <w:r w:rsidRPr="00553B01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i/>
                <w:iCs/>
                <w:sz w:val="20"/>
                <w:szCs w:val="20"/>
                <w:lang w:eastAsia="en-US"/>
              </w:rPr>
              <w:t xml:space="preserve">(Mida kõrgem on tõendusmaterjali kvaliteet, seda tugevam on soovitus)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4F4099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4ABC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 xml:space="preserve">□ </w:t>
            </w:r>
            <w:r w:rsidRPr="00553B01">
              <w:rPr>
                <w:sz w:val="20"/>
                <w:szCs w:val="20"/>
              </w:rPr>
              <w:t>Ei</w:t>
            </w:r>
          </w:p>
        </w:tc>
        <w:tc>
          <w:tcPr>
            <w:tcW w:w="4740" w:type="dxa"/>
            <w:shd w:val="clear" w:color="auto" w:fill="auto"/>
          </w:tcPr>
          <w:p w:rsidR="00874DAC" w:rsidRPr="00553B01" w:rsidRDefault="00B125F2" w:rsidP="00553B01">
            <w:pPr>
              <w:shd w:val="clear" w:color="auto" w:fill="FFFFFF"/>
              <w:spacing w:after="120"/>
              <w:ind w:right="240"/>
              <w:jc w:val="both"/>
              <w:rPr>
                <w:sz w:val="20"/>
                <w:szCs w:val="20"/>
              </w:rPr>
            </w:pPr>
            <w:proofErr w:type="spellStart"/>
            <w:r w:rsidRPr="008F393B">
              <w:t>Flekaniid</w:t>
            </w:r>
            <w:proofErr w:type="spellEnd"/>
            <w:r w:rsidRPr="008F393B">
              <w:t xml:space="preserve">, </w:t>
            </w:r>
            <w:proofErr w:type="spellStart"/>
            <w:r w:rsidRPr="008F393B">
              <w:t>propafenoon</w:t>
            </w:r>
            <w:proofErr w:type="spellEnd"/>
            <w:r w:rsidRPr="008F393B">
              <w:t xml:space="preserve">, </w:t>
            </w:r>
            <w:proofErr w:type="spellStart"/>
            <w:r w:rsidRPr="008F393B">
              <w:t>amiodaroon</w:t>
            </w:r>
            <w:proofErr w:type="spellEnd"/>
            <w:r w:rsidRPr="008F393B">
              <w:t xml:space="preserve"> ja </w:t>
            </w:r>
            <w:proofErr w:type="spellStart"/>
            <w:r w:rsidRPr="008F393B">
              <w:t>sotalool</w:t>
            </w:r>
            <w:proofErr w:type="spellEnd"/>
            <w:r w:rsidRPr="008F393B">
              <w:t xml:space="preserve"> on kliiniliselt efektiivsed võrreldes platseeboga. </w:t>
            </w:r>
            <w:proofErr w:type="spellStart"/>
            <w:r w:rsidRPr="008F393B">
              <w:t>Amiodaroon</w:t>
            </w:r>
            <w:proofErr w:type="spellEnd"/>
            <w:r w:rsidRPr="008F393B">
              <w:t xml:space="preserve"> on ilmselt kõige efektiivsem ja kõige toksilisem. Teiste omavaheline järjestus ei ole selge.</w:t>
            </w:r>
          </w:p>
        </w:tc>
      </w:tr>
    </w:tbl>
    <w:p w:rsidR="00CE4799" w:rsidRPr="00553B01" w:rsidRDefault="00CE479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Kindlustunne kasude ning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kahjude ja koormuse tasakaalu suhtes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(kas on kindlustunne?)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erinevus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soovitavate ja soovimatute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tagajärgede vahel ning kindlustunne selle erinevuse suhtes, seda tõenäolisem on tugev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soovitus. Mida väiksem on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tegelik kasu ja mida väiksem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on kindlustunne selle kasu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suhtes, seda tõenäolisem on </w:t>
            </w: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sz w:val="20"/>
                <w:szCs w:val="20"/>
              </w:rPr>
              <w:t xml:space="preserve"> 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A61053" w:rsidP="00553B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Sisesta siia töörühma arutelu sekkumise kasude ja kahjude kohta</w:t>
            </w:r>
          </w:p>
        </w:tc>
      </w:tr>
    </w:tbl>
    <w:p w:rsidR="0002590A" w:rsidRPr="00553B01" w:rsidRDefault="0002590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EC306F">
        <w:tc>
          <w:tcPr>
            <w:tcW w:w="3468" w:type="dxa"/>
            <w:shd w:val="clear" w:color="auto" w:fill="auto"/>
          </w:tcPr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Kindlus või sarnasus väärtustes (kas on kindlustunne?)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varieeruvus 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="00F53DCE" w:rsidRPr="00553B01" w:rsidRDefault="00F53DCE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3DCE" w:rsidRPr="00553B01">
              <w:rPr>
                <w:sz w:val="20"/>
                <w:szCs w:val="20"/>
              </w:rPr>
              <w:t>Jah</w:t>
            </w: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Pr="00553B01">
              <w:rPr>
                <w:sz w:val="20"/>
                <w:szCs w:val="20"/>
              </w:rPr>
              <w:t xml:space="preserve"> Ei</w:t>
            </w:r>
          </w:p>
        </w:tc>
        <w:tc>
          <w:tcPr>
            <w:tcW w:w="4740" w:type="dxa"/>
            <w:shd w:val="clear" w:color="auto" w:fill="auto"/>
          </w:tcPr>
          <w:p w:rsidR="00F53DCE" w:rsidRDefault="00F53DCE" w:rsidP="004F6C78">
            <w:pPr>
              <w:rPr>
                <w:sz w:val="20"/>
                <w:szCs w:val="20"/>
              </w:rPr>
            </w:pPr>
          </w:p>
          <w:p w:rsidR="00B125F2" w:rsidRPr="008F393B" w:rsidRDefault="00B125F2" w:rsidP="00B125F2">
            <w:pPr>
              <w:spacing w:after="120"/>
            </w:pPr>
            <w:r w:rsidRPr="008F393B">
              <w:t>Juhtivaks põhimõtteks on ravi määramine üksnes</w:t>
            </w:r>
            <w:r>
              <w:t xml:space="preserve"> </w:t>
            </w:r>
            <w:r w:rsidRPr="008F393B">
              <w:t>sümptomaatilistele patsientidele</w:t>
            </w:r>
            <w:r w:rsidR="00A076B6">
              <w:t xml:space="preserve">, </w:t>
            </w:r>
            <w:r w:rsidR="00A076B6" w:rsidRPr="008F393B">
              <w:t>efektiivsus on mõõdukas, ravi võib KVA sagedust vähendada, ent mitte välja ravida</w:t>
            </w:r>
            <w:r w:rsidRPr="008F393B">
              <w:t xml:space="preserve"> ning peamiseks kaalutluseks </w:t>
            </w:r>
            <w:r w:rsidR="00A076B6">
              <w:t xml:space="preserve">on </w:t>
            </w:r>
            <w:r w:rsidRPr="008F393B">
              <w:t>ohutus.</w:t>
            </w:r>
          </w:p>
          <w:p w:rsidR="00525339" w:rsidRPr="00525339" w:rsidRDefault="00525339" w:rsidP="004F6C7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Ressursi tähendus (kas tarbitud ressursid olid väärt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oodatavat kasu)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b/>
                <w:sz w:val="20"/>
                <w:szCs w:val="20"/>
              </w:rPr>
              <w:t xml:space="preserve"> </w:t>
            </w:r>
            <w:r w:rsidR="00287C7F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A97024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 w:rsidRPr="00A61053">
              <w:rPr>
                <w:bCs/>
                <w:i/>
                <w:sz w:val="20"/>
                <w:szCs w:val="20"/>
              </w:rPr>
              <w:t>Sisesta siia informatsioon soovitusega seotud ressursside vajadusest: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  <w:t xml:space="preserve">A) </w:t>
            </w:r>
            <w:r w:rsidRPr="00A61053">
              <w:rPr>
                <w:bCs/>
                <w:i/>
                <w:sz w:val="20"/>
                <w:szCs w:val="20"/>
              </w:rPr>
              <w:t>Antud soovitus põhistab juba väljakujunenud praktikat (soovituses formuleeritu ongi juba igapäevases praktikas selgelt peamine lähenemisviis).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B) </w:t>
            </w:r>
            <w:r w:rsidRPr="00A61053">
              <w:rPr>
                <w:bCs/>
                <w:i/>
                <w:sz w:val="20"/>
                <w:szCs w:val="20"/>
              </w:rPr>
              <w:t>Praegune praktika on selgelt teistsugune, kui soovituses formuleeritu (saab välja tuua selge enimkasutatava soovituses formuleeritust erineva praktika).</w:t>
            </w:r>
          </w:p>
          <w:p w:rsidR="00A61053" w:rsidRPr="00A61053" w:rsidRDefault="00A61053" w:rsidP="00A61053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C) </w:t>
            </w:r>
            <w:r w:rsidRPr="00A61053">
              <w:rPr>
                <w:bCs/>
                <w:i/>
                <w:sz w:val="20"/>
                <w:szCs w:val="20"/>
              </w:rPr>
              <w:t>Soovitus ühtlustab senist praktikat (soovituses formuleeritu kõrval kasutatakse mitmeid alternatiivseid lähenemisi, selgelt enimkasutatavat lähenemist ei ole võimalik välja tuua).</w:t>
            </w:r>
          </w:p>
          <w:p w:rsidR="00060034" w:rsidRPr="00553B01" w:rsidRDefault="00060034" w:rsidP="00F53DCE">
            <w:pPr>
              <w:rPr>
                <w:i/>
                <w:sz w:val="20"/>
                <w:szCs w:val="20"/>
              </w:rPr>
            </w:pPr>
          </w:p>
        </w:tc>
      </w:tr>
      <w:tr w:rsidR="00B22EE4" w:rsidRPr="00553B01" w:rsidTr="00A97024">
        <w:tc>
          <w:tcPr>
            <w:tcW w:w="3468" w:type="dxa"/>
            <w:shd w:val="clear" w:color="auto" w:fill="auto"/>
          </w:tcPr>
          <w:p w:rsidR="00A97024" w:rsidRPr="00553B01" w:rsidRDefault="00A61053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Soovituse </w:t>
            </w:r>
            <w:r w:rsidR="00A97024" w:rsidRPr="00553B01">
              <w:rPr>
                <w:b/>
                <w:bCs/>
                <w:sz w:val="20"/>
                <w:szCs w:val="20"/>
                <w:lang w:eastAsia="en-US"/>
              </w:rPr>
              <w:t>tugevus</w:t>
            </w:r>
            <w:r w:rsidR="004F6C78" w:rsidRPr="00553B0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US"/>
              </w:rPr>
              <w:t>ja suund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7B042A" w:rsidRPr="00553B01" w:rsidRDefault="00A97024" w:rsidP="007B042A">
            <w:pPr>
              <w:autoSpaceDE w:val="0"/>
              <w:autoSpaceDN w:val="0"/>
              <w:adjustRightInd w:val="0"/>
              <w:rPr>
                <w:b/>
                <w:bCs/>
                <w:color w:val="000080"/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  <w:r w:rsidR="007B042A" w:rsidRPr="00553B01">
              <w:rPr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:rsidR="004F6C78" w:rsidRPr="00553B01" w:rsidRDefault="004F6C78" w:rsidP="007B042A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820" w:type="dxa"/>
            <w:gridSpan w:val="2"/>
            <w:shd w:val="clear" w:color="auto" w:fill="auto"/>
          </w:tcPr>
          <w:p w:rsidR="004F6C78" w:rsidRPr="00553B01" w:rsidRDefault="004F6C78">
            <w:pPr>
              <w:rPr>
                <w:sz w:val="20"/>
                <w:szCs w:val="20"/>
              </w:rPr>
            </w:pPr>
          </w:p>
          <w:p w:rsidR="007B042A" w:rsidRPr="005128D4" w:rsidRDefault="005128D4" w:rsidP="00A61053">
            <w:pPr>
              <w:rPr>
                <w:i/>
                <w:sz w:val="20"/>
                <w:szCs w:val="20"/>
              </w:rPr>
            </w:pPr>
            <w:r w:rsidRPr="005128D4">
              <w:rPr>
                <w:i/>
                <w:sz w:val="20"/>
                <w:szCs w:val="20"/>
              </w:rPr>
              <w:t>Sisesta siia töörühma arutelu soovituse tugevuse ja suuna kohta.</w:t>
            </w:r>
          </w:p>
        </w:tc>
      </w:tr>
    </w:tbl>
    <w:p w:rsidR="00D25CBB" w:rsidRPr="00553B01" w:rsidRDefault="00D25CBB" w:rsidP="005F7FC4">
      <w:pPr>
        <w:rPr>
          <w:sz w:val="22"/>
          <w:szCs w:val="22"/>
        </w:rPr>
      </w:pPr>
    </w:p>
    <w:sectPr w:rsidR="00D25CBB" w:rsidRPr="00553B01" w:rsidSect="00A9702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D6C" w:rsidRDefault="00033D6C" w:rsidP="003D7DEF">
      <w:r>
        <w:separator/>
      </w:r>
    </w:p>
  </w:endnote>
  <w:endnote w:type="continuationSeparator" w:id="0">
    <w:p w:rsidR="00033D6C" w:rsidRDefault="00033D6C" w:rsidP="003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6629B3" w:rsidP="00891C08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D6C" w:rsidRDefault="00033D6C" w:rsidP="003D7DEF">
      <w:r>
        <w:separator/>
      </w:r>
    </w:p>
  </w:footnote>
  <w:footnote w:type="continuationSeparator" w:id="0">
    <w:p w:rsidR="00033D6C" w:rsidRDefault="00033D6C" w:rsidP="003D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3C318E" w:rsidP="00891C08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099" w:rsidRDefault="004F4099" w:rsidP="00287C7F">
    <w:pPr>
      <w:spacing w:after="360" w:line="360" w:lineRule="auto"/>
      <w:rPr>
        <w:sz w:val="22"/>
        <w:szCs w:val="22"/>
      </w:rPr>
    </w:pPr>
    <w:r w:rsidRPr="00B610A3">
      <w:rPr>
        <w:b/>
      </w:rPr>
      <w:t>Kodade virvendusarütmia (KVA) ravi- ja käsitlusjuhend</w:t>
    </w:r>
    <w:r w:rsidRPr="00553B01">
      <w:rPr>
        <w:sz w:val="22"/>
        <w:szCs w:val="22"/>
      </w:rPr>
      <w:t xml:space="preserve"> </w:t>
    </w:r>
  </w:p>
  <w:p w:rsidR="003C318E" w:rsidRPr="00553B01" w:rsidRDefault="004F4099" w:rsidP="00287C7F">
    <w:pPr>
      <w:spacing w:after="360" w:line="360" w:lineRule="auto"/>
      <w:rPr>
        <w:b/>
        <w:sz w:val="22"/>
        <w:szCs w:val="22"/>
      </w:rPr>
    </w:pPr>
    <w:r>
      <w:rPr>
        <w:sz w:val="22"/>
        <w:szCs w:val="22"/>
      </w:rPr>
      <w:t>Soovituste koostamise</w:t>
    </w:r>
    <w:r w:rsidR="003C318E" w:rsidRPr="00553B01">
      <w:rPr>
        <w:sz w:val="22"/>
        <w:szCs w:val="22"/>
      </w:rPr>
      <w:t xml:space="preserve"> kokkuvõte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09E7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E72B1"/>
    <w:multiLevelType w:val="hybridMultilevel"/>
    <w:tmpl w:val="3A52A8A0"/>
    <w:lvl w:ilvl="0" w:tplc="860CEA42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B06CAC9A">
      <w:start w:val="1"/>
      <w:numFmt w:val="lowerLetter"/>
      <w:lvlText w:val="%2."/>
      <w:lvlJc w:val="left"/>
      <w:pPr>
        <w:ind w:left="1800" w:hanging="360"/>
      </w:pPr>
      <w:rPr>
        <w:b w:val="0"/>
        <w:i w:val="0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2532DE"/>
    <w:multiLevelType w:val="hybridMultilevel"/>
    <w:tmpl w:val="516E80B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New-Baskerville-BoldA" w:hAnsi="Verdana" w:cs="AdvPSSAB-R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CE22E4"/>
    <w:multiLevelType w:val="hybridMultilevel"/>
    <w:tmpl w:val="B76E7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D7970"/>
    <w:multiLevelType w:val="hybridMultilevel"/>
    <w:tmpl w:val="A0D46E2C"/>
    <w:lvl w:ilvl="0" w:tplc="CB3AFB3A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3D6C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487A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034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5A9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B55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44F5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0F0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360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E7ED9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2B3B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43F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0925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127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0DBB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0470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496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C7F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DA1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34FE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074"/>
    <w:rsid w:val="002E69E2"/>
    <w:rsid w:val="002E7706"/>
    <w:rsid w:val="002F1053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15E77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118"/>
    <w:rsid w:val="003354CC"/>
    <w:rsid w:val="00336193"/>
    <w:rsid w:val="003361D6"/>
    <w:rsid w:val="003363D7"/>
    <w:rsid w:val="0033648E"/>
    <w:rsid w:val="00336E34"/>
    <w:rsid w:val="0033737E"/>
    <w:rsid w:val="00340802"/>
    <w:rsid w:val="00341429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4E6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6440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199D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18E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425"/>
    <w:rsid w:val="003D56FF"/>
    <w:rsid w:val="003D6B3C"/>
    <w:rsid w:val="003D70F8"/>
    <w:rsid w:val="003D7704"/>
    <w:rsid w:val="003D7DEF"/>
    <w:rsid w:val="003D7E2A"/>
    <w:rsid w:val="003D7F53"/>
    <w:rsid w:val="003E0296"/>
    <w:rsid w:val="003E0698"/>
    <w:rsid w:val="003E0FEA"/>
    <w:rsid w:val="003E1940"/>
    <w:rsid w:val="003E1A3F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4F9E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5E5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4CD"/>
    <w:rsid w:val="00465580"/>
    <w:rsid w:val="00465FE8"/>
    <w:rsid w:val="0046628F"/>
    <w:rsid w:val="004669FF"/>
    <w:rsid w:val="00466CAB"/>
    <w:rsid w:val="00466FF9"/>
    <w:rsid w:val="004707B7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C73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485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099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39FF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8D4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BAC"/>
    <w:rsid w:val="00524FED"/>
    <w:rsid w:val="00525339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3B01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5F7FC4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54F1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3B0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29B3"/>
    <w:rsid w:val="006634DC"/>
    <w:rsid w:val="006638AA"/>
    <w:rsid w:val="00663ADA"/>
    <w:rsid w:val="00664533"/>
    <w:rsid w:val="00664CB0"/>
    <w:rsid w:val="00664E7A"/>
    <w:rsid w:val="00664F16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6AE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138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D81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6AD6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042A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3F5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528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2784D"/>
    <w:rsid w:val="00830042"/>
    <w:rsid w:val="00830E88"/>
    <w:rsid w:val="00830F5A"/>
    <w:rsid w:val="008312A9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4DAC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0A37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3E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1BE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0219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577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2B"/>
    <w:rsid w:val="009B15F4"/>
    <w:rsid w:val="009B162D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6A08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5F7F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50D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6B6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53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6A9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4A7A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0120"/>
    <w:rsid w:val="00AE1E17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25F2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55C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79C"/>
    <w:rsid w:val="00B37B75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1CFC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0EE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1F0"/>
    <w:rsid w:val="00CA226E"/>
    <w:rsid w:val="00CA22DE"/>
    <w:rsid w:val="00CA25E4"/>
    <w:rsid w:val="00CA266D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5B74"/>
    <w:rsid w:val="00CB648E"/>
    <w:rsid w:val="00CB6A5B"/>
    <w:rsid w:val="00CB6B45"/>
    <w:rsid w:val="00CB6EB5"/>
    <w:rsid w:val="00CB725E"/>
    <w:rsid w:val="00CB7601"/>
    <w:rsid w:val="00CB7FAB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CC0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3C55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31A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6C9"/>
    <w:rsid w:val="00D42AC7"/>
    <w:rsid w:val="00D4338F"/>
    <w:rsid w:val="00D434D5"/>
    <w:rsid w:val="00D43941"/>
    <w:rsid w:val="00D4469C"/>
    <w:rsid w:val="00D44DB8"/>
    <w:rsid w:val="00D45568"/>
    <w:rsid w:val="00D457D4"/>
    <w:rsid w:val="00D4790A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A15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800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596D"/>
    <w:rsid w:val="00E76007"/>
    <w:rsid w:val="00E760A1"/>
    <w:rsid w:val="00E7655A"/>
    <w:rsid w:val="00E76D91"/>
    <w:rsid w:val="00E8120F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5D0"/>
    <w:rsid w:val="00EC2B95"/>
    <w:rsid w:val="00EC2C71"/>
    <w:rsid w:val="00EC2EDA"/>
    <w:rsid w:val="00EC2F5A"/>
    <w:rsid w:val="00EC306F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3DCE"/>
    <w:rsid w:val="00F54ABC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D4820"/>
  <w15:docId w15:val="{9ECF05F9-716B-4CA5-AB23-BBAFD656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6A98"/>
    <w:rPr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customStyle="1" w:styleId="HeaderChar">
    <w:name w:val="Header Char"/>
    <w:link w:val="Header"/>
    <w:uiPriority w:val="99"/>
    <w:rsid w:val="00A97024"/>
    <w:rPr>
      <w:sz w:val="24"/>
      <w:szCs w:val="24"/>
    </w:rPr>
  </w:style>
  <w:style w:type="character" w:styleId="CommentReference">
    <w:name w:val="annotation reference"/>
    <w:uiPriority w:val="99"/>
    <w:rsid w:val="00470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707B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707B7"/>
    <w:rPr>
      <w:lang w:val="et-EE" w:eastAsia="et-EE"/>
    </w:rPr>
  </w:style>
  <w:style w:type="paragraph" w:customStyle="1" w:styleId="ColorfulList-Accent11">
    <w:name w:val="Colorful List - Accent 11"/>
    <w:basedOn w:val="Normal"/>
    <w:qFormat/>
    <w:rsid w:val="004707B7"/>
    <w:pPr>
      <w:ind w:left="720"/>
      <w:contextualSpacing/>
    </w:pPr>
    <w:rPr>
      <w:lang w:val="en-GB"/>
    </w:rPr>
  </w:style>
  <w:style w:type="paragraph" w:styleId="ListParagraph">
    <w:name w:val="List Paragraph"/>
    <w:basedOn w:val="Normal"/>
    <w:uiPriority w:val="34"/>
    <w:qFormat/>
    <w:rsid w:val="00287C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596</Words>
  <Characters>3458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All patients with confirmed hypertension should / should not be offered dietary advice concerning salt restriction</vt:lpstr>
      <vt:lpstr>All patients with confirmed hypertension should / should not be offered dietary advice concerning salt restriction</vt:lpstr>
    </vt:vector>
  </TitlesOfParts>
  <Company>Ravimiamet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patients with confirmed hypertension should / should not be offered dietary advice concerning salt restriction</dc:title>
  <dc:creator>Kasutaja</dc:creator>
  <cp:lastModifiedBy>Anneli Truhanov</cp:lastModifiedBy>
  <cp:revision>6</cp:revision>
  <cp:lastPrinted>2017-02-13T08:40:00Z</cp:lastPrinted>
  <dcterms:created xsi:type="dcterms:W3CDTF">2018-04-25T06:59:00Z</dcterms:created>
  <dcterms:modified xsi:type="dcterms:W3CDTF">2018-04-25T10:11:00Z</dcterms:modified>
</cp:coreProperties>
</file>