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01D" w:rsidRPr="00A4001D" w:rsidRDefault="00A4001D" w:rsidP="00B63E99">
      <w:pPr>
        <w:spacing w:after="120"/>
        <w:rPr>
          <w:rFonts w:ascii="Verdana" w:hAnsi="Verdana"/>
          <w:b/>
          <w:bCs/>
          <w:color w:val="C00000"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bCs/>
          <w:color w:val="C00000"/>
          <w:sz w:val="18"/>
          <w:szCs w:val="18"/>
        </w:rPr>
        <w:t>Siinusrütmi säilitav</w:t>
      </w:r>
      <w:r w:rsidR="00B24E3E">
        <w:rPr>
          <w:rFonts w:ascii="Verdana" w:hAnsi="Verdana"/>
          <w:b/>
          <w:bCs/>
          <w:color w:val="C00000"/>
          <w:sz w:val="18"/>
          <w:szCs w:val="18"/>
        </w:rPr>
        <w:t xml:space="preserve">a </w:t>
      </w:r>
      <w:r w:rsidR="00B24E3E" w:rsidRPr="00B24E3E">
        <w:rPr>
          <w:rFonts w:ascii="Verdana" w:hAnsi="Verdana"/>
          <w:b/>
          <w:bCs/>
          <w:color w:val="C00000"/>
          <w:sz w:val="18"/>
          <w:szCs w:val="18"/>
        </w:rPr>
        <w:t>ravimi valik</w:t>
      </w:r>
    </w:p>
    <w:p w:rsidR="008D0BA4" w:rsidRDefault="002C0E7F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Kliiniline küsimus</w:t>
      </w:r>
      <w:r w:rsidR="00D56EA5" w:rsidRPr="00CA7379">
        <w:rPr>
          <w:rFonts w:ascii="Verdana" w:hAnsi="Verdana"/>
          <w:bCs/>
          <w:color w:val="1F497D"/>
          <w:sz w:val="18"/>
          <w:szCs w:val="18"/>
        </w:rPr>
        <w:t xml:space="preserve">  </w:t>
      </w:r>
    </w:p>
    <w:p w:rsidR="00B24E3E" w:rsidRDefault="00B24E3E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B24E3E">
        <w:rPr>
          <w:rFonts w:ascii="Verdana" w:hAnsi="Verdana"/>
          <w:bCs/>
          <w:color w:val="1F497D"/>
          <w:sz w:val="18"/>
          <w:szCs w:val="18"/>
        </w:rPr>
        <w:t xml:space="preserve">Kas siinusrütmi säilitavaks raviks tuleks eelistada mõnd konkreetset ravimirühma/ravimit: BBL vs </w:t>
      </w:r>
      <w:proofErr w:type="spellStart"/>
      <w:r w:rsidRPr="00B24E3E">
        <w:rPr>
          <w:rFonts w:ascii="Verdana" w:hAnsi="Verdana"/>
          <w:bCs/>
          <w:color w:val="1F497D"/>
          <w:sz w:val="18"/>
          <w:szCs w:val="18"/>
        </w:rPr>
        <w:t>Ic</w:t>
      </w:r>
      <w:proofErr w:type="spellEnd"/>
      <w:r w:rsidRPr="00B24E3E">
        <w:rPr>
          <w:rFonts w:ascii="Verdana" w:hAnsi="Verdana"/>
          <w:bCs/>
          <w:color w:val="1F497D"/>
          <w:sz w:val="18"/>
          <w:szCs w:val="18"/>
        </w:rPr>
        <w:t xml:space="preserve"> vs III?</w:t>
      </w:r>
    </w:p>
    <w:p w:rsidR="008D0BA4" w:rsidRPr="00CA7379" w:rsidRDefault="002C0E7F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b/>
          <w:color w:val="1F497D"/>
          <w:sz w:val="18"/>
          <w:szCs w:val="18"/>
        </w:rPr>
        <w:t>Olulised tulemusnäitajad</w:t>
      </w:r>
      <w:r w:rsidR="008D0BA4" w:rsidRPr="00CA7379">
        <w:rPr>
          <w:rFonts w:ascii="Verdana" w:hAnsi="Verdana"/>
          <w:color w:val="1F497D"/>
          <w:sz w:val="18"/>
          <w:szCs w:val="18"/>
        </w:rPr>
        <w:t xml:space="preserve"> </w:t>
      </w:r>
    </w:p>
    <w:p w:rsidR="002C0E7F" w:rsidRDefault="008D0B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color w:val="1F497D"/>
          <w:sz w:val="18"/>
          <w:szCs w:val="18"/>
        </w:rPr>
        <w:t xml:space="preserve">Surm, ajuinfarkt, trombemboolia, </w:t>
      </w:r>
      <w:r w:rsidR="004E6CCD">
        <w:rPr>
          <w:rFonts w:ascii="Verdana" w:hAnsi="Verdana"/>
          <w:color w:val="1F497D"/>
          <w:sz w:val="18"/>
          <w:szCs w:val="18"/>
        </w:rPr>
        <w:t>elukvaliteet</w:t>
      </w:r>
      <w:r w:rsidRPr="00CA7379">
        <w:rPr>
          <w:rFonts w:ascii="Verdana" w:hAnsi="Verdana"/>
          <w:color w:val="1F497D"/>
          <w:sz w:val="18"/>
          <w:szCs w:val="18"/>
        </w:rPr>
        <w:t>, tõsine kõrvaltoime.</w:t>
      </w:r>
    </w:p>
    <w:p w:rsidR="00874CA4" w:rsidRPr="00CA7379" w:rsidRDefault="00874C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 xml:space="preserve">Mõõdukalt olulised: </w:t>
      </w:r>
      <w:r w:rsidRPr="00874CA4">
        <w:rPr>
          <w:rFonts w:ascii="Verdana" w:hAnsi="Verdana"/>
          <w:color w:val="1F497D"/>
          <w:sz w:val="18"/>
          <w:szCs w:val="18"/>
        </w:rPr>
        <w:t>hospitaliseerimine, KVA taasteke (sek preventsioonil), ravi katkestama sundiv kõrvaltoime, südamepuudulikkus, aeg K</w:t>
      </w:r>
      <w:r w:rsidR="004E6CCD">
        <w:rPr>
          <w:rFonts w:ascii="Verdana" w:hAnsi="Verdana"/>
          <w:color w:val="1F497D"/>
          <w:sz w:val="18"/>
          <w:szCs w:val="18"/>
        </w:rPr>
        <w:t>VA esimese taastekkeni</w:t>
      </w:r>
      <w:r>
        <w:rPr>
          <w:rFonts w:ascii="Verdana" w:hAnsi="Verdana"/>
          <w:color w:val="1F497D"/>
          <w:sz w:val="18"/>
          <w:szCs w:val="18"/>
        </w:rPr>
        <w:t>, siinusrütmi püsimine 12 kuud</w:t>
      </w:r>
      <w:r w:rsidRPr="00874CA4">
        <w:rPr>
          <w:rFonts w:ascii="Verdana" w:hAnsi="Verdana"/>
          <w:color w:val="1F497D"/>
          <w:sz w:val="18"/>
          <w:szCs w:val="18"/>
        </w:rPr>
        <w:t>.</w:t>
      </w:r>
    </w:p>
    <w:p w:rsidR="00B63E99" w:rsidRDefault="00B63E99" w:rsidP="00B63E99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Kliinilise tõenduse kokkuvõte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>Enamike uuringute kliinilise tõenduse kvaliteet on väga madal kuni keskmi</w:t>
      </w:r>
      <w:r>
        <w:rPr>
          <w:rFonts w:ascii="Verdana" w:hAnsi="Verdana"/>
          <w:bCs/>
          <w:color w:val="1F497D"/>
          <w:sz w:val="18"/>
          <w:szCs w:val="18"/>
        </w:rPr>
        <w:t>ne</w:t>
      </w:r>
      <w:r w:rsidRPr="004E6CCD">
        <w:rPr>
          <w:rFonts w:ascii="Verdana" w:hAnsi="Verdana"/>
          <w:bCs/>
          <w:color w:val="1F497D"/>
          <w:sz w:val="18"/>
          <w:szCs w:val="18"/>
        </w:rPr>
        <w:t xml:space="preserve">. 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 xml:space="preserve">Suremus: Ravim vs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>platseebo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>.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 xml:space="preserve">Madala kvaliteediga tõendus, et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propafenoon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võib olla kliiniliselt efektiivsem surmade vähendamises võrreldes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platseeboga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, kuid on ka potentsiaalne risk, et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propafenoon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võib suremust tõsta (5 uuringut, N=1098)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 xml:space="preserve">Madala kvaliteediga tõendus, et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sotalool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on vähem efektiivne kui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platseebo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suremuse vähendamises (12 uuringud, N=3002)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 xml:space="preserve">Madal-väga madal tõendus, et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disopüramiid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beeta-blokaatorid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võivad olla vähem efektiivsed surmade vähendamises võrreldes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platseeboga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>, kuid on ka võimalus, et eelmainitud ravimid vähendavad suremust (8 uuringut, N=1381)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 xml:space="preserve">Suremus: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>Aniarütmikum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 xml:space="preserve"> vs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>antiarütmikum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>.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>Väga madal</w:t>
      </w:r>
      <w:r>
        <w:rPr>
          <w:rFonts w:ascii="Verdana" w:hAnsi="Verdana"/>
          <w:bCs/>
          <w:color w:val="1F497D"/>
          <w:sz w:val="18"/>
          <w:szCs w:val="18"/>
        </w:rPr>
        <w:t>a kvaliteediga tõendus</w:t>
      </w:r>
      <w:r w:rsidRPr="004E6CCD">
        <w:rPr>
          <w:rFonts w:ascii="Verdana" w:hAnsi="Verdana"/>
          <w:bCs/>
          <w:color w:val="1F497D"/>
          <w:sz w:val="18"/>
          <w:szCs w:val="18"/>
        </w:rPr>
        <w:t>: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Disopüramiid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võib olla efektiivsem võrreldes teiste 1C ravimitega, kuid on potentsiaal, et teised 1C klassi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antiarütmikumid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võivad vähendada suremust (1 uuring, N=66)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Flekainiid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võib olla efektiivsem võrreldes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propafenooniga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>, kuid on poten</w:t>
      </w:r>
      <w:r>
        <w:rPr>
          <w:rFonts w:ascii="Verdana" w:hAnsi="Verdana"/>
          <w:bCs/>
          <w:color w:val="1F497D"/>
          <w:sz w:val="18"/>
          <w:szCs w:val="18"/>
        </w:rPr>
        <w:t>t</w:t>
      </w:r>
      <w:r w:rsidRPr="004E6CCD">
        <w:rPr>
          <w:rFonts w:ascii="Verdana" w:hAnsi="Verdana"/>
          <w:bCs/>
          <w:color w:val="1F497D"/>
          <w:sz w:val="18"/>
          <w:szCs w:val="18"/>
        </w:rPr>
        <w:t xml:space="preserve">siaal, et ka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propafenoon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võib suremust vähendada (1 uuring, N=297)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võib olla efektiivsem I klassi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antiarütmikumidest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, on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potensiaal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, et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võib vähendada suremust (1 uuring, N=643)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Am</w:t>
      </w:r>
      <w:r>
        <w:rPr>
          <w:rFonts w:ascii="Verdana" w:hAnsi="Verdana"/>
          <w:bCs/>
          <w:color w:val="1F497D"/>
          <w:sz w:val="18"/>
          <w:szCs w:val="18"/>
        </w:rPr>
        <w:t>iodaroon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võib olla efektiivsem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s</w:t>
      </w:r>
      <w:r w:rsidRPr="004E6CCD">
        <w:rPr>
          <w:rFonts w:ascii="Verdana" w:hAnsi="Verdana"/>
          <w:bCs/>
          <w:color w:val="1F497D"/>
          <w:sz w:val="18"/>
          <w:szCs w:val="18"/>
        </w:rPr>
        <w:t>otaloolist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>, kuid on poten</w:t>
      </w:r>
      <w:r>
        <w:rPr>
          <w:rFonts w:ascii="Verdana" w:hAnsi="Verdana"/>
          <w:bCs/>
          <w:color w:val="1F497D"/>
          <w:sz w:val="18"/>
          <w:szCs w:val="18"/>
        </w:rPr>
        <w:t>t</w:t>
      </w:r>
      <w:r w:rsidRPr="004E6CCD">
        <w:rPr>
          <w:rFonts w:ascii="Verdana" w:hAnsi="Verdana"/>
          <w:bCs/>
          <w:color w:val="1F497D"/>
          <w:sz w:val="18"/>
          <w:szCs w:val="18"/>
        </w:rPr>
        <w:t xml:space="preserve">siaal, et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sotalool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võib vähendada suremust (1 uuring, N=1113)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 xml:space="preserve">III klassi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antiarütmikumid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võivad olla efektiivsemad kui I klassi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antiarütmikumid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, kuid on potentsiaal, et I klassi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antiarütmikumid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vähendavad suremust (1 uuring, N=2875)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>Väga madala kvaliteediga tõendus</w:t>
      </w:r>
      <w:r w:rsidRPr="004E6CCD">
        <w:rPr>
          <w:rFonts w:ascii="Verdana" w:hAnsi="Verdana"/>
          <w:bCs/>
          <w:color w:val="1F497D"/>
          <w:sz w:val="18"/>
          <w:szCs w:val="18"/>
        </w:rPr>
        <w:t>materjal</w:t>
      </w:r>
      <w:r w:rsidRPr="004E6CCD">
        <w:rPr>
          <w:rFonts w:ascii="Verdana" w:hAnsi="Verdana"/>
          <w:bCs/>
          <w:color w:val="1F497D"/>
          <w:sz w:val="18"/>
          <w:szCs w:val="18"/>
        </w:rPr>
        <w:t xml:space="preserve"> </w:t>
      </w:r>
      <w:r w:rsidRPr="004E6CCD">
        <w:rPr>
          <w:rFonts w:ascii="Verdana" w:hAnsi="Verdana"/>
          <w:bCs/>
          <w:color w:val="1F497D"/>
          <w:sz w:val="18"/>
          <w:szCs w:val="18"/>
        </w:rPr>
        <w:t>viitas</w:t>
      </w:r>
      <w:r w:rsidRPr="004E6CCD">
        <w:rPr>
          <w:rFonts w:ascii="Verdana" w:hAnsi="Verdana"/>
          <w:bCs/>
          <w:color w:val="1F497D"/>
          <w:sz w:val="18"/>
          <w:szCs w:val="18"/>
        </w:rPr>
        <w:t xml:space="preserve">, et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võib olla kliiniliselt vähem efektiivne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dronedaroonist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, kuid on potentsiaal, et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võib vähendada suremust  (1 uuring, N=504)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>Väga madala kvaliteediga tõendus</w:t>
      </w:r>
      <w:r>
        <w:rPr>
          <w:rFonts w:ascii="Verdana" w:hAnsi="Verdana"/>
          <w:bCs/>
          <w:color w:val="1F497D"/>
          <w:sz w:val="18"/>
          <w:szCs w:val="18"/>
        </w:rPr>
        <w:t xml:space="preserve">materjal viitas, et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s</w:t>
      </w:r>
      <w:r w:rsidRPr="004E6CCD">
        <w:rPr>
          <w:rFonts w:ascii="Verdana" w:hAnsi="Verdana"/>
          <w:bCs/>
          <w:color w:val="1F497D"/>
          <w:sz w:val="18"/>
          <w:szCs w:val="18"/>
        </w:rPr>
        <w:t>otalooli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ja I klassi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antiarütmikumide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vahel ei ole kliinilist erinevust</w:t>
      </w:r>
      <w:r>
        <w:rPr>
          <w:rFonts w:ascii="Verdana" w:hAnsi="Verdana"/>
          <w:bCs/>
          <w:color w:val="1F497D"/>
          <w:sz w:val="18"/>
          <w:szCs w:val="18"/>
        </w:rPr>
        <w:t>, välja arvatud</w:t>
      </w:r>
      <w:r w:rsidRPr="004E6CCD">
        <w:rPr>
          <w:rFonts w:ascii="Verdana" w:hAnsi="Verdana"/>
          <w:bCs/>
          <w:color w:val="1F497D"/>
          <w:sz w:val="18"/>
          <w:szCs w:val="18"/>
        </w:rPr>
        <w:t xml:space="preserve">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kinidiini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puhul (4 uuringut, N=594).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>
        <w:rPr>
          <w:rFonts w:ascii="Verdana" w:hAnsi="Verdana"/>
          <w:bCs/>
          <w:color w:val="1F497D"/>
          <w:sz w:val="18"/>
          <w:szCs w:val="18"/>
          <w:u w:val="single"/>
        </w:rPr>
        <w:t xml:space="preserve">AF </w:t>
      </w:r>
      <w:proofErr w:type="spellStart"/>
      <w:r>
        <w:rPr>
          <w:rFonts w:ascii="Verdana" w:hAnsi="Verdana"/>
          <w:bCs/>
          <w:color w:val="1F497D"/>
          <w:sz w:val="18"/>
          <w:szCs w:val="18"/>
          <w:u w:val="single"/>
        </w:rPr>
        <w:t>kodumine</w:t>
      </w:r>
      <w:proofErr w:type="spellEnd"/>
      <w:r>
        <w:rPr>
          <w:rFonts w:ascii="Verdana" w:hAnsi="Verdana"/>
          <w:bCs/>
          <w:color w:val="1F497D"/>
          <w:sz w:val="18"/>
          <w:szCs w:val="18"/>
          <w:u w:val="single"/>
        </w:rPr>
        <w:t xml:space="preserve">: Ravim vs </w:t>
      </w:r>
      <w:proofErr w:type="spellStart"/>
      <w:r>
        <w:rPr>
          <w:rFonts w:ascii="Verdana" w:hAnsi="Verdana"/>
          <w:bCs/>
          <w:color w:val="1F497D"/>
          <w:sz w:val="18"/>
          <w:szCs w:val="18"/>
          <w:u w:val="single"/>
        </w:rPr>
        <w:t>platseebo</w:t>
      </w:r>
      <w:proofErr w:type="spellEnd"/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 xml:space="preserve">Nõrga kuni keskmise tugevusega tõendus näitab, et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flekaniid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propafenoon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sotalool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on kliiniliselt efektiivsed võrreldes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platseeboga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(24 uuringut, N=4249)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 xml:space="preserve">Madala kvaliteediga tõendus näitab, et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disopüramiid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beeta-blokaatorid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võivad olla kliiniliselt efektiivsed võrreldes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platseeboga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(4 uuringud, N=708)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 xml:space="preserve">AF kordumine: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>Antiarütmikum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 xml:space="preserve"> vs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>antiarütmikum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  <w:u w:val="single"/>
        </w:rPr>
        <w:t>.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 xml:space="preserve">Tõendus näitab, et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on kliiniliselt efektiivsem võrreldes:</w:t>
      </w:r>
    </w:p>
    <w:p w:rsidR="004E6CCD" w:rsidRPr="004E6CCD" w:rsidRDefault="004E6CCD" w:rsidP="004E6CCD">
      <w:pPr>
        <w:pStyle w:val="ListParagraph"/>
        <w:numPr>
          <w:ilvl w:val="0"/>
          <w:numId w:val="6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 xml:space="preserve">I klassi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antiarütmikumidega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(keskmise kvaliteediga tõendus, 4 uuringut, N=643)</w:t>
      </w:r>
    </w:p>
    <w:p w:rsidR="004E6CCD" w:rsidRDefault="004E6CCD" w:rsidP="004E6CCD">
      <w:pPr>
        <w:pStyle w:val="ListParagraph"/>
        <w:numPr>
          <w:ilvl w:val="0"/>
          <w:numId w:val="6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Sotalool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(keskmise kvaliteediga tõendus, 5 uuringut, N=1113)</w:t>
      </w:r>
    </w:p>
    <w:p w:rsidR="004E6CCD" w:rsidRDefault="004E6CCD" w:rsidP="004E6CCD">
      <w:pPr>
        <w:pStyle w:val="ListParagraph"/>
        <w:numPr>
          <w:ilvl w:val="0"/>
          <w:numId w:val="6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Dronedaroon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(Kõrge kvaliteediga tõendus, 1 uuring, N=504)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>Väga madala kvaliteediga tõendus näitab, et järgnevate ravimite vahel ei pruugi olla olulisi erinevusi:</w:t>
      </w:r>
    </w:p>
    <w:p w:rsidR="004E6CCD" w:rsidRDefault="004E6CCD" w:rsidP="004E6CCD">
      <w:pPr>
        <w:pStyle w:val="ListParagraph"/>
        <w:numPr>
          <w:ilvl w:val="0"/>
          <w:numId w:val="10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lastRenderedPageBreak/>
        <w:t>Flekainiid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propafenoon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(2 uuringut, N=297)</w:t>
      </w:r>
    </w:p>
    <w:p w:rsidR="004E6CCD" w:rsidRDefault="004E6CCD" w:rsidP="004E6CCD">
      <w:pPr>
        <w:pStyle w:val="ListParagraph"/>
        <w:numPr>
          <w:ilvl w:val="0"/>
          <w:numId w:val="10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Sotalool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ja I klassi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antiartümikumid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väljaarvatud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qvinidiin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(4 uuringut, N=594)</w:t>
      </w:r>
    </w:p>
    <w:p w:rsidR="004E6CCD" w:rsidRPr="004E6CCD" w:rsidRDefault="004E6CCD" w:rsidP="004E6CCD">
      <w:pPr>
        <w:pStyle w:val="ListParagraph"/>
        <w:numPr>
          <w:ilvl w:val="0"/>
          <w:numId w:val="10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Sotalool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Beeta-blokaatorid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(2 uuringut, N=263)</w:t>
      </w:r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>Madala kvaliteediga tõendus</w:t>
      </w:r>
      <w:r>
        <w:rPr>
          <w:rFonts w:ascii="Verdana" w:hAnsi="Verdana"/>
          <w:bCs/>
          <w:color w:val="1F497D"/>
          <w:sz w:val="18"/>
          <w:szCs w:val="18"/>
        </w:rPr>
        <w:t xml:space="preserve"> viitas</w:t>
      </w:r>
      <w:r w:rsidRPr="004E6CCD">
        <w:rPr>
          <w:rFonts w:ascii="Verdana" w:hAnsi="Verdana"/>
          <w:bCs/>
          <w:color w:val="1F497D"/>
          <w:sz w:val="18"/>
          <w:szCs w:val="18"/>
        </w:rPr>
        <w:t xml:space="preserve">, et III klassi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antiarütmikumide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ja I klassi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antiartümikumide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vahel ei pruugi olla erinevust, kuid </w:t>
      </w:r>
      <w:r w:rsidR="00A90D16">
        <w:rPr>
          <w:rFonts w:ascii="Verdana" w:hAnsi="Verdana"/>
          <w:bCs/>
          <w:color w:val="1F497D"/>
          <w:sz w:val="18"/>
          <w:szCs w:val="18"/>
        </w:rPr>
        <w:t>trend</w:t>
      </w:r>
      <w:r w:rsidRPr="004E6CCD">
        <w:rPr>
          <w:rFonts w:ascii="Verdana" w:hAnsi="Verdana"/>
          <w:bCs/>
          <w:color w:val="1F497D"/>
          <w:sz w:val="18"/>
          <w:szCs w:val="18"/>
        </w:rPr>
        <w:t xml:space="preserve"> viitas suuremale III klassi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antiarütmikumide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efektiivsusele (7 uuringut, N=1603)</w:t>
      </w:r>
    </w:p>
    <w:p w:rsidR="004E6CCD" w:rsidRPr="00A90D16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 w:rsidRPr="00A90D16">
        <w:rPr>
          <w:rFonts w:ascii="Verdana" w:hAnsi="Verdana"/>
          <w:bCs/>
          <w:color w:val="1F497D"/>
          <w:sz w:val="18"/>
          <w:szCs w:val="18"/>
          <w:u w:val="single"/>
        </w:rPr>
        <w:t xml:space="preserve">Ravimite ära jätmine kõrvaltoimete tõttu: ravimid vs </w:t>
      </w:r>
      <w:proofErr w:type="spellStart"/>
      <w:r w:rsidRPr="00A90D16">
        <w:rPr>
          <w:rFonts w:ascii="Verdana" w:hAnsi="Verdana"/>
          <w:bCs/>
          <w:color w:val="1F497D"/>
          <w:sz w:val="18"/>
          <w:szCs w:val="18"/>
          <w:u w:val="single"/>
        </w:rPr>
        <w:t>platseebo</w:t>
      </w:r>
      <w:proofErr w:type="spellEnd"/>
    </w:p>
    <w:p w:rsidR="004E6CCD" w:rsidRP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 xml:space="preserve">Madala kuni keskmise kvaliteediga tõendus, et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disopüramiidi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flekainiidi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propafenooni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beeta-blokaatori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amiodarooni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ja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sotalooli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tarvitamise korral esines rohkem ravimite ära jätmist kõrvaltoimete tõttu võrreldes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platseeboga</w:t>
      </w:r>
      <w:proofErr w:type="spellEnd"/>
      <w:r w:rsidRPr="004E6CCD">
        <w:rPr>
          <w:rFonts w:ascii="Verdana" w:hAnsi="Verdana"/>
          <w:bCs/>
          <w:color w:val="1F497D"/>
          <w:sz w:val="18"/>
          <w:szCs w:val="18"/>
        </w:rPr>
        <w:t xml:space="preserve"> (26 uuringut, N=4838)</w:t>
      </w:r>
    </w:p>
    <w:p w:rsidR="004E6CCD" w:rsidRPr="00A90D16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  <w:u w:val="single"/>
        </w:rPr>
      </w:pPr>
      <w:r w:rsidRPr="00A90D16">
        <w:rPr>
          <w:rFonts w:ascii="Verdana" w:hAnsi="Verdana"/>
          <w:bCs/>
          <w:color w:val="1F497D"/>
          <w:sz w:val="18"/>
          <w:szCs w:val="18"/>
          <w:u w:val="single"/>
        </w:rPr>
        <w:t xml:space="preserve">Ravimite ärajätmine kõrvaltoimete tõttu: </w:t>
      </w:r>
      <w:proofErr w:type="spellStart"/>
      <w:r w:rsidRPr="00A90D16">
        <w:rPr>
          <w:rFonts w:ascii="Verdana" w:hAnsi="Verdana"/>
          <w:bCs/>
          <w:color w:val="1F497D"/>
          <w:sz w:val="18"/>
          <w:szCs w:val="18"/>
          <w:u w:val="single"/>
        </w:rPr>
        <w:t>antiartümikum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  <w:u w:val="single"/>
        </w:rPr>
        <w:t xml:space="preserve"> vs </w:t>
      </w:r>
      <w:proofErr w:type="spellStart"/>
      <w:r w:rsidRPr="00A90D16">
        <w:rPr>
          <w:rFonts w:ascii="Verdana" w:hAnsi="Verdana"/>
          <w:bCs/>
          <w:color w:val="1F497D"/>
          <w:sz w:val="18"/>
          <w:szCs w:val="18"/>
          <w:u w:val="single"/>
        </w:rPr>
        <w:t>antiarütmikum</w:t>
      </w:r>
      <w:proofErr w:type="spellEnd"/>
    </w:p>
    <w:p w:rsidR="004E6CCD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>Esines rohkem ravimite katkestamist kõrvaltoimete tõttu võrreldes võrdlusega järgnevatel juhtudel:</w:t>
      </w:r>
    </w:p>
    <w:p w:rsidR="004E6CCD" w:rsidRDefault="004E6CCD" w:rsidP="004E6CCD">
      <w:pPr>
        <w:pStyle w:val="ListParagraph"/>
        <w:numPr>
          <w:ilvl w:val="0"/>
          <w:numId w:val="11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90D16">
        <w:rPr>
          <w:rFonts w:ascii="Verdana" w:hAnsi="Verdana"/>
          <w:bCs/>
          <w:color w:val="1F497D"/>
          <w:sz w:val="18"/>
          <w:szCs w:val="18"/>
        </w:rPr>
        <w:t xml:space="preserve">I klassi ravimid võrreldes </w:t>
      </w: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disopüramiidiga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 (madal tõenduse kvaliteet, 1 uuring, N=113)</w:t>
      </w:r>
    </w:p>
    <w:p w:rsidR="004E6CCD" w:rsidRDefault="004E6CCD" w:rsidP="004E6CCD">
      <w:pPr>
        <w:pStyle w:val="ListParagraph"/>
        <w:numPr>
          <w:ilvl w:val="0"/>
          <w:numId w:val="11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90D16">
        <w:rPr>
          <w:rFonts w:ascii="Verdana" w:hAnsi="Verdana"/>
          <w:bCs/>
          <w:color w:val="1F497D"/>
          <w:sz w:val="18"/>
          <w:szCs w:val="18"/>
        </w:rPr>
        <w:t xml:space="preserve">I klassi ravimid võrreldes </w:t>
      </w: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amiodarooniga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 (Väga madal tõenduse kvaliteet, 4 uuringut, N=652)</w:t>
      </w:r>
    </w:p>
    <w:p w:rsidR="00A90D16" w:rsidRDefault="004E6CCD" w:rsidP="00A90D16">
      <w:pPr>
        <w:pStyle w:val="ListParagraph"/>
        <w:numPr>
          <w:ilvl w:val="0"/>
          <w:numId w:val="11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 võrreldes </w:t>
      </w: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dronedarooniga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 (keskmise kvaliteediga tõendus, 1 uuring, N=504)</w:t>
      </w:r>
    </w:p>
    <w:p w:rsidR="004E6CCD" w:rsidRDefault="004E6CCD" w:rsidP="00A90D16">
      <w:pPr>
        <w:pStyle w:val="ListParagraph"/>
        <w:numPr>
          <w:ilvl w:val="0"/>
          <w:numId w:val="11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90D16">
        <w:rPr>
          <w:rFonts w:ascii="Verdana" w:hAnsi="Verdana"/>
          <w:bCs/>
          <w:color w:val="1F497D"/>
          <w:sz w:val="18"/>
          <w:szCs w:val="18"/>
        </w:rPr>
        <w:t>I klassi ravi</w:t>
      </w:r>
      <w:r w:rsidR="00A90D16">
        <w:rPr>
          <w:rFonts w:ascii="Verdana" w:hAnsi="Verdana"/>
          <w:bCs/>
          <w:color w:val="1F497D"/>
          <w:sz w:val="18"/>
          <w:szCs w:val="18"/>
        </w:rPr>
        <w:t xml:space="preserve">mid välja arvatud </w:t>
      </w:r>
      <w:proofErr w:type="spellStart"/>
      <w:r w:rsidR="00A90D16">
        <w:rPr>
          <w:rFonts w:ascii="Verdana" w:hAnsi="Verdana"/>
          <w:bCs/>
          <w:color w:val="1F497D"/>
          <w:sz w:val="18"/>
          <w:szCs w:val="18"/>
        </w:rPr>
        <w:t>k</w:t>
      </w:r>
      <w:r w:rsidRPr="00A90D16">
        <w:rPr>
          <w:rFonts w:ascii="Verdana" w:hAnsi="Verdana"/>
          <w:bCs/>
          <w:color w:val="1F497D"/>
          <w:sz w:val="18"/>
          <w:szCs w:val="18"/>
        </w:rPr>
        <w:t>inidiin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 võrreldes </w:t>
      </w: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sotalooliga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 (madala kvaliteediga tõendus, 4 uuringut, N=567)</w:t>
      </w:r>
    </w:p>
    <w:p w:rsidR="004E6CCD" w:rsidRPr="00A90D16" w:rsidRDefault="004E6CCD" w:rsidP="004E6CCD">
      <w:pPr>
        <w:pStyle w:val="ListParagraph"/>
        <w:numPr>
          <w:ilvl w:val="0"/>
          <w:numId w:val="11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Sotalool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 võrreldes teiste </w:t>
      </w: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beeta-blokaatoritega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 (madala kvaliteediga tõendus, 2 uuringut, N=263).</w:t>
      </w:r>
    </w:p>
    <w:p w:rsidR="00A90D16" w:rsidRDefault="004E6CCD" w:rsidP="004E6CCD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E6CCD">
        <w:rPr>
          <w:rFonts w:ascii="Verdana" w:hAnsi="Verdana"/>
          <w:bCs/>
          <w:color w:val="1F497D"/>
          <w:sz w:val="18"/>
          <w:szCs w:val="18"/>
        </w:rPr>
        <w:t xml:space="preserve">Väga madala kvaliteediga tõendus näitas, et järgnevatel juhtudel esines rohkem ravimi ära jätmist kõrvaltoimete </w:t>
      </w:r>
      <w:proofErr w:type="spellStart"/>
      <w:r w:rsidRPr="004E6CCD">
        <w:rPr>
          <w:rFonts w:ascii="Verdana" w:hAnsi="Verdana"/>
          <w:bCs/>
          <w:color w:val="1F497D"/>
          <w:sz w:val="18"/>
          <w:szCs w:val="18"/>
        </w:rPr>
        <w:t>tõttu:</w:t>
      </w:r>
      <w:proofErr w:type="spellEnd"/>
    </w:p>
    <w:p w:rsidR="004E6CCD" w:rsidRDefault="004E6CCD" w:rsidP="00A90D16">
      <w:pPr>
        <w:pStyle w:val="ListParagraph"/>
        <w:numPr>
          <w:ilvl w:val="0"/>
          <w:numId w:val="12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Propafenoon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 võrreldes </w:t>
      </w: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flekainiidiga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, kuid efektiivsuse suund eelistas </w:t>
      </w: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propafenooni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 (2 uuringut, N=297)</w:t>
      </w:r>
    </w:p>
    <w:p w:rsidR="004E6CCD" w:rsidRDefault="004E6CCD" w:rsidP="004E6CCD">
      <w:pPr>
        <w:pStyle w:val="ListParagraph"/>
        <w:numPr>
          <w:ilvl w:val="0"/>
          <w:numId w:val="12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Amiodaroon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 võrreldes </w:t>
      </w: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sotalooliga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, kuid efektiivsuse suund eelistas </w:t>
      </w:r>
      <w:proofErr w:type="spellStart"/>
      <w:r w:rsidRPr="00A90D16">
        <w:rPr>
          <w:rFonts w:ascii="Verdana" w:hAnsi="Verdana"/>
          <w:bCs/>
          <w:color w:val="1F497D"/>
          <w:sz w:val="18"/>
          <w:szCs w:val="18"/>
        </w:rPr>
        <w:t>amiodarooni</w:t>
      </w:r>
      <w:proofErr w:type="spellEnd"/>
      <w:r w:rsidRPr="00A90D16">
        <w:rPr>
          <w:rFonts w:ascii="Verdana" w:hAnsi="Verdana"/>
          <w:bCs/>
          <w:color w:val="1F497D"/>
          <w:sz w:val="18"/>
          <w:szCs w:val="18"/>
        </w:rPr>
        <w:t xml:space="preserve"> (4 uuringut, N=618)</w:t>
      </w:r>
    </w:p>
    <w:p w:rsidR="008F5E95" w:rsidRPr="00A90D16" w:rsidRDefault="004E6CCD" w:rsidP="00B63E99">
      <w:pPr>
        <w:pStyle w:val="ListParagraph"/>
        <w:numPr>
          <w:ilvl w:val="0"/>
          <w:numId w:val="12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A90D16">
        <w:rPr>
          <w:rFonts w:ascii="Verdana" w:hAnsi="Verdana"/>
          <w:bCs/>
          <w:color w:val="1F497D"/>
          <w:sz w:val="18"/>
          <w:szCs w:val="18"/>
        </w:rPr>
        <w:t>I klassi ravimid võrreldes III klass</w:t>
      </w:r>
      <w:r w:rsidR="00A90D16">
        <w:rPr>
          <w:rFonts w:ascii="Verdana" w:hAnsi="Verdana"/>
          <w:bCs/>
          <w:color w:val="1F497D"/>
          <w:sz w:val="18"/>
          <w:szCs w:val="18"/>
        </w:rPr>
        <w:t>i ravimitega, kuid efektiivsuses oli eelis III klassi ravimeil</w:t>
      </w:r>
      <w:r w:rsidRPr="00A90D16">
        <w:rPr>
          <w:rFonts w:ascii="Verdana" w:hAnsi="Verdana"/>
          <w:bCs/>
          <w:color w:val="1F497D"/>
          <w:sz w:val="18"/>
          <w:szCs w:val="18"/>
        </w:rPr>
        <w:t xml:space="preserve"> (7 uuringut, N=&gt;100)</w:t>
      </w:r>
    </w:p>
    <w:p w:rsidR="00A90D16" w:rsidRDefault="00A92F11" w:rsidP="00A90D16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"/>
          <w:b/>
          <w:color w:val="1F497D"/>
          <w:sz w:val="18"/>
          <w:szCs w:val="18"/>
        </w:rPr>
        <w:t>Teiste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 xml:space="preserve"> ravijuhendite soovitus</w:t>
      </w:r>
      <w:r w:rsidRPr="00CA7379">
        <w:rPr>
          <w:rFonts w:ascii="Verdana" w:hAnsi="Verdana" w:cs="Arial"/>
          <w:b/>
          <w:color w:val="1F497D"/>
          <w:sz w:val="18"/>
          <w:szCs w:val="18"/>
        </w:rPr>
        <w:t>ed s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>amal teemal</w:t>
      </w:r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</w:p>
    <w:p w:rsidR="00F30092" w:rsidRPr="00A90D16" w:rsidRDefault="00A90D16" w:rsidP="00A90D16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Enamik ravijuhendeid soovitab kaaluda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antiarütmikumi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vajadust siinusrütmi säilitamisel ja hinnata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antiarütmikumi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potentsiaalseid kõrvaltoimeid ja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proarütmilisi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toimeid enne ravi alustamist. Soovitatakse ka tuvastada ja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kõrvaltada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kõik teised muudetavad rütmihäiret soodustavad faktorid enne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antiartümilise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ravi alustamist.</w:t>
      </w:r>
    </w:p>
    <w:p w:rsidR="00DE70EE" w:rsidRPr="00CA7379" w:rsidRDefault="000706EC" w:rsidP="00D41D3A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AHA 2014</w:t>
      </w:r>
      <w:r w:rsidR="00F802D0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A92F11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juhend</w:t>
      </w:r>
      <w:r w:rsidR="00A90D16">
        <w:rPr>
          <w:rFonts w:ascii="Verdana" w:hAnsi="Verdana" w:cs="ArialMT"/>
          <w:b/>
          <w:color w:val="1F497D"/>
          <w:sz w:val="18"/>
          <w:szCs w:val="18"/>
          <w:lang w:eastAsia="en-US"/>
        </w:rPr>
        <w:t>i</w:t>
      </w:r>
      <w:r w:rsidR="00F802D0" w:rsidRPr="00CA737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kohaselt tuleb lähtuda </w:t>
      </w:r>
      <w:proofErr w:type="spellStart"/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antiarütmikumi</w:t>
      </w:r>
      <w:proofErr w:type="spellEnd"/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valikul </w:t>
      </w:r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esmaselt </w:t>
      </w:r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ohutusest. AHA ravijuhend toob ära tabelina erinevate </w:t>
      </w:r>
      <w:proofErr w:type="spellStart"/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antiarütmikumide</w:t>
      </w:r>
      <w:proofErr w:type="spellEnd"/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A90D16">
        <w:rPr>
          <w:rFonts w:ascii="Verdana" w:hAnsi="Verdana" w:cs="ArialMT"/>
          <w:color w:val="1F497D"/>
          <w:sz w:val="18"/>
          <w:szCs w:val="18"/>
          <w:lang w:eastAsia="en-US"/>
        </w:rPr>
        <w:t>annused</w:t>
      </w:r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ja vältimiskriteeriumid.</w:t>
      </w:r>
    </w:p>
    <w:p w:rsidR="00A90D16" w:rsidRDefault="00E05442" w:rsidP="00F30092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Kanada ravijuhend</w:t>
      </w:r>
      <w:r w:rsidR="00F30092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A90D16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(2010) </w:t>
      </w:r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rõhutab suremuse erinevuse puudumist rütmikontrolli ja frekventsikontrolli strateegia vahel ja hoiatab </w:t>
      </w:r>
      <w:proofErr w:type="spellStart"/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antiartümikumide</w:t>
      </w:r>
      <w:proofErr w:type="spellEnd"/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kõrvaltoimete eest. </w:t>
      </w:r>
    </w:p>
    <w:p w:rsidR="00A90D16" w:rsidRDefault="00A90D16" w:rsidP="00F30092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Siinusrütmi säilitamist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antiartümikumidega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soovitatakse hinnata individuaalselt koostöös patsiendiga. </w:t>
      </w:r>
    </w:p>
    <w:p w:rsidR="00A90D16" w:rsidRDefault="00A90D16" w:rsidP="00F30092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Siiski soovitatakse suukaudset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antiarütmikumi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patsientidel, kellel on korduv AF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paroksüsm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ja kellel on soovitud rakendada rütmikontrollivat ravi (tugev soovitus, keskmise kvaliteediga tõenduspõhisus). </w:t>
      </w:r>
    </w:p>
    <w:p w:rsidR="00A90D16" w:rsidRDefault="00A90D16" w:rsidP="00F30092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Normaalse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väljutusfraktisooniga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ja ilmas südame isheemiatõveta patsientidel soovitatakse kasutada IC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antiarütmikumie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koos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beeta-blokaatoriga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(tugev soovitus, madala kvaliteediga tõenduspõhisus). </w:t>
      </w:r>
    </w:p>
    <w:p w:rsidR="000706EC" w:rsidRPr="00CA7379" w:rsidRDefault="00A90D16" w:rsidP="00F30092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Langenud väljutusf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raktsiooniga patsientidel (EF</w:t>
      </w: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alla 35%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)</w:t>
      </w: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on ainukeseks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antiarütmikumi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valikuks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amiodaroon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.</w:t>
      </w:r>
    </w:p>
    <w:p w:rsidR="00A90D16" w:rsidRDefault="002C0E7F" w:rsidP="00B63E99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ESC</w:t>
      </w:r>
      <w:r w:rsidR="00A57790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2016</w:t>
      </w: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ravijuhend</w:t>
      </w:r>
      <w:r w:rsidR="00F30092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soovitab </w:t>
      </w:r>
      <w:proofErr w:type="spellStart"/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antiarütmikumi</w:t>
      </w:r>
      <w:proofErr w:type="spellEnd"/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valikut kaaluda vastavalt patsiendi kaasuvatele haigustele, võimalikule </w:t>
      </w:r>
      <w:proofErr w:type="spellStart"/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>proarütmiale</w:t>
      </w:r>
      <w:proofErr w:type="spellEnd"/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, kõrvaltoimetele ja patsiendi valikule. </w:t>
      </w:r>
    </w:p>
    <w:p w:rsidR="00A90D16" w:rsidRDefault="00A90D16" w:rsidP="00A90D16">
      <w:pPr>
        <w:pStyle w:val="ListParagraph"/>
        <w:numPr>
          <w:ilvl w:val="0"/>
          <w:numId w:val="13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Dronedaroon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,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flekainiid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,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propafenoon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sotalool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on soovitatud korduva KVA ennetamiseks normaalse südamefunktsiooniga ja ilma vasaku vatsakese hüpertroofiata patsientidel (IA). </w:t>
      </w:r>
    </w:p>
    <w:p w:rsidR="00A90D16" w:rsidRDefault="00A90D16" w:rsidP="00A90D16">
      <w:pPr>
        <w:pStyle w:val="ListParagraph"/>
        <w:numPr>
          <w:ilvl w:val="0"/>
          <w:numId w:val="13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Dronedaroon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on soovitaud KVA</w:t>
      </w: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ennetamiseks stabiilse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koronaarhaigusega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patsientidel ilma südamepuudulikkuseta (IA). </w:t>
      </w:r>
    </w:p>
    <w:p w:rsidR="00A90D16" w:rsidRDefault="00A90D16" w:rsidP="00A90D16">
      <w:pPr>
        <w:pStyle w:val="ListParagraph"/>
        <w:numPr>
          <w:ilvl w:val="0"/>
          <w:numId w:val="13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Amiodaroon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on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soovitatud KVA </w:t>
      </w: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ennetamiseks südamepuudulikkusega patsientidel (IB). </w:t>
      </w:r>
    </w:p>
    <w:p w:rsidR="00A90D16" w:rsidRDefault="00A90D16" w:rsidP="00A90D16">
      <w:pPr>
        <w:pStyle w:val="ListParagraph"/>
        <w:numPr>
          <w:ilvl w:val="0"/>
          <w:numId w:val="13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lastRenderedPageBreak/>
        <w:t xml:space="preserve">Kuigi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amiodaroon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on efektiivsem kui teised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antiarütmikumid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, siis kõrvaltoimete tõttu soovitatakse seda kasutada II valiku preparaadina (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IIa,C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). </w:t>
      </w:r>
    </w:p>
    <w:p w:rsidR="00B63E99" w:rsidRPr="00A90D16" w:rsidRDefault="00A90D16" w:rsidP="00A90D16">
      <w:pPr>
        <w:pStyle w:val="ListParagraph"/>
        <w:numPr>
          <w:ilvl w:val="0"/>
          <w:numId w:val="13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>AKEI, ARB ja BBL</w:t>
      </w: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soovitatakse kaaluda südamepuudulikkuse ja langenud väljutusfraktsiooniga patsientidel, et ennetada 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KVA</w:t>
      </w: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uue </w:t>
      </w: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episoodi teket (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IIa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, A)</w:t>
      </w:r>
      <w:r w:rsidR="00F30092" w:rsidRPr="00A90D16">
        <w:rPr>
          <w:rFonts w:ascii="Verdana" w:hAnsi="Verdana" w:cs="ArialMT"/>
          <w:color w:val="1F497D"/>
          <w:sz w:val="18"/>
          <w:szCs w:val="18"/>
          <w:lang w:eastAsia="en-US"/>
        </w:rPr>
        <w:t>.</w:t>
      </w:r>
    </w:p>
    <w:p w:rsidR="005E79CA" w:rsidRDefault="002C0E7F" w:rsidP="005E79CA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N</w:t>
      </w:r>
      <w:r w:rsidR="00F3677D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ICE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DE70EE" w:rsidRPr="00D41D3A">
        <w:rPr>
          <w:rFonts w:ascii="Verdana" w:hAnsi="Verdana" w:cs="ArialMT"/>
          <w:b/>
          <w:color w:val="1F497D"/>
          <w:sz w:val="18"/>
          <w:szCs w:val="18"/>
          <w:lang w:eastAsia="en-US"/>
        </w:rPr>
        <w:t>ravijuhend</w:t>
      </w:r>
      <w:r w:rsidR="00F3677D" w:rsidRPr="00CA737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5E79CA">
        <w:rPr>
          <w:rFonts w:ascii="Verdana" w:hAnsi="Verdana" w:cs="ArialMT"/>
          <w:color w:val="1F497D"/>
          <w:sz w:val="18"/>
          <w:szCs w:val="18"/>
          <w:lang w:eastAsia="en-US"/>
        </w:rPr>
        <w:t>soovitab p</w:t>
      </w:r>
      <w:r w:rsidR="005E79CA" w:rsidRPr="005E79CA">
        <w:rPr>
          <w:rFonts w:ascii="Verdana" w:hAnsi="Verdana" w:cs="ArialMT"/>
          <w:color w:val="1F497D"/>
          <w:sz w:val="18"/>
          <w:szCs w:val="18"/>
          <w:lang w:eastAsia="en-US"/>
        </w:rPr>
        <w:t>ikaaegse rütmikontrolli rakendamisel arvestada patsiendi soovidega, kaas</w:t>
      </w:r>
      <w:r w:rsidR="005E79CA">
        <w:rPr>
          <w:rFonts w:ascii="Verdana" w:hAnsi="Verdana" w:cs="ArialMT"/>
          <w:color w:val="1F497D"/>
          <w:sz w:val="18"/>
          <w:szCs w:val="18"/>
          <w:lang w:eastAsia="en-US"/>
        </w:rPr>
        <w:t>nevate haigustega ja korduva KVA</w:t>
      </w:r>
      <w:r w:rsidR="005E79CA"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tekkeriski tõenäosusega. </w:t>
      </w:r>
    </w:p>
    <w:p w:rsidR="005E79CA" w:rsidRDefault="005E79CA" w:rsidP="005E79CA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>Kui p</w:t>
      </w: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ikaaegset rütmikontrolli vajatakse, siis on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soovitatutud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esmavaliku preparaadina kasutada standardset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beeta-blokaatorit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(mitte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sotalool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), kui ei ole vastunäidustusi. </w:t>
      </w:r>
    </w:p>
    <w:p w:rsidR="005E79CA" w:rsidRDefault="005E79CA" w:rsidP="005E79CA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Kui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beeta-blokaator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on vastunäidustatud või ebaefektiivne, siis soovitatakse hinnata sobivust teiste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antiartümikumide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jaoks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,</w:t>
      </w: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arvestades konkreetsete ravimite kõrvaltoimeid ja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proarütmilist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efekti. </w:t>
      </w:r>
    </w:p>
    <w:p w:rsidR="005E79CA" w:rsidRPr="005E79CA" w:rsidRDefault="005E79CA" w:rsidP="005E79CA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Dronedaroon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on soovitatud siinusrütmi hoidmiseks pärast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kardioversiooni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patisentidel, kelle:</w:t>
      </w:r>
    </w:p>
    <w:p w:rsidR="005E79CA" w:rsidRPr="005E79CA" w:rsidRDefault="005E79CA" w:rsidP="005E79CA">
      <w:pPr>
        <w:pStyle w:val="ListParagraph"/>
        <w:numPr>
          <w:ilvl w:val="0"/>
          <w:numId w:val="14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>
        <w:rPr>
          <w:rFonts w:ascii="Verdana" w:hAnsi="Verdana" w:cs="ArialMT"/>
          <w:color w:val="1F497D"/>
          <w:sz w:val="18"/>
          <w:szCs w:val="18"/>
          <w:lang w:eastAsia="en-US"/>
        </w:rPr>
        <w:t>KVA</w:t>
      </w: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ei ole kontrollitud esmavaliku preparaadiga (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beeta-blokaator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)</w:t>
      </w:r>
    </w:p>
    <w:p w:rsidR="005E79CA" w:rsidRPr="005E79CA" w:rsidRDefault="005E79CA" w:rsidP="005E79CA">
      <w:pPr>
        <w:pStyle w:val="ListParagraph"/>
        <w:numPr>
          <w:ilvl w:val="0"/>
          <w:numId w:val="14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Patsientidel, kellel on vähemalt 1 järgnevast:</w:t>
      </w:r>
    </w:p>
    <w:p w:rsidR="005E79CA" w:rsidRPr="005E79CA" w:rsidRDefault="005E79CA" w:rsidP="005E79CA">
      <w:pPr>
        <w:pStyle w:val="ListParagraph"/>
        <w:numPr>
          <w:ilvl w:val="1"/>
          <w:numId w:val="14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Hüpertenisoon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, mis vajab vähemalt 2 erinevat ravim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i</w:t>
      </w: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gruppi</w:t>
      </w:r>
    </w:p>
    <w:p w:rsidR="005E79CA" w:rsidRPr="005E79CA" w:rsidRDefault="005E79CA" w:rsidP="005E79CA">
      <w:pPr>
        <w:pStyle w:val="ListParagraph"/>
        <w:numPr>
          <w:ilvl w:val="1"/>
          <w:numId w:val="14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Diabeet</w:t>
      </w:r>
    </w:p>
    <w:p w:rsidR="005E79CA" w:rsidRPr="005E79CA" w:rsidRDefault="005E79CA" w:rsidP="005E79CA">
      <w:pPr>
        <w:pStyle w:val="ListParagraph"/>
        <w:numPr>
          <w:ilvl w:val="1"/>
          <w:numId w:val="14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Eelnev TIA, ajuinsult või süsteemne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embol</w:t>
      </w:r>
      <w:proofErr w:type="spellEnd"/>
    </w:p>
    <w:p w:rsidR="005E79CA" w:rsidRPr="005E79CA" w:rsidRDefault="005E79CA" w:rsidP="005E79CA">
      <w:pPr>
        <w:pStyle w:val="ListParagraph"/>
        <w:numPr>
          <w:ilvl w:val="1"/>
          <w:numId w:val="14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Vasaku koja diameeter 50 mm või suurem</w:t>
      </w:r>
    </w:p>
    <w:p w:rsidR="005E79CA" w:rsidRPr="005E79CA" w:rsidRDefault="005E79CA" w:rsidP="005E79CA">
      <w:pPr>
        <w:pStyle w:val="ListParagraph"/>
        <w:numPr>
          <w:ilvl w:val="1"/>
          <w:numId w:val="14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Vanus 70 aasta või vanem</w:t>
      </w:r>
    </w:p>
    <w:p w:rsidR="005E79CA" w:rsidRPr="005E79CA" w:rsidRDefault="005E79CA" w:rsidP="005E79CA">
      <w:pPr>
        <w:pStyle w:val="ListParagraph"/>
        <w:numPr>
          <w:ilvl w:val="0"/>
          <w:numId w:val="14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Kellel ei ole vasaku vatsakese süstoolset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düsfunktsiooni</w:t>
      </w:r>
      <w:proofErr w:type="spellEnd"/>
    </w:p>
    <w:p w:rsidR="005E79CA" w:rsidRPr="005E79CA" w:rsidRDefault="005E79CA" w:rsidP="005E79CA">
      <w:pPr>
        <w:pStyle w:val="ListParagraph"/>
        <w:numPr>
          <w:ilvl w:val="0"/>
          <w:numId w:val="14"/>
        </w:num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Kellel ei ole anamneesis või praegust südamepuudulikkust</w:t>
      </w:r>
    </w:p>
    <w:p w:rsidR="005E79CA" w:rsidRPr="005E79CA" w:rsidRDefault="005E79CA" w:rsidP="005E79CA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Kaaluda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amiodarooni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tarvitamist vasaku vatsakese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düsfunktsiooni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südamepuudulikkuse korral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.</w:t>
      </w:r>
    </w:p>
    <w:p w:rsidR="005E79CA" w:rsidRDefault="005E79CA" w:rsidP="005E79CA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Ei soovitata tarvitada 1C klassi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antiarütmikume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nagu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flekainiid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ja </w:t>
      </w:r>
      <w:proofErr w:type="spellStart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>propafenoon</w:t>
      </w:r>
      <w:proofErr w:type="spellEnd"/>
      <w:r w:rsidRP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teadaoleva südame isheemiatõvega või strukturaalse südamehaigusega patsientidel.</w:t>
      </w:r>
    </w:p>
    <w:p w:rsidR="00A90D16" w:rsidRDefault="00F3677D" w:rsidP="005E79CA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Soome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ravijuhend</w:t>
      </w:r>
      <w:r w:rsidR="00A90D16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A90D16">
        <w:rPr>
          <w:rFonts w:ascii="Verdana" w:hAnsi="Verdana" w:cs="ArialMT"/>
          <w:color w:val="1F497D"/>
          <w:sz w:val="18"/>
          <w:szCs w:val="18"/>
          <w:lang w:eastAsia="en-US"/>
        </w:rPr>
        <w:t>s</w:t>
      </w:r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oovitab kasutada esmavaliku preparaadina </w:t>
      </w:r>
      <w:r w:rsidR="00A90D16">
        <w:rPr>
          <w:rFonts w:ascii="Verdana" w:hAnsi="Verdana" w:cs="ArialMT"/>
          <w:color w:val="1F497D"/>
          <w:sz w:val="18"/>
          <w:szCs w:val="18"/>
          <w:lang w:eastAsia="en-US"/>
        </w:rPr>
        <w:t>BBL</w:t>
      </w:r>
      <w:r w:rsidR="00A90D16"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. </w:t>
      </w:r>
    </w:p>
    <w:p w:rsidR="00A90D16" w:rsidRDefault="00A90D16" w:rsidP="00A90D16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Kui on vaja täiendav </w:t>
      </w: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antiarütmikum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lisada, siis soovitataks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e lähtuda eelkõige ohutusest ja </w:t>
      </w: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kaasuvatest haigustest 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ning</w:t>
      </w: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südamehaiguste profiilist. </w:t>
      </w:r>
    </w:p>
    <w:p w:rsidR="00A90D16" w:rsidRDefault="00A90D16" w:rsidP="00A90D16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proofErr w:type="spellStart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Amiodaroon</w:t>
      </w:r>
      <w:proofErr w:type="spellEnd"/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 xml:space="preserve"> on soovitatud patsientidele, kellel muud ravimid on olnud ebaefektiivsed või kellel kaasnevate haiguste tõttu ei ole võimalik </w:t>
      </w:r>
      <w:r w:rsid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teisi </w:t>
      </w:r>
      <w:proofErr w:type="spellStart"/>
      <w:r w:rsidR="005E79CA">
        <w:rPr>
          <w:rFonts w:ascii="Verdana" w:hAnsi="Verdana" w:cs="ArialMT"/>
          <w:color w:val="1F497D"/>
          <w:sz w:val="18"/>
          <w:szCs w:val="18"/>
          <w:lang w:eastAsia="en-US"/>
        </w:rPr>
        <w:t>antiarütmikume</w:t>
      </w:r>
      <w:proofErr w:type="spellEnd"/>
      <w:r w:rsidR="005E79CA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kasutada (s</w:t>
      </w:r>
      <w:r w:rsidRPr="00A90D16">
        <w:rPr>
          <w:rFonts w:ascii="Verdana" w:hAnsi="Verdana" w:cs="ArialMT"/>
          <w:color w:val="1F497D"/>
          <w:sz w:val="18"/>
          <w:szCs w:val="18"/>
          <w:lang w:eastAsia="en-US"/>
        </w:rPr>
        <w:t>üdamepuudulikkus, südame isheemiatõbi).</w:t>
      </w:r>
    </w:p>
    <w:p w:rsidR="008F5E95" w:rsidRPr="008F5E95" w:rsidRDefault="008F5E95" w:rsidP="003B0510">
      <w:pPr>
        <w:autoSpaceDE w:val="0"/>
        <w:autoSpaceDN w:val="0"/>
        <w:adjustRightInd w:val="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</w:p>
    <w:p w:rsidR="00446C67" w:rsidRDefault="008F5E95" w:rsidP="003B0510">
      <w:pPr>
        <w:autoSpaceDE w:val="0"/>
        <w:autoSpaceDN w:val="0"/>
        <w:adjustRightInd w:val="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8F5E95">
        <w:rPr>
          <w:rFonts w:ascii="Verdana" w:hAnsi="Verdana" w:cs="ArialMT"/>
          <w:b/>
          <w:color w:val="1F497D"/>
          <w:sz w:val="18"/>
          <w:szCs w:val="18"/>
          <w:lang w:eastAsia="en-US"/>
        </w:rPr>
        <w:t>Viited</w:t>
      </w:r>
    </w:p>
    <w:p w:rsidR="0027715B" w:rsidRPr="0027715B" w:rsidRDefault="0027715B" w:rsidP="003B0510">
      <w:pPr>
        <w:autoSpaceDE w:val="0"/>
        <w:autoSpaceDN w:val="0"/>
        <w:adjustRightInd w:val="0"/>
        <w:jc w:val="both"/>
        <w:rPr>
          <w:rFonts w:ascii="Verdana" w:hAnsi="Verdana" w:cs="ArialMT"/>
          <w:i/>
          <w:color w:val="1F497D"/>
          <w:sz w:val="18"/>
          <w:szCs w:val="18"/>
          <w:lang w:eastAsia="en-US"/>
        </w:rPr>
      </w:pPr>
      <w:r w:rsidRPr="0027715B">
        <w:rPr>
          <w:rFonts w:ascii="Verdana" w:hAnsi="Verdana" w:cs="ArialMT"/>
          <w:i/>
          <w:color w:val="1F497D"/>
          <w:sz w:val="18"/>
          <w:szCs w:val="18"/>
          <w:lang w:eastAsia="en-US"/>
        </w:rPr>
        <w:t>Vt NICE 2014</w:t>
      </w:r>
    </w:p>
    <w:p w:rsidR="00A65437" w:rsidRPr="008F5E95" w:rsidRDefault="00A65437" w:rsidP="00A65437">
      <w:pPr>
        <w:rPr>
          <w:rFonts w:ascii="Verdana" w:hAnsi="Verdana"/>
          <w:i/>
          <w:color w:val="1F497D"/>
          <w:sz w:val="18"/>
          <w:szCs w:val="18"/>
        </w:rPr>
      </w:pP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rFonts w:ascii="ArialMT" w:hAnsi="ArialMT" w:cs="ArialMT"/>
          <w:b/>
          <w:color w:val="000080"/>
          <w:sz w:val="20"/>
          <w:szCs w:val="20"/>
          <w:lang w:eastAsia="en-US"/>
        </w:rPr>
      </w:pP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829578" cy="379562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515" cy="379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864532" cy="3856008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929" cy="385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822830" cy="3813393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529" cy="38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757307" cy="3804249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101" cy="380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79698" cy="267402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821" cy="267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727940" cy="379978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136" cy="380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676181" cy="3209721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156" cy="320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676181" cy="3774539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018" cy="377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674675" cy="3743864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488" cy="374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762445" cy="37388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94" cy="374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62445" cy="268559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115" cy="26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noProof/>
        </w:rPr>
      </w:pPr>
    </w:p>
    <w:p w:rsidR="005E79CA" w:rsidRPr="00671A91" w:rsidRDefault="005E79CA" w:rsidP="005E79CA">
      <w:pPr>
        <w:autoSpaceDE w:val="0"/>
        <w:autoSpaceDN w:val="0"/>
        <w:adjustRightInd w:val="0"/>
        <w:jc w:val="both"/>
        <w:rPr>
          <w:rFonts w:ascii="ArialMT" w:hAnsi="ArialMT" w:cs="ArialMT"/>
          <w:color w:val="000080"/>
          <w:sz w:val="20"/>
          <w:szCs w:val="20"/>
          <w:lang w:eastAsia="en-US"/>
        </w:rPr>
      </w:pPr>
    </w:p>
    <w:p w:rsidR="005E79CA" w:rsidRPr="00671A91" w:rsidRDefault="005E79CA" w:rsidP="005E79CA">
      <w:pPr>
        <w:shd w:val="clear" w:color="auto" w:fill="FFFFFF"/>
        <w:spacing w:before="75" w:after="225" w:line="270" w:lineRule="atLeast"/>
        <w:rPr>
          <w:noProof/>
        </w:rPr>
      </w:pPr>
      <w:r>
        <w:rPr>
          <w:noProof/>
        </w:rPr>
        <w:drawing>
          <wp:inline distT="0" distB="0" distL="0" distR="0">
            <wp:extent cx="5788325" cy="5081162"/>
            <wp:effectExtent l="0" t="0" r="3175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506" cy="508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shd w:val="clear" w:color="auto" w:fill="FFFFFF"/>
        <w:spacing w:before="75" w:after="225" w:line="270" w:lineRule="atLeast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805578" cy="3955213"/>
            <wp:effectExtent l="0" t="0" r="508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85" cy="396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shd w:val="clear" w:color="auto" w:fill="FFFFFF"/>
        <w:spacing w:before="75" w:after="225" w:line="270" w:lineRule="atLeast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58631" cy="5115464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1" cy="511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shd w:val="clear" w:color="auto" w:fill="FFFFFF"/>
        <w:spacing w:before="75" w:after="225" w:line="270" w:lineRule="atLeast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62445" cy="3655528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15" cy="365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shd w:val="clear" w:color="auto" w:fill="FFFFFF"/>
        <w:spacing w:before="75" w:after="225" w:line="270" w:lineRule="atLeast"/>
        <w:rPr>
          <w:noProof/>
        </w:rPr>
      </w:pPr>
      <w:r>
        <w:rPr>
          <w:noProof/>
        </w:rPr>
        <w:drawing>
          <wp:inline distT="0" distB="0" distL="0" distR="0">
            <wp:extent cx="5911385" cy="455474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751" cy="455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shd w:val="clear" w:color="auto" w:fill="FFFFFF"/>
        <w:spacing w:before="75" w:after="225" w:line="270" w:lineRule="atLeast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79698" cy="451577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878" cy="451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shd w:val="clear" w:color="auto" w:fill="FFFFFF"/>
        <w:spacing w:before="75" w:after="225" w:line="270" w:lineRule="atLeast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53819" cy="45595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83" cy="455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9CA" w:rsidRPr="00671A91" w:rsidRDefault="005E79CA" w:rsidP="005E79CA">
      <w:pPr>
        <w:shd w:val="clear" w:color="auto" w:fill="FFFFFF"/>
        <w:spacing w:before="75" w:after="225" w:line="270" w:lineRule="atLeast"/>
        <w:rPr>
          <w:noProof/>
        </w:rPr>
      </w:pPr>
    </w:p>
    <w:p w:rsidR="008F5E95" w:rsidRPr="008F5E95" w:rsidRDefault="008F5E95" w:rsidP="008F5E95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A65437" w:rsidRPr="00A65437" w:rsidRDefault="00A65437" w:rsidP="00A65437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A65437" w:rsidRPr="00A65437" w:rsidRDefault="00A65437" w:rsidP="00A65437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D2340A" w:rsidRPr="00CA7379" w:rsidRDefault="00D2340A" w:rsidP="00CA7379">
      <w:pPr>
        <w:rPr>
          <w:i/>
          <w:sz w:val="16"/>
          <w:szCs w:val="16"/>
        </w:rPr>
      </w:pPr>
    </w:p>
    <w:sectPr w:rsidR="00D2340A" w:rsidRPr="00CA7379" w:rsidSect="00CA737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altName w:val="Calibri"/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63B38"/>
    <w:multiLevelType w:val="hybridMultilevel"/>
    <w:tmpl w:val="27AA29E6"/>
    <w:lvl w:ilvl="0" w:tplc="3F565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87658"/>
    <w:multiLevelType w:val="multilevel"/>
    <w:tmpl w:val="D82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A662C"/>
    <w:multiLevelType w:val="multilevel"/>
    <w:tmpl w:val="DBB2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E70053"/>
    <w:multiLevelType w:val="hybridMultilevel"/>
    <w:tmpl w:val="1F0E9CF6"/>
    <w:lvl w:ilvl="0" w:tplc="3F5655FC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861739"/>
    <w:multiLevelType w:val="hybridMultilevel"/>
    <w:tmpl w:val="29A4DB1E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B60555"/>
    <w:multiLevelType w:val="hybridMultilevel"/>
    <w:tmpl w:val="7FF442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628C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1A94438"/>
    <w:multiLevelType w:val="hybridMultilevel"/>
    <w:tmpl w:val="356C01BC"/>
    <w:lvl w:ilvl="0" w:tplc="474ECF7A">
      <w:numFmt w:val="bullet"/>
      <w:lvlText w:val="-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12BEA"/>
    <w:multiLevelType w:val="hybridMultilevel"/>
    <w:tmpl w:val="55447580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8611BE8"/>
    <w:multiLevelType w:val="hybridMultilevel"/>
    <w:tmpl w:val="87007328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D384513"/>
    <w:multiLevelType w:val="hybridMultilevel"/>
    <w:tmpl w:val="70F040E2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27A7A2E"/>
    <w:multiLevelType w:val="multilevel"/>
    <w:tmpl w:val="0CF0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7E218F"/>
    <w:multiLevelType w:val="hybridMultilevel"/>
    <w:tmpl w:val="2556DE50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6F44AE2"/>
    <w:multiLevelType w:val="hybridMultilevel"/>
    <w:tmpl w:val="E3A0FA44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E4A34B0"/>
    <w:multiLevelType w:val="hybridMultilevel"/>
    <w:tmpl w:val="C338C38E"/>
    <w:lvl w:ilvl="0" w:tplc="7C009396">
      <w:numFmt w:val="bullet"/>
      <w:lvlText w:val="•"/>
      <w:lvlJc w:val="left"/>
      <w:pPr>
        <w:ind w:left="1065" w:hanging="705"/>
      </w:pPr>
      <w:rPr>
        <w:rFonts w:ascii="Verdana" w:eastAsia="Times New Roman" w:hAnsi="Verdana" w:cs="ArialMT" w:hint="default"/>
      </w:rPr>
    </w:lvl>
    <w:lvl w:ilvl="1" w:tplc="CD968DE2">
      <w:numFmt w:val="bullet"/>
      <w:lvlText w:val=""/>
      <w:lvlJc w:val="left"/>
      <w:pPr>
        <w:ind w:left="1785" w:hanging="705"/>
      </w:pPr>
      <w:rPr>
        <w:rFonts w:ascii="Symbol" w:eastAsia="Times New Roman" w:hAnsi="Symbol" w:cs="ArialMT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"/>
    <w:lvlOverride w:ilvl="0">
      <w:startOverride w:val="30"/>
    </w:lvlOverride>
  </w:num>
  <w:num w:numId="4">
    <w:abstractNumId w:val="1"/>
    <w:lvlOverride w:ilvl="0">
      <w:startOverride w:val="31"/>
    </w:lvlOverride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  <w:num w:numId="11">
    <w:abstractNumId w:val="4"/>
  </w:num>
  <w:num w:numId="12">
    <w:abstractNumId w:val="12"/>
  </w:num>
  <w:num w:numId="13">
    <w:abstractNumId w:val="8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DE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0F3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06EC"/>
    <w:rsid w:val="00071076"/>
    <w:rsid w:val="0007107C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338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5ED"/>
    <w:rsid w:val="000A692C"/>
    <w:rsid w:val="000A7B10"/>
    <w:rsid w:val="000A7D46"/>
    <w:rsid w:val="000B0705"/>
    <w:rsid w:val="000B07C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4112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DB1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6F4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2A1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6242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454"/>
    <w:rsid w:val="00224CA5"/>
    <w:rsid w:val="00224E2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F3"/>
    <w:rsid w:val="00253F7A"/>
    <w:rsid w:val="002541F9"/>
    <w:rsid w:val="002548FB"/>
    <w:rsid w:val="00255397"/>
    <w:rsid w:val="00255A1C"/>
    <w:rsid w:val="00255A8A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156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15B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6437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0E7F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4A75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4819"/>
    <w:rsid w:val="00326F72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857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4FB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510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F53"/>
    <w:rsid w:val="003E0296"/>
    <w:rsid w:val="003E0698"/>
    <w:rsid w:val="003E0FEA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B4B"/>
    <w:rsid w:val="00401BB6"/>
    <w:rsid w:val="0040228C"/>
    <w:rsid w:val="004022B2"/>
    <w:rsid w:val="004024CA"/>
    <w:rsid w:val="004025F9"/>
    <w:rsid w:val="00402CDE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394"/>
    <w:rsid w:val="004319F0"/>
    <w:rsid w:val="004320AD"/>
    <w:rsid w:val="004321FE"/>
    <w:rsid w:val="004323B4"/>
    <w:rsid w:val="00432AB7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C67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A58"/>
    <w:rsid w:val="0049208E"/>
    <w:rsid w:val="00492EC0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1F1"/>
    <w:rsid w:val="004B25A8"/>
    <w:rsid w:val="004B3B18"/>
    <w:rsid w:val="004B4626"/>
    <w:rsid w:val="004B4B6B"/>
    <w:rsid w:val="004B4DAE"/>
    <w:rsid w:val="004B5D97"/>
    <w:rsid w:val="004B64E1"/>
    <w:rsid w:val="004B683C"/>
    <w:rsid w:val="004B71F2"/>
    <w:rsid w:val="004B738F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C58"/>
    <w:rsid w:val="004C7FC7"/>
    <w:rsid w:val="004D1135"/>
    <w:rsid w:val="004D1567"/>
    <w:rsid w:val="004D18B5"/>
    <w:rsid w:val="004D20D3"/>
    <w:rsid w:val="004D28B5"/>
    <w:rsid w:val="004D2E78"/>
    <w:rsid w:val="004D5AF9"/>
    <w:rsid w:val="004D5DD3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6CCD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7C97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6A34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6EA5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549A"/>
    <w:rsid w:val="005E61D9"/>
    <w:rsid w:val="005E6332"/>
    <w:rsid w:val="005E6A1D"/>
    <w:rsid w:val="005E7702"/>
    <w:rsid w:val="005E79CA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730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5C1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278A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3C3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1969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BB7"/>
    <w:rsid w:val="00714E80"/>
    <w:rsid w:val="007155DA"/>
    <w:rsid w:val="00716388"/>
    <w:rsid w:val="0071686E"/>
    <w:rsid w:val="00717593"/>
    <w:rsid w:val="007175AA"/>
    <w:rsid w:val="007177CF"/>
    <w:rsid w:val="00720399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17D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1AB3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469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C03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6D6F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F48"/>
    <w:rsid w:val="0087352B"/>
    <w:rsid w:val="008738B7"/>
    <w:rsid w:val="00873E4D"/>
    <w:rsid w:val="008741D5"/>
    <w:rsid w:val="00874CA4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C49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D25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0BA4"/>
    <w:rsid w:val="008D111B"/>
    <w:rsid w:val="008D1911"/>
    <w:rsid w:val="008D1AFA"/>
    <w:rsid w:val="008D1FCA"/>
    <w:rsid w:val="008D358E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2E97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601"/>
    <w:rsid w:val="008F1E6B"/>
    <w:rsid w:val="008F22C3"/>
    <w:rsid w:val="008F3879"/>
    <w:rsid w:val="008F3CC6"/>
    <w:rsid w:val="008F3CEB"/>
    <w:rsid w:val="008F3F1A"/>
    <w:rsid w:val="008F48B1"/>
    <w:rsid w:val="008F4FE0"/>
    <w:rsid w:val="008F5E95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208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448D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58F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01D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3C3"/>
    <w:rsid w:val="00A57790"/>
    <w:rsid w:val="00A57815"/>
    <w:rsid w:val="00A6076A"/>
    <w:rsid w:val="00A6108C"/>
    <w:rsid w:val="00A61A43"/>
    <w:rsid w:val="00A61B1E"/>
    <w:rsid w:val="00A6201F"/>
    <w:rsid w:val="00A62273"/>
    <w:rsid w:val="00A63619"/>
    <w:rsid w:val="00A63642"/>
    <w:rsid w:val="00A63A22"/>
    <w:rsid w:val="00A64731"/>
    <w:rsid w:val="00A64AB3"/>
    <w:rsid w:val="00A64FF3"/>
    <w:rsid w:val="00A65437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45C"/>
    <w:rsid w:val="00A84689"/>
    <w:rsid w:val="00A86009"/>
    <w:rsid w:val="00A86431"/>
    <w:rsid w:val="00A869B5"/>
    <w:rsid w:val="00A86CE7"/>
    <w:rsid w:val="00A875E1"/>
    <w:rsid w:val="00A87A25"/>
    <w:rsid w:val="00A90D16"/>
    <w:rsid w:val="00A90EC1"/>
    <w:rsid w:val="00A91375"/>
    <w:rsid w:val="00A917CD"/>
    <w:rsid w:val="00A91E40"/>
    <w:rsid w:val="00A91EF3"/>
    <w:rsid w:val="00A91FF3"/>
    <w:rsid w:val="00A92020"/>
    <w:rsid w:val="00A92AA5"/>
    <w:rsid w:val="00A92F11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2DB0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3B26"/>
    <w:rsid w:val="00B24C50"/>
    <w:rsid w:val="00B24E3E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5CFE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32A4"/>
    <w:rsid w:val="00B63E99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BFC"/>
    <w:rsid w:val="00B930D0"/>
    <w:rsid w:val="00B933D3"/>
    <w:rsid w:val="00B9356B"/>
    <w:rsid w:val="00B93A58"/>
    <w:rsid w:val="00B94372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052"/>
    <w:rsid w:val="00BC6430"/>
    <w:rsid w:val="00BC660B"/>
    <w:rsid w:val="00BC695E"/>
    <w:rsid w:val="00BC73A6"/>
    <w:rsid w:val="00BC78EA"/>
    <w:rsid w:val="00BC7A1C"/>
    <w:rsid w:val="00BD1E97"/>
    <w:rsid w:val="00BD20E6"/>
    <w:rsid w:val="00BD2780"/>
    <w:rsid w:val="00BD3021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C26"/>
    <w:rsid w:val="00C12D4B"/>
    <w:rsid w:val="00C13963"/>
    <w:rsid w:val="00C14773"/>
    <w:rsid w:val="00C14D74"/>
    <w:rsid w:val="00C1536E"/>
    <w:rsid w:val="00C15A94"/>
    <w:rsid w:val="00C15B5D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28A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D27"/>
    <w:rsid w:val="00C3326D"/>
    <w:rsid w:val="00C337D7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263B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379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531"/>
    <w:rsid w:val="00CB6A5B"/>
    <w:rsid w:val="00CB6B45"/>
    <w:rsid w:val="00CB6EB5"/>
    <w:rsid w:val="00CB725E"/>
    <w:rsid w:val="00CB7601"/>
    <w:rsid w:val="00CC05E8"/>
    <w:rsid w:val="00CC0C91"/>
    <w:rsid w:val="00CC0DA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5B40"/>
    <w:rsid w:val="00CE6FD5"/>
    <w:rsid w:val="00CE722B"/>
    <w:rsid w:val="00CE73B4"/>
    <w:rsid w:val="00CF04ED"/>
    <w:rsid w:val="00CF080B"/>
    <w:rsid w:val="00CF08A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4EB4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40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4A3"/>
    <w:rsid w:val="00D3665E"/>
    <w:rsid w:val="00D3681A"/>
    <w:rsid w:val="00D368CA"/>
    <w:rsid w:val="00D36A6A"/>
    <w:rsid w:val="00D36ACA"/>
    <w:rsid w:val="00D37256"/>
    <w:rsid w:val="00D40736"/>
    <w:rsid w:val="00D4093A"/>
    <w:rsid w:val="00D40E68"/>
    <w:rsid w:val="00D41D3A"/>
    <w:rsid w:val="00D42AC7"/>
    <w:rsid w:val="00D4338F"/>
    <w:rsid w:val="00D434D5"/>
    <w:rsid w:val="00D43941"/>
    <w:rsid w:val="00D4469C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6EA5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B9E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0EE"/>
    <w:rsid w:val="00DE7B8A"/>
    <w:rsid w:val="00DF05F5"/>
    <w:rsid w:val="00DF08CD"/>
    <w:rsid w:val="00DF0A25"/>
    <w:rsid w:val="00DF1331"/>
    <w:rsid w:val="00DF289B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442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DA4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550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040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0F27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01E"/>
    <w:rsid w:val="00EF54C2"/>
    <w:rsid w:val="00EF5662"/>
    <w:rsid w:val="00EF588D"/>
    <w:rsid w:val="00EF5CF3"/>
    <w:rsid w:val="00EF60FE"/>
    <w:rsid w:val="00EF643F"/>
    <w:rsid w:val="00EF6D38"/>
    <w:rsid w:val="00EF703E"/>
    <w:rsid w:val="00F0025D"/>
    <w:rsid w:val="00F00398"/>
    <w:rsid w:val="00F0085D"/>
    <w:rsid w:val="00F008CB"/>
    <w:rsid w:val="00F00D15"/>
    <w:rsid w:val="00F00DA9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092"/>
    <w:rsid w:val="00F306BE"/>
    <w:rsid w:val="00F3080A"/>
    <w:rsid w:val="00F3103E"/>
    <w:rsid w:val="00F31327"/>
    <w:rsid w:val="00F31C42"/>
    <w:rsid w:val="00F31D8F"/>
    <w:rsid w:val="00F32045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677D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3F"/>
    <w:rsid w:val="00F500A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2D0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4CC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TableGrid">
    <w:name w:val="Table Grid"/>
    <w:basedOn w:val="TableNorma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Cite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DefaultParagraphFont"/>
    <w:rsid w:val="00C337D7"/>
  </w:style>
  <w:style w:type="character" w:customStyle="1" w:styleId="cit-authcit-auth-type-author">
    <w:name w:val="cit-auth cit-auth-type-author"/>
    <w:basedOn w:val="DefaultParagraphFont"/>
    <w:rsid w:val="00C337D7"/>
  </w:style>
  <w:style w:type="character" w:customStyle="1" w:styleId="cit-sepcit-sep-separator">
    <w:name w:val="cit-sep cit-sep-separator"/>
    <w:basedOn w:val="DefaultParagraphFont"/>
    <w:rsid w:val="00C337D7"/>
  </w:style>
  <w:style w:type="character" w:customStyle="1" w:styleId="cit-print-date">
    <w:name w:val="cit-print-date"/>
    <w:basedOn w:val="DefaultParagraphFont"/>
    <w:rsid w:val="00C337D7"/>
  </w:style>
  <w:style w:type="character" w:customStyle="1" w:styleId="cit-sepcit-sep-after-article-print-date">
    <w:name w:val="cit-sep cit-sep-after-article-print-date"/>
    <w:basedOn w:val="DefaultParagraphFont"/>
    <w:rsid w:val="00C337D7"/>
  </w:style>
  <w:style w:type="character" w:customStyle="1" w:styleId="cit-sepcit-sep-after-article-vol">
    <w:name w:val="cit-sep cit-sep-after-article-vol"/>
    <w:basedOn w:val="DefaultParagraphFont"/>
    <w:rsid w:val="00C337D7"/>
  </w:style>
  <w:style w:type="character" w:customStyle="1" w:styleId="cit-first-page">
    <w:name w:val="cit-first-page"/>
    <w:basedOn w:val="DefaultParagraphFont"/>
    <w:rsid w:val="00C337D7"/>
  </w:style>
  <w:style w:type="character" w:styleId="Hyperlink">
    <w:name w:val="Hyperlink"/>
    <w:rsid w:val="00BC6052"/>
    <w:rPr>
      <w:color w:val="0000FF"/>
      <w:u w:val="single"/>
    </w:rPr>
  </w:style>
  <w:style w:type="character" w:styleId="Emphasis">
    <w:name w:val="Emphasis"/>
    <w:qFormat/>
    <w:rsid w:val="00BC6052"/>
    <w:rPr>
      <w:i/>
      <w:iCs/>
    </w:rPr>
  </w:style>
  <w:style w:type="paragraph" w:customStyle="1" w:styleId="p1">
    <w:name w:val="p1"/>
    <w:basedOn w:val="Normal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  <w:style w:type="paragraph" w:styleId="BalloonText">
    <w:name w:val="Balloon Text"/>
    <w:basedOn w:val="Normal"/>
    <w:link w:val="BalloonTextChar"/>
    <w:rsid w:val="009F5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58F"/>
    <w:rPr>
      <w:rFonts w:ascii="Tahoma" w:hAnsi="Tahoma" w:cs="Tahoma"/>
      <w:sz w:val="16"/>
      <w:szCs w:val="16"/>
      <w:lang w:eastAsia="et-EE"/>
    </w:rPr>
  </w:style>
  <w:style w:type="paragraph" w:styleId="ListParagraph">
    <w:name w:val="List Paragraph"/>
    <w:basedOn w:val="Normal"/>
    <w:uiPriority w:val="72"/>
    <w:qFormat/>
    <w:rsid w:val="004E6C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TableGrid">
    <w:name w:val="Table Grid"/>
    <w:basedOn w:val="TableNorma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Cite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DefaultParagraphFont"/>
    <w:rsid w:val="00C337D7"/>
  </w:style>
  <w:style w:type="character" w:customStyle="1" w:styleId="cit-authcit-auth-type-author">
    <w:name w:val="cit-auth cit-auth-type-author"/>
    <w:basedOn w:val="DefaultParagraphFont"/>
    <w:rsid w:val="00C337D7"/>
  </w:style>
  <w:style w:type="character" w:customStyle="1" w:styleId="cit-sepcit-sep-separator">
    <w:name w:val="cit-sep cit-sep-separator"/>
    <w:basedOn w:val="DefaultParagraphFont"/>
    <w:rsid w:val="00C337D7"/>
  </w:style>
  <w:style w:type="character" w:customStyle="1" w:styleId="cit-print-date">
    <w:name w:val="cit-print-date"/>
    <w:basedOn w:val="DefaultParagraphFont"/>
    <w:rsid w:val="00C337D7"/>
  </w:style>
  <w:style w:type="character" w:customStyle="1" w:styleId="cit-sepcit-sep-after-article-print-date">
    <w:name w:val="cit-sep cit-sep-after-article-print-date"/>
    <w:basedOn w:val="DefaultParagraphFont"/>
    <w:rsid w:val="00C337D7"/>
  </w:style>
  <w:style w:type="character" w:customStyle="1" w:styleId="cit-sepcit-sep-after-article-vol">
    <w:name w:val="cit-sep cit-sep-after-article-vol"/>
    <w:basedOn w:val="DefaultParagraphFont"/>
    <w:rsid w:val="00C337D7"/>
  </w:style>
  <w:style w:type="character" w:customStyle="1" w:styleId="cit-first-page">
    <w:name w:val="cit-first-page"/>
    <w:basedOn w:val="DefaultParagraphFont"/>
    <w:rsid w:val="00C337D7"/>
  </w:style>
  <w:style w:type="character" w:styleId="Hyperlink">
    <w:name w:val="Hyperlink"/>
    <w:rsid w:val="00BC6052"/>
    <w:rPr>
      <w:color w:val="0000FF"/>
      <w:u w:val="single"/>
    </w:rPr>
  </w:style>
  <w:style w:type="character" w:styleId="Emphasis">
    <w:name w:val="Emphasis"/>
    <w:qFormat/>
    <w:rsid w:val="00BC6052"/>
    <w:rPr>
      <w:i/>
      <w:iCs/>
    </w:rPr>
  </w:style>
  <w:style w:type="paragraph" w:customStyle="1" w:styleId="p1">
    <w:name w:val="p1"/>
    <w:basedOn w:val="Normal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  <w:style w:type="paragraph" w:styleId="BalloonText">
    <w:name w:val="Balloon Text"/>
    <w:basedOn w:val="Normal"/>
    <w:link w:val="BalloonTextChar"/>
    <w:rsid w:val="009F5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58F"/>
    <w:rPr>
      <w:rFonts w:ascii="Tahoma" w:hAnsi="Tahoma" w:cs="Tahoma"/>
      <w:sz w:val="16"/>
      <w:szCs w:val="16"/>
      <w:lang w:eastAsia="et-EE"/>
    </w:rPr>
  </w:style>
  <w:style w:type="paragraph" w:styleId="ListParagraph">
    <w:name w:val="List Paragraph"/>
    <w:basedOn w:val="Normal"/>
    <w:uiPriority w:val="72"/>
    <w:qFormat/>
    <w:rsid w:val="004E6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20559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6" w:space="0" w:color="B8B6B6"/>
                <w:bottom w:val="single" w:sz="6" w:space="0" w:color="B8B6B6"/>
                <w:right w:val="single" w:sz="6" w:space="0" w:color="B8B6B6"/>
              </w:divBdr>
              <w:divsChild>
                <w:div w:id="15271389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8029">
                          <w:marLeft w:val="15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405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176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10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1297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Non-pharmacological treatment</vt:lpstr>
    </vt:vector>
  </TitlesOfParts>
  <Company>Ravimiamet</Company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Non-pharmacological treatment</dc:title>
  <dc:creator>Kasutaja</dc:creator>
  <cp:lastModifiedBy>Alar Irs</cp:lastModifiedBy>
  <cp:revision>4</cp:revision>
  <dcterms:created xsi:type="dcterms:W3CDTF">2017-09-09T18:05:00Z</dcterms:created>
  <dcterms:modified xsi:type="dcterms:W3CDTF">2017-09-10T19:03:00Z</dcterms:modified>
</cp:coreProperties>
</file>