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474" w:rsidRPr="00D71236" w:rsidRDefault="00080474" w:rsidP="00080474">
      <w:pPr>
        <w:rPr>
          <w:rFonts w:ascii="Times New Roman" w:hAnsi="Times New Roman" w:cs="Times New Roman"/>
          <w:b/>
        </w:rPr>
      </w:pPr>
      <w:bookmarkStart w:id="0" w:name="_GoBack"/>
      <w:bookmarkEnd w:id="0"/>
      <w:r w:rsidRPr="00D71236">
        <w:rPr>
          <w:rFonts w:ascii="Times New Roman" w:hAnsi="Times New Roman" w:cs="Times New Roman"/>
          <w:b/>
        </w:rPr>
        <w:t xml:space="preserve">Kodade virvendusarütmia </w:t>
      </w:r>
      <w:r w:rsidR="0085331F">
        <w:rPr>
          <w:rFonts w:ascii="Times New Roman" w:hAnsi="Times New Roman" w:cs="Times New Roman"/>
          <w:b/>
        </w:rPr>
        <w:t>ravi-/käsitlusjuhendi töörühma 7</w:t>
      </w:r>
      <w:r w:rsidRPr="00D71236">
        <w:rPr>
          <w:rFonts w:ascii="Times New Roman" w:hAnsi="Times New Roman" w:cs="Times New Roman"/>
          <w:b/>
        </w:rPr>
        <w:t>. koosolek</w:t>
      </w:r>
    </w:p>
    <w:p w:rsidR="00080474" w:rsidRPr="00D71236" w:rsidRDefault="00080474" w:rsidP="00080474">
      <w:pPr>
        <w:shd w:val="clear" w:color="auto" w:fill="333333"/>
        <w:spacing w:after="0" w:line="240" w:lineRule="auto"/>
        <w:rPr>
          <w:rFonts w:ascii="Times New Roman" w:eastAsia="Times New Roman" w:hAnsi="Times New Roman" w:cs="Times New Roman"/>
          <w:vanish/>
          <w:color w:val="FFFFFF"/>
          <w:lang w:eastAsia="et-EE"/>
        </w:rPr>
      </w:pPr>
      <w:r w:rsidRPr="00D71236">
        <w:rPr>
          <w:rFonts w:ascii="Times New Roman" w:eastAsia="Times New Roman" w:hAnsi="Times New Roman" w:cs="Times New Roman"/>
          <w:vanish/>
          <w:color w:val="FFFFFF"/>
          <w:lang w:eastAsia="et-EE"/>
        </w:rPr>
        <w:t>Ravijuhendi „</w:t>
      </w:r>
    </w:p>
    <w:p w:rsidR="00080474" w:rsidRPr="00D71236" w:rsidRDefault="00080474" w:rsidP="00080474">
      <w:pPr>
        <w:shd w:val="clear" w:color="auto" w:fill="333333"/>
        <w:spacing w:after="0" w:line="240" w:lineRule="auto"/>
        <w:rPr>
          <w:rFonts w:ascii="Times New Roman" w:eastAsia="Times New Roman" w:hAnsi="Times New Roman" w:cs="Times New Roman"/>
          <w:vanish/>
          <w:color w:val="FFFFFF"/>
          <w:lang w:eastAsia="et-EE"/>
        </w:rPr>
      </w:pPr>
      <w:r w:rsidRPr="00D71236">
        <w:rPr>
          <w:rFonts w:ascii="Times New Roman" w:eastAsia="Times New Roman" w:hAnsi="Times New Roman" w:cs="Times New Roman"/>
          <w:vanish/>
          <w:color w:val="FFFFFF"/>
          <w:lang w:eastAsia="et-EE"/>
        </w:rPr>
        <w:t>Kodade virvendusarütmia</w:t>
      </w:r>
    </w:p>
    <w:p w:rsidR="00080474" w:rsidRPr="00D71236" w:rsidRDefault="00080474" w:rsidP="00080474">
      <w:pPr>
        <w:shd w:val="clear" w:color="auto" w:fill="333333"/>
        <w:spacing w:after="0" w:line="240" w:lineRule="auto"/>
        <w:rPr>
          <w:rFonts w:ascii="Times New Roman" w:eastAsia="Times New Roman" w:hAnsi="Times New Roman" w:cs="Times New Roman"/>
          <w:vanish/>
          <w:color w:val="FFFFFF"/>
          <w:lang w:eastAsia="et-EE"/>
        </w:rPr>
      </w:pPr>
      <w:r w:rsidRPr="00D71236">
        <w:rPr>
          <w:rFonts w:ascii="Times New Roman" w:eastAsia="Times New Roman" w:hAnsi="Times New Roman" w:cs="Times New Roman"/>
          <w:vanish/>
          <w:color w:val="FFFFFF"/>
          <w:lang w:eastAsia="et-EE"/>
        </w:rPr>
        <w:t xml:space="preserve">“ </w:t>
      </w:r>
    </w:p>
    <w:p w:rsidR="00080474" w:rsidRPr="00D71236" w:rsidRDefault="00080474" w:rsidP="00080474">
      <w:pPr>
        <w:shd w:val="clear" w:color="auto" w:fill="333333"/>
        <w:spacing w:after="120" w:line="240" w:lineRule="auto"/>
        <w:rPr>
          <w:rFonts w:ascii="Times New Roman" w:eastAsia="Times New Roman" w:hAnsi="Times New Roman" w:cs="Times New Roman"/>
          <w:vanish/>
          <w:color w:val="FFFFFF"/>
          <w:lang w:eastAsia="et-EE"/>
        </w:rPr>
      </w:pPr>
      <w:r w:rsidRPr="00D71236">
        <w:rPr>
          <w:rFonts w:ascii="Times New Roman" w:eastAsia="Times New Roman" w:hAnsi="Times New Roman" w:cs="Times New Roman"/>
          <w:vanish/>
          <w:color w:val="FFFFFF"/>
          <w:lang w:eastAsia="et-EE"/>
        </w:rPr>
        <w:t>koosoleku protokoll</w:t>
      </w:r>
    </w:p>
    <w:tbl>
      <w:tblPr>
        <w:tblStyle w:val="TableGrid"/>
        <w:tblW w:w="0" w:type="auto"/>
        <w:tblLook w:val="04A0" w:firstRow="1" w:lastRow="0" w:firstColumn="1" w:lastColumn="0" w:noHBand="0" w:noVBand="1"/>
      </w:tblPr>
      <w:tblGrid>
        <w:gridCol w:w="1951"/>
        <w:gridCol w:w="7261"/>
      </w:tblGrid>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Kuupäev</w:t>
            </w:r>
          </w:p>
        </w:tc>
        <w:tc>
          <w:tcPr>
            <w:tcW w:w="7261" w:type="dxa"/>
          </w:tcPr>
          <w:p w:rsidR="00080474" w:rsidRPr="00D71236" w:rsidRDefault="0085331F" w:rsidP="00E579A4">
            <w:pPr>
              <w:rPr>
                <w:rFonts w:ascii="Times New Roman" w:hAnsi="Times New Roman" w:cs="Times New Roman"/>
              </w:rPr>
            </w:pPr>
            <w:r>
              <w:rPr>
                <w:rFonts w:ascii="Times New Roman" w:hAnsi="Times New Roman" w:cs="Times New Roman"/>
              </w:rPr>
              <w:t>08.02.2018</w:t>
            </w:r>
          </w:p>
        </w:tc>
      </w:tr>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Koht</w:t>
            </w:r>
          </w:p>
        </w:tc>
        <w:tc>
          <w:tcPr>
            <w:tcW w:w="7261" w:type="dxa"/>
          </w:tcPr>
          <w:p w:rsidR="00080474" w:rsidRPr="00D71236" w:rsidRDefault="00080474" w:rsidP="00E579A4">
            <w:pPr>
              <w:rPr>
                <w:rFonts w:ascii="Times New Roman" w:hAnsi="Times New Roman" w:cs="Times New Roman"/>
              </w:rPr>
            </w:pPr>
            <w:r w:rsidRPr="00D71236">
              <w:rPr>
                <w:rFonts w:ascii="Times New Roman" w:hAnsi="Times New Roman" w:cs="Times New Roman"/>
              </w:rPr>
              <w:t>Hindreku talu, kell 14.00-17.00</w:t>
            </w:r>
          </w:p>
        </w:tc>
      </w:tr>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Osalesid</w:t>
            </w:r>
          </w:p>
        </w:tc>
        <w:tc>
          <w:tcPr>
            <w:tcW w:w="7261" w:type="dxa"/>
          </w:tcPr>
          <w:p w:rsidR="00080474" w:rsidRPr="00D71236" w:rsidRDefault="00080474" w:rsidP="00E579A4">
            <w:pPr>
              <w:rPr>
                <w:rFonts w:ascii="Times New Roman" w:hAnsi="Times New Roman" w:cs="Times New Roman"/>
              </w:rPr>
            </w:pPr>
            <w:r w:rsidRPr="00D71236">
              <w:rPr>
                <w:rFonts w:ascii="Times New Roman" w:hAnsi="Times New Roman" w:cs="Times New Roman"/>
              </w:rPr>
              <w:t>Töörühm: Jüri Voitk, Katrin Martinson, Priit Kampus, Riina Vettus, Rein Kolk, Ilja Lapidu</w:t>
            </w:r>
            <w:r w:rsidR="0085331F">
              <w:rPr>
                <w:rFonts w:ascii="Times New Roman" w:hAnsi="Times New Roman" w:cs="Times New Roman"/>
              </w:rPr>
              <w:t>s, Heli Kaljusaar, Arkadi Popov</w:t>
            </w:r>
            <w:r w:rsidRPr="00D71236">
              <w:rPr>
                <w:rFonts w:ascii="Times New Roman" w:hAnsi="Times New Roman" w:cs="Times New Roman"/>
              </w:rPr>
              <w:t>, Merike Toomik, Janika Kõrv</w:t>
            </w:r>
            <w:r w:rsidR="0085331F">
              <w:rPr>
                <w:rFonts w:ascii="Times New Roman" w:hAnsi="Times New Roman" w:cs="Times New Roman"/>
              </w:rPr>
              <w:t>, Argo Lätt</w:t>
            </w:r>
            <w:r w:rsidRPr="00D71236">
              <w:rPr>
                <w:rFonts w:ascii="Times New Roman" w:hAnsi="Times New Roman" w:cs="Times New Roman"/>
              </w:rPr>
              <w:t>, Eve Kivistik</w:t>
            </w:r>
            <w:r w:rsidR="0085331F">
              <w:rPr>
                <w:rFonts w:ascii="Times New Roman" w:hAnsi="Times New Roman" w:cs="Times New Roman"/>
              </w:rPr>
              <w:t>,</w:t>
            </w:r>
            <w:r w:rsidR="0085331F" w:rsidRPr="00D71236">
              <w:rPr>
                <w:rFonts w:ascii="Times New Roman" w:hAnsi="Times New Roman" w:cs="Times New Roman"/>
              </w:rPr>
              <w:t xml:space="preserve"> Vassili Novak, Märt Elmet, Kaarel Puusepp, Erki Laidmäe</w:t>
            </w:r>
          </w:p>
          <w:p w:rsidR="00080474" w:rsidRPr="00D71236" w:rsidRDefault="00080474" w:rsidP="00E579A4">
            <w:pPr>
              <w:rPr>
                <w:rFonts w:ascii="Times New Roman" w:hAnsi="Times New Roman" w:cs="Times New Roman"/>
              </w:rPr>
            </w:pPr>
            <w:r w:rsidRPr="00D71236">
              <w:rPr>
                <w:rFonts w:ascii="Times New Roman" w:hAnsi="Times New Roman" w:cs="Times New Roman"/>
              </w:rPr>
              <w:t>Sekretariaat: Alar Irs</w:t>
            </w:r>
            <w:r w:rsidR="0085331F">
              <w:rPr>
                <w:rFonts w:ascii="Times New Roman" w:hAnsi="Times New Roman" w:cs="Times New Roman"/>
              </w:rPr>
              <w:t>, Kärt Veliste</w:t>
            </w:r>
          </w:p>
          <w:p w:rsidR="00080474" w:rsidRPr="00D71236" w:rsidRDefault="00080474" w:rsidP="00E579A4">
            <w:pPr>
              <w:rPr>
                <w:rFonts w:ascii="Times New Roman" w:hAnsi="Times New Roman" w:cs="Times New Roman"/>
              </w:rPr>
            </w:pPr>
            <w:r w:rsidRPr="00D71236">
              <w:rPr>
                <w:rFonts w:ascii="Times New Roman" w:hAnsi="Times New Roman" w:cs="Times New Roman"/>
              </w:rPr>
              <w:t>EHK: Anneli Truhanov</w:t>
            </w:r>
          </w:p>
        </w:tc>
      </w:tr>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Puudusid</w:t>
            </w:r>
          </w:p>
        </w:tc>
        <w:tc>
          <w:tcPr>
            <w:tcW w:w="7261" w:type="dxa"/>
          </w:tcPr>
          <w:p w:rsidR="00080474" w:rsidRPr="00D71236" w:rsidRDefault="0085331F" w:rsidP="00E579A4">
            <w:pPr>
              <w:rPr>
                <w:rFonts w:ascii="Times New Roman" w:hAnsi="Times New Roman" w:cs="Times New Roman"/>
              </w:rPr>
            </w:pPr>
            <w:r w:rsidRPr="00D71236">
              <w:rPr>
                <w:rFonts w:ascii="Times New Roman" w:hAnsi="Times New Roman" w:cs="Times New Roman"/>
              </w:rPr>
              <w:t>Žanna Abel</w:t>
            </w:r>
          </w:p>
        </w:tc>
      </w:tr>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Juhataja</w:t>
            </w:r>
          </w:p>
        </w:tc>
        <w:tc>
          <w:tcPr>
            <w:tcW w:w="7261" w:type="dxa"/>
          </w:tcPr>
          <w:p w:rsidR="00080474" w:rsidRPr="00D71236" w:rsidRDefault="00080474" w:rsidP="00E579A4">
            <w:pPr>
              <w:rPr>
                <w:rFonts w:ascii="Times New Roman" w:hAnsi="Times New Roman" w:cs="Times New Roman"/>
              </w:rPr>
            </w:pPr>
            <w:r w:rsidRPr="00D71236">
              <w:rPr>
                <w:rFonts w:ascii="Times New Roman" w:hAnsi="Times New Roman" w:cs="Times New Roman"/>
              </w:rPr>
              <w:t>Jüri Voitk</w:t>
            </w:r>
          </w:p>
        </w:tc>
      </w:tr>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Protokollija</w:t>
            </w:r>
          </w:p>
        </w:tc>
        <w:tc>
          <w:tcPr>
            <w:tcW w:w="7261" w:type="dxa"/>
          </w:tcPr>
          <w:p w:rsidR="00080474" w:rsidRPr="00D71236" w:rsidRDefault="00080474" w:rsidP="00E579A4">
            <w:pPr>
              <w:rPr>
                <w:rFonts w:ascii="Times New Roman" w:hAnsi="Times New Roman" w:cs="Times New Roman"/>
              </w:rPr>
            </w:pPr>
            <w:r w:rsidRPr="00D71236">
              <w:rPr>
                <w:rFonts w:ascii="Times New Roman" w:hAnsi="Times New Roman" w:cs="Times New Roman"/>
              </w:rPr>
              <w:t>Alar Irs</w:t>
            </w:r>
          </w:p>
        </w:tc>
      </w:tr>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Päevakord</w:t>
            </w:r>
          </w:p>
        </w:tc>
        <w:tc>
          <w:tcPr>
            <w:tcW w:w="7261" w:type="dxa"/>
          </w:tcPr>
          <w:p w:rsidR="00080474" w:rsidRDefault="00A1238F" w:rsidP="00A1238F">
            <w:pPr>
              <w:pStyle w:val="ListParagraph"/>
              <w:numPr>
                <w:ilvl w:val="0"/>
                <w:numId w:val="7"/>
              </w:numPr>
              <w:spacing w:before="120" w:after="120" w:line="240" w:lineRule="auto"/>
              <w:rPr>
                <w:rFonts w:ascii="Times New Roman" w:hAnsi="Times New Roman" w:cs="Times New Roman"/>
              </w:rPr>
            </w:pPr>
            <w:r>
              <w:rPr>
                <w:rFonts w:ascii="Times New Roman" w:hAnsi="Times New Roman" w:cs="Times New Roman"/>
              </w:rPr>
              <w:t>Kliinilise küsimuse 7 tõendusmaterjali kokkuvõte;</w:t>
            </w:r>
          </w:p>
          <w:p w:rsidR="00A1238F" w:rsidRDefault="00A1238F" w:rsidP="00A1238F">
            <w:pPr>
              <w:pStyle w:val="ListParagraph"/>
              <w:numPr>
                <w:ilvl w:val="0"/>
                <w:numId w:val="7"/>
              </w:numPr>
              <w:spacing w:before="120" w:after="120" w:line="240" w:lineRule="auto"/>
              <w:rPr>
                <w:rFonts w:ascii="Times New Roman" w:hAnsi="Times New Roman" w:cs="Times New Roman"/>
              </w:rPr>
            </w:pPr>
            <w:r>
              <w:rPr>
                <w:rFonts w:ascii="Times New Roman" w:hAnsi="Times New Roman" w:cs="Times New Roman"/>
              </w:rPr>
              <w:t>Antikoagulantide kulutõhususe analüüs;</w:t>
            </w:r>
          </w:p>
          <w:p w:rsidR="00A1238F" w:rsidRDefault="00A1238F" w:rsidP="00A1238F">
            <w:pPr>
              <w:pStyle w:val="ListParagraph"/>
              <w:numPr>
                <w:ilvl w:val="0"/>
                <w:numId w:val="7"/>
              </w:numPr>
              <w:spacing w:before="120" w:after="120" w:line="240" w:lineRule="auto"/>
              <w:rPr>
                <w:rFonts w:ascii="Times New Roman" w:hAnsi="Times New Roman" w:cs="Times New Roman"/>
              </w:rPr>
            </w:pPr>
            <w:r>
              <w:rPr>
                <w:rFonts w:ascii="Times New Roman" w:hAnsi="Times New Roman" w:cs="Times New Roman"/>
              </w:rPr>
              <w:t>KVA käsitlus perearstikeskuses</w:t>
            </w:r>
          </w:p>
          <w:p w:rsidR="00A1238F" w:rsidRDefault="00A1238F" w:rsidP="00A1238F">
            <w:pPr>
              <w:pStyle w:val="ListParagraph"/>
              <w:numPr>
                <w:ilvl w:val="0"/>
                <w:numId w:val="7"/>
              </w:numPr>
              <w:spacing w:before="120" w:after="120" w:line="240" w:lineRule="auto"/>
              <w:rPr>
                <w:rFonts w:ascii="Times New Roman" w:hAnsi="Times New Roman" w:cs="Times New Roman"/>
              </w:rPr>
            </w:pPr>
            <w:r>
              <w:rPr>
                <w:rFonts w:ascii="Times New Roman" w:hAnsi="Times New Roman" w:cs="Times New Roman"/>
              </w:rPr>
              <w:t>KVA käsitlus kiirabis</w:t>
            </w:r>
          </w:p>
          <w:p w:rsidR="00A1238F" w:rsidRPr="00A1238F" w:rsidRDefault="00A1238F" w:rsidP="00A1238F">
            <w:pPr>
              <w:pStyle w:val="ListParagraph"/>
              <w:numPr>
                <w:ilvl w:val="0"/>
                <w:numId w:val="7"/>
              </w:numPr>
              <w:spacing w:before="120" w:after="120" w:line="240" w:lineRule="auto"/>
              <w:rPr>
                <w:rFonts w:ascii="Times New Roman" w:hAnsi="Times New Roman" w:cs="Times New Roman"/>
              </w:rPr>
            </w:pPr>
            <w:r>
              <w:rPr>
                <w:rFonts w:ascii="Times New Roman" w:hAnsi="Times New Roman" w:cs="Times New Roman"/>
              </w:rPr>
              <w:t>Soovituste sõnastuste ülevaatamine</w:t>
            </w:r>
          </w:p>
        </w:tc>
      </w:tr>
      <w:tr w:rsidR="00080474" w:rsidRPr="00D71236" w:rsidTr="00E579A4">
        <w:tc>
          <w:tcPr>
            <w:tcW w:w="1951" w:type="dxa"/>
          </w:tcPr>
          <w:p w:rsidR="00080474" w:rsidRPr="00D71236" w:rsidRDefault="00080474" w:rsidP="00E579A4">
            <w:pPr>
              <w:rPr>
                <w:rFonts w:ascii="Times New Roman" w:hAnsi="Times New Roman" w:cs="Times New Roman"/>
                <w:b/>
              </w:rPr>
            </w:pPr>
            <w:r w:rsidRPr="00D71236">
              <w:rPr>
                <w:rFonts w:ascii="Times New Roman" w:hAnsi="Times New Roman" w:cs="Times New Roman"/>
                <w:b/>
              </w:rPr>
              <w:t>Arutelu põhipunktid, otsused</w:t>
            </w:r>
          </w:p>
        </w:tc>
        <w:tc>
          <w:tcPr>
            <w:tcW w:w="7261" w:type="dxa"/>
          </w:tcPr>
          <w:p w:rsidR="00F12F26" w:rsidRPr="00F12F26" w:rsidRDefault="00F12F26" w:rsidP="00F12F26">
            <w:pPr>
              <w:pStyle w:val="ListParagraph"/>
              <w:numPr>
                <w:ilvl w:val="0"/>
                <w:numId w:val="10"/>
              </w:numPr>
              <w:rPr>
                <w:rFonts w:ascii="Times New Roman" w:hAnsi="Times New Roman" w:cs="Times New Roman"/>
                <w:sz w:val="24"/>
                <w:szCs w:val="24"/>
              </w:rPr>
            </w:pPr>
            <w:r w:rsidRPr="00F12F26">
              <w:rPr>
                <w:rFonts w:ascii="Times New Roman" w:hAnsi="Times New Roman" w:cs="Times New Roman"/>
                <w:b/>
                <w:sz w:val="24"/>
                <w:szCs w:val="24"/>
              </w:rPr>
              <w:t>Kas antikoagulantravi määrates tuleks eelistada OS antikoagulanti VKA-le</w:t>
            </w:r>
            <w:r w:rsidRPr="00F12F26">
              <w:rPr>
                <w:rFonts w:ascii="Times New Roman" w:hAnsi="Times New Roman" w:cs="Times New Roman"/>
                <w:sz w:val="24"/>
                <w:szCs w:val="24"/>
              </w:rPr>
              <w:t xml:space="preserve"> (kliiniline küsimus 7)?</w:t>
            </w:r>
          </w:p>
          <w:p w:rsidR="00F12F26" w:rsidRDefault="00F12F26" w:rsidP="00F12F26">
            <w:pPr>
              <w:rPr>
                <w:rFonts w:ascii="Times New Roman" w:hAnsi="Times New Roman" w:cs="Times New Roman"/>
                <w:sz w:val="24"/>
                <w:szCs w:val="24"/>
              </w:rPr>
            </w:pPr>
            <w:r w:rsidRPr="00F12F26">
              <w:rPr>
                <w:rFonts w:ascii="Times New Roman" w:hAnsi="Times New Roman" w:cs="Times New Roman"/>
                <w:sz w:val="24"/>
                <w:szCs w:val="24"/>
              </w:rPr>
              <w:t xml:space="preserve">Vaadati üle otsese toimega antikoagulantide efektiivsuse, ohutuse, kulutõhususe ja eelarvemõju andmed. </w:t>
            </w:r>
          </w:p>
          <w:p w:rsidR="00F12F26" w:rsidRDefault="00F12F26" w:rsidP="00F12F26">
            <w:pPr>
              <w:rPr>
                <w:rFonts w:ascii="Times New Roman" w:hAnsi="Times New Roman" w:cs="Times New Roman"/>
                <w:sz w:val="24"/>
                <w:szCs w:val="24"/>
              </w:rPr>
            </w:pPr>
            <w:r w:rsidRPr="00F12F26">
              <w:rPr>
                <w:rFonts w:ascii="Times New Roman" w:hAnsi="Times New Roman" w:cs="Times New Roman"/>
                <w:sz w:val="24"/>
                <w:szCs w:val="24"/>
              </w:rPr>
              <w:t xml:space="preserve">Tõdeti, et OSAK efektiivsus ajuinfarkti vältimisel on vähemalt sama hea kui VKA-l ning ohutus sedavõrd parem, et viimased metaanalüüsid näitavad elulemuse erinevust. </w:t>
            </w:r>
          </w:p>
          <w:p w:rsidR="00F12F26" w:rsidRDefault="00F12F26" w:rsidP="00F12F26">
            <w:pPr>
              <w:rPr>
                <w:rFonts w:ascii="Times New Roman" w:hAnsi="Times New Roman" w:cs="Times New Roman"/>
                <w:sz w:val="24"/>
                <w:szCs w:val="24"/>
              </w:rPr>
            </w:pPr>
            <w:r w:rsidRPr="00F12F26">
              <w:rPr>
                <w:rFonts w:ascii="Times New Roman" w:hAnsi="Times New Roman" w:cs="Times New Roman"/>
                <w:sz w:val="24"/>
                <w:szCs w:val="24"/>
              </w:rPr>
              <w:t xml:space="preserve">Arutati, et Eesti kulutõhususe analüüs on tehtud ravikindlustuse perspektiivist ning ühiskonna perspektiivist võiks kulutõhusus olla pisut parem (nt kaasates insuldihaigete hoolduskulud). </w:t>
            </w:r>
          </w:p>
          <w:p w:rsidR="00F12F26" w:rsidRDefault="00F12F26" w:rsidP="00F12F26">
            <w:pPr>
              <w:rPr>
                <w:rFonts w:ascii="Times New Roman" w:hAnsi="Times New Roman" w:cs="Times New Roman"/>
                <w:sz w:val="24"/>
                <w:szCs w:val="24"/>
              </w:rPr>
            </w:pPr>
            <w:r w:rsidRPr="00F12F26">
              <w:rPr>
                <w:rFonts w:ascii="Times New Roman" w:hAnsi="Times New Roman" w:cs="Times New Roman"/>
                <w:sz w:val="24"/>
                <w:szCs w:val="24"/>
              </w:rPr>
              <w:t xml:space="preserve">Neuroloogide esindaja tõi välja, et ravijuhend peaks keskenduma </w:t>
            </w:r>
            <w:r>
              <w:rPr>
                <w:rFonts w:ascii="Times New Roman" w:hAnsi="Times New Roman" w:cs="Times New Roman"/>
                <w:sz w:val="24"/>
                <w:szCs w:val="24"/>
              </w:rPr>
              <w:t xml:space="preserve">vaid </w:t>
            </w:r>
            <w:r w:rsidRPr="00F12F26">
              <w:rPr>
                <w:rFonts w:ascii="Times New Roman" w:hAnsi="Times New Roman" w:cs="Times New Roman"/>
                <w:sz w:val="24"/>
                <w:szCs w:val="24"/>
              </w:rPr>
              <w:t xml:space="preserve">meditsiinilisele tõendusele, sekretariaat juhtis tähelepanu, et Eesti ravijuhendi metoodika näeb ette ka kulutõhususe arvestamist lisaks kliinilisele andmestikule. </w:t>
            </w:r>
          </w:p>
          <w:p w:rsidR="00F12F26" w:rsidRPr="00F12F26" w:rsidRDefault="00F12F26" w:rsidP="00F12F26">
            <w:pPr>
              <w:rPr>
                <w:rFonts w:ascii="Times New Roman" w:hAnsi="Times New Roman" w:cs="Times New Roman"/>
                <w:sz w:val="24"/>
                <w:szCs w:val="24"/>
              </w:rPr>
            </w:pPr>
            <w:r w:rsidRPr="00F12F26">
              <w:rPr>
                <w:rFonts w:ascii="Times New Roman" w:hAnsi="Times New Roman" w:cs="Times New Roman"/>
                <w:sz w:val="24"/>
                <w:szCs w:val="24"/>
              </w:rPr>
              <w:t>Arutati ka eelarvemõju ning leiti, et patsientide arv ning eelarvemõju võib olla väga suur ja EHK peaks tegema endast</w:t>
            </w:r>
            <w:r>
              <w:rPr>
                <w:rFonts w:ascii="Times New Roman" w:hAnsi="Times New Roman" w:cs="Times New Roman"/>
                <w:sz w:val="24"/>
                <w:szCs w:val="24"/>
              </w:rPr>
              <w:t xml:space="preserve"> oleneva selle minimeerimiseks. </w:t>
            </w:r>
            <w:r w:rsidRPr="00F12F26">
              <w:rPr>
                <w:rFonts w:ascii="Times New Roman" w:hAnsi="Times New Roman" w:cs="Times New Roman"/>
                <w:sz w:val="24"/>
                <w:szCs w:val="24"/>
              </w:rPr>
              <w:t>Nõustuti, et kõik OSAK-d ei pea olema võrdsetel tingimustel</w:t>
            </w:r>
            <w:r>
              <w:rPr>
                <w:rFonts w:ascii="Times New Roman" w:hAnsi="Times New Roman" w:cs="Times New Roman"/>
                <w:sz w:val="24"/>
                <w:szCs w:val="24"/>
              </w:rPr>
              <w:t xml:space="preserve"> soodustatud</w:t>
            </w:r>
            <w:r w:rsidRPr="00F12F26">
              <w:rPr>
                <w:rFonts w:ascii="Times New Roman" w:hAnsi="Times New Roman" w:cs="Times New Roman"/>
                <w:sz w:val="24"/>
                <w:szCs w:val="24"/>
              </w:rPr>
              <w:t>, kui hind ja/või kulutõhusus erineb.</w:t>
            </w:r>
          </w:p>
          <w:p w:rsidR="00F12F26" w:rsidRPr="00F12F26" w:rsidRDefault="00F12F26" w:rsidP="00F12F26">
            <w:pPr>
              <w:rPr>
                <w:rFonts w:ascii="Times New Roman" w:hAnsi="Times New Roman" w:cs="Times New Roman"/>
                <w:sz w:val="24"/>
                <w:szCs w:val="24"/>
              </w:rPr>
            </w:pPr>
            <w:r w:rsidRPr="00F12F26">
              <w:rPr>
                <w:rFonts w:ascii="Times New Roman" w:hAnsi="Times New Roman" w:cs="Times New Roman"/>
                <w:sz w:val="24"/>
                <w:szCs w:val="24"/>
              </w:rPr>
              <w:t xml:space="preserve">Üsna üksmeelselt oldi kliiniliste andmete alusel positiivsed OSAK </w:t>
            </w:r>
            <w:r w:rsidRPr="00F12F26">
              <w:rPr>
                <w:rFonts w:ascii="Times New Roman" w:hAnsi="Times New Roman" w:cs="Times New Roman"/>
                <w:sz w:val="24"/>
                <w:szCs w:val="24"/>
              </w:rPr>
              <w:lastRenderedPageBreak/>
              <w:t>laiema kasutamise suhtes, peeti põhjendatuks varfariini säilitamist aktsepteeritava alternatiivina, kui ravi hästi õnnestub või kui patsient soovib tihedamat arstlikku kontrolli. Mitmed töörühma liikmed olid väga murelikud positiivse soovituse majandusliku mõju suhtes.</w:t>
            </w:r>
          </w:p>
          <w:p w:rsidR="00F12F26" w:rsidRPr="00F12F26" w:rsidRDefault="00F12F26" w:rsidP="00F12F26">
            <w:pPr>
              <w:rPr>
                <w:rFonts w:ascii="Times New Roman" w:hAnsi="Times New Roman" w:cs="Times New Roman"/>
                <w:sz w:val="24"/>
                <w:szCs w:val="24"/>
              </w:rPr>
            </w:pPr>
            <w:r w:rsidRPr="00F12F26">
              <w:rPr>
                <w:rFonts w:ascii="Times New Roman" w:hAnsi="Times New Roman" w:cs="Times New Roman"/>
                <w:sz w:val="24"/>
                <w:szCs w:val="24"/>
              </w:rPr>
              <w:t>Sõnastati soovitus:</w:t>
            </w:r>
          </w:p>
          <w:p w:rsidR="00F12F26" w:rsidRPr="00F12F26" w:rsidRDefault="00F12F26" w:rsidP="00F12F26">
            <w:pPr>
              <w:rPr>
                <w:rFonts w:ascii="Times New Roman" w:hAnsi="Times New Roman" w:cs="Times New Roman"/>
                <w:i/>
                <w:sz w:val="24"/>
                <w:szCs w:val="24"/>
              </w:rPr>
            </w:pPr>
            <w:r w:rsidRPr="00F12F26">
              <w:rPr>
                <w:rFonts w:ascii="Times New Roman" w:hAnsi="Times New Roman" w:cs="Times New Roman"/>
                <w:i/>
                <w:sz w:val="24"/>
                <w:szCs w:val="24"/>
              </w:rPr>
              <w:t>KVA-ga patsiendile antikoagulanti valides võite veritsuste väiksema riski tõttu eelistada otsese toimega suukaudset antikoagulanti (trombiini või Xa faktori inhibiitorit). Nõrk soovitus, tugev tõendatus.</w:t>
            </w:r>
          </w:p>
          <w:p w:rsidR="00F12F26" w:rsidRPr="00F12F26" w:rsidRDefault="00F12F26" w:rsidP="00F12F26">
            <w:pPr>
              <w:rPr>
                <w:rFonts w:ascii="Times New Roman" w:hAnsi="Times New Roman" w:cs="Times New Roman"/>
                <w:sz w:val="24"/>
                <w:szCs w:val="24"/>
              </w:rPr>
            </w:pPr>
            <w:r w:rsidRPr="00F12F26">
              <w:rPr>
                <w:rFonts w:ascii="Times New Roman" w:hAnsi="Times New Roman" w:cs="Times New Roman"/>
                <w:sz w:val="24"/>
                <w:szCs w:val="24"/>
              </w:rPr>
              <w:t xml:space="preserve">Lisaks sõnastati töörühma praktiline soovitus: </w:t>
            </w:r>
          </w:p>
          <w:p w:rsidR="00F12F26" w:rsidRPr="00F12F26" w:rsidRDefault="00F12F26" w:rsidP="00F12F26">
            <w:pPr>
              <w:rPr>
                <w:rFonts w:ascii="Times New Roman" w:hAnsi="Times New Roman" w:cs="Times New Roman"/>
                <w:i/>
                <w:sz w:val="24"/>
                <w:szCs w:val="24"/>
              </w:rPr>
            </w:pPr>
            <w:r w:rsidRPr="00F12F26">
              <w:rPr>
                <w:rFonts w:ascii="Times New Roman" w:hAnsi="Times New Roman" w:cs="Times New Roman"/>
                <w:i/>
                <w:sz w:val="24"/>
                <w:szCs w:val="24"/>
              </w:rPr>
              <w:t>Tutvustage patsiendile kõiki antikoagulante ja võtke ravimit valides arvesse patsiendi eelistust.</w:t>
            </w:r>
          </w:p>
          <w:p w:rsidR="00F12F26" w:rsidRPr="00F12F26" w:rsidRDefault="00F12F26" w:rsidP="00F12F26">
            <w:pPr>
              <w:rPr>
                <w:rFonts w:ascii="Times New Roman" w:hAnsi="Times New Roman" w:cs="Times New Roman"/>
                <w:i/>
                <w:sz w:val="24"/>
                <w:szCs w:val="24"/>
              </w:rPr>
            </w:pPr>
            <w:r w:rsidRPr="00F12F26">
              <w:rPr>
                <w:rFonts w:ascii="Times New Roman" w:hAnsi="Times New Roman" w:cs="Times New Roman"/>
                <w:i/>
                <w:sz w:val="24"/>
                <w:szCs w:val="24"/>
              </w:rPr>
              <w:t>Kui KVA-ga patsient saab juba ravi vitamiin K antagonistiga (varfariin) ja ≥70% kontrollimistest vastab INR tase eesmärkväärtusele, ei ole vaja ravi vahetada.</w:t>
            </w:r>
          </w:p>
          <w:p w:rsidR="00F12F26" w:rsidRPr="00F12F26" w:rsidRDefault="00F12F26" w:rsidP="00F12F26">
            <w:pPr>
              <w:pStyle w:val="ListParagraph"/>
              <w:numPr>
                <w:ilvl w:val="0"/>
                <w:numId w:val="9"/>
              </w:numPr>
              <w:rPr>
                <w:rFonts w:ascii="Times New Roman" w:hAnsi="Times New Roman" w:cs="Times New Roman"/>
                <w:b/>
                <w:sz w:val="24"/>
                <w:szCs w:val="24"/>
              </w:rPr>
            </w:pPr>
            <w:r w:rsidRPr="00F12F26">
              <w:rPr>
                <w:rFonts w:ascii="Times New Roman" w:hAnsi="Times New Roman" w:cs="Times New Roman"/>
                <w:b/>
                <w:sz w:val="24"/>
                <w:szCs w:val="24"/>
              </w:rPr>
              <w:t>Juhendi üldine struktuur</w:t>
            </w:r>
          </w:p>
          <w:p w:rsidR="00F12F26" w:rsidRPr="00F12F26" w:rsidRDefault="00F12F26" w:rsidP="00F12F26">
            <w:pPr>
              <w:rPr>
                <w:rFonts w:ascii="Times New Roman" w:hAnsi="Times New Roman" w:cs="Times New Roman"/>
                <w:sz w:val="24"/>
                <w:szCs w:val="24"/>
              </w:rPr>
            </w:pPr>
            <w:r>
              <w:rPr>
                <w:rFonts w:ascii="Times New Roman" w:hAnsi="Times New Roman" w:cs="Times New Roman"/>
                <w:sz w:val="24"/>
                <w:szCs w:val="24"/>
              </w:rPr>
              <w:t xml:space="preserve">Arutleu aluseks oli teksti esimene versioon, kus oli </w:t>
            </w:r>
            <w:r w:rsidRPr="00F12F26">
              <w:rPr>
                <w:rFonts w:ascii="Times New Roman" w:hAnsi="Times New Roman" w:cs="Times New Roman"/>
                <w:sz w:val="24"/>
                <w:szCs w:val="24"/>
              </w:rPr>
              <w:t>on kokku tõstetud tekst tõenduse kokkuvõtetest ja koosolekute protokollidest, lisadesse ots</w:t>
            </w:r>
            <w:r>
              <w:rPr>
                <w:rFonts w:ascii="Times New Roman" w:hAnsi="Times New Roman" w:cs="Times New Roman"/>
                <w:sz w:val="24"/>
                <w:szCs w:val="24"/>
              </w:rPr>
              <w:t>e üle võetud ESC juhendi tabeli</w:t>
            </w:r>
            <w:r w:rsidRPr="00F12F26">
              <w:rPr>
                <w:rFonts w:ascii="Times New Roman" w:hAnsi="Times New Roman" w:cs="Times New Roman"/>
                <w:sz w:val="24"/>
                <w:szCs w:val="24"/>
              </w:rPr>
              <w:t xml:space="preserve">d. </w:t>
            </w:r>
          </w:p>
          <w:p w:rsidR="00F12F26" w:rsidRDefault="00F12F26" w:rsidP="00F12F26">
            <w:pPr>
              <w:rPr>
                <w:rFonts w:ascii="Times New Roman" w:hAnsi="Times New Roman" w:cs="Times New Roman"/>
                <w:sz w:val="24"/>
                <w:szCs w:val="24"/>
              </w:rPr>
            </w:pPr>
            <w:r w:rsidRPr="00F12F26">
              <w:rPr>
                <w:rFonts w:ascii="Times New Roman" w:hAnsi="Times New Roman" w:cs="Times New Roman"/>
                <w:sz w:val="24"/>
                <w:szCs w:val="24"/>
              </w:rPr>
              <w:t>Arutati põgusalt esmaste uuringute komplekti, muutusi ei tehtud.</w:t>
            </w:r>
          </w:p>
          <w:p w:rsidR="00F12F26" w:rsidRPr="00F12F26" w:rsidRDefault="00F12F26" w:rsidP="00F12F26">
            <w:pPr>
              <w:rPr>
                <w:rFonts w:ascii="Times New Roman" w:hAnsi="Times New Roman" w:cs="Times New Roman"/>
                <w:sz w:val="24"/>
                <w:szCs w:val="24"/>
              </w:rPr>
            </w:pPr>
            <w:r w:rsidRPr="00F12F26">
              <w:rPr>
                <w:rFonts w:ascii="Times New Roman" w:hAnsi="Times New Roman" w:cs="Times New Roman"/>
                <w:sz w:val="24"/>
                <w:szCs w:val="24"/>
              </w:rPr>
              <w:t>Arvamused lisade osas olid mitmekesised (koronaarhaigete antikoagulatsioon, antikoagulatsiooni taasalustamine insuldi või intrakraniaalse hemorraagia järel). Otsustati siiski mitmed ESC juhendil põhinevad lisatabelid sisse jätta</w:t>
            </w:r>
            <w:r>
              <w:rPr>
                <w:rFonts w:ascii="Times New Roman" w:hAnsi="Times New Roman" w:cs="Times New Roman"/>
                <w:sz w:val="24"/>
                <w:szCs w:val="24"/>
              </w:rPr>
              <w:t>, kuigi nende tõenduspõhisus on varieeruv</w:t>
            </w:r>
            <w:r w:rsidRPr="00F12F26">
              <w:rPr>
                <w:rFonts w:ascii="Times New Roman" w:hAnsi="Times New Roman" w:cs="Times New Roman"/>
                <w:sz w:val="24"/>
                <w:szCs w:val="24"/>
              </w:rPr>
              <w:t xml:space="preserve">. </w:t>
            </w:r>
          </w:p>
          <w:p w:rsidR="00F12F26" w:rsidRPr="00F12F26" w:rsidRDefault="00F12F26" w:rsidP="00F12F26">
            <w:pPr>
              <w:rPr>
                <w:rFonts w:ascii="Times New Roman" w:hAnsi="Times New Roman" w:cs="Times New Roman"/>
                <w:sz w:val="24"/>
                <w:szCs w:val="24"/>
              </w:rPr>
            </w:pPr>
            <w:r>
              <w:rPr>
                <w:rFonts w:ascii="Times New Roman" w:hAnsi="Times New Roman" w:cs="Times New Roman"/>
                <w:sz w:val="24"/>
                <w:szCs w:val="24"/>
              </w:rPr>
              <w:t xml:space="preserve">Arutati rütmihäirete spetsialisti konsultatsioonile suunatavate patsientide üle ning selle üle, kas kõigepealt peaks patsienti konsulteerima üldkardioloog või võib perearst otse suunata. Enam TR liikmeid kaldus toetama üldkardioloogi (e-)konsultatsiooni vajadust. RH töögrupp sõnastab tingimused, millised patsiendid võivad vajada RH spetsialisti </w:t>
            </w:r>
            <w:r w:rsidR="00406A43">
              <w:rPr>
                <w:rFonts w:ascii="Times New Roman" w:hAnsi="Times New Roman" w:cs="Times New Roman"/>
                <w:sz w:val="24"/>
                <w:szCs w:val="24"/>
              </w:rPr>
              <w:t>nõu (nt s</w:t>
            </w:r>
            <w:r w:rsidRPr="00F12F26">
              <w:rPr>
                <w:rFonts w:ascii="Times New Roman" w:hAnsi="Times New Roman" w:cs="Times New Roman"/>
                <w:sz w:val="24"/>
                <w:szCs w:val="24"/>
              </w:rPr>
              <w:t xml:space="preserve">ümptomaatiline paroksüsmaalne heas funktsionaalses seisundis KVA patsient,  </w:t>
            </w:r>
            <w:r w:rsidR="00406A43">
              <w:rPr>
                <w:rFonts w:ascii="Times New Roman" w:hAnsi="Times New Roman" w:cs="Times New Roman"/>
                <w:sz w:val="24"/>
                <w:szCs w:val="24"/>
              </w:rPr>
              <w:t xml:space="preserve">strukturaalselt </w:t>
            </w:r>
            <w:r w:rsidRPr="00F12F26">
              <w:rPr>
                <w:rFonts w:ascii="Times New Roman" w:hAnsi="Times New Roman" w:cs="Times New Roman"/>
                <w:sz w:val="24"/>
                <w:szCs w:val="24"/>
              </w:rPr>
              <w:t xml:space="preserve">terve süda, </w:t>
            </w:r>
            <w:r w:rsidR="00406A43">
              <w:rPr>
                <w:rFonts w:ascii="Times New Roman" w:hAnsi="Times New Roman" w:cs="Times New Roman"/>
                <w:sz w:val="24"/>
                <w:szCs w:val="24"/>
              </w:rPr>
              <w:t>„</w:t>
            </w:r>
            <w:r w:rsidRPr="00F12F26">
              <w:rPr>
                <w:rFonts w:ascii="Times New Roman" w:hAnsi="Times New Roman" w:cs="Times New Roman"/>
                <w:sz w:val="24"/>
                <w:szCs w:val="24"/>
              </w:rPr>
              <w:t>noor patsient</w:t>
            </w:r>
            <w:r w:rsidR="00406A43">
              <w:rPr>
                <w:rFonts w:ascii="Times New Roman" w:hAnsi="Times New Roman" w:cs="Times New Roman"/>
                <w:sz w:val="24"/>
                <w:szCs w:val="24"/>
              </w:rPr>
              <w:t>“</w:t>
            </w:r>
            <w:r w:rsidRPr="00F12F26">
              <w:rPr>
                <w:rFonts w:ascii="Times New Roman" w:hAnsi="Times New Roman" w:cs="Times New Roman"/>
                <w:sz w:val="24"/>
                <w:szCs w:val="24"/>
              </w:rPr>
              <w:t xml:space="preserve">, lisajuhtetee </w:t>
            </w:r>
            <w:r w:rsidR="00406A43">
              <w:rPr>
                <w:rFonts w:ascii="Times New Roman" w:hAnsi="Times New Roman" w:cs="Times New Roman"/>
                <w:sz w:val="24"/>
                <w:szCs w:val="24"/>
              </w:rPr>
              <w:t>kahtlus jmt).</w:t>
            </w:r>
            <w:r w:rsidRPr="00F12F26">
              <w:rPr>
                <w:rFonts w:ascii="Times New Roman" w:hAnsi="Times New Roman" w:cs="Times New Roman"/>
                <w:sz w:val="24"/>
                <w:szCs w:val="24"/>
              </w:rPr>
              <w:t xml:space="preserve"> </w:t>
            </w:r>
            <w:r w:rsidR="00406A43">
              <w:rPr>
                <w:rFonts w:ascii="Times New Roman" w:hAnsi="Times New Roman" w:cs="Times New Roman"/>
                <w:sz w:val="24"/>
                <w:szCs w:val="24"/>
              </w:rPr>
              <w:t>Asjatu suunamise vältimiseks tuleks koostada a</w:t>
            </w:r>
            <w:r w:rsidRPr="00F12F26">
              <w:rPr>
                <w:rFonts w:ascii="Times New Roman" w:hAnsi="Times New Roman" w:cs="Times New Roman"/>
                <w:sz w:val="24"/>
                <w:szCs w:val="24"/>
              </w:rPr>
              <w:t>blatsiooni i</w:t>
            </w:r>
            <w:r w:rsidR="00406A43">
              <w:rPr>
                <w:rFonts w:ascii="Times New Roman" w:hAnsi="Times New Roman" w:cs="Times New Roman"/>
                <w:sz w:val="24"/>
                <w:szCs w:val="24"/>
              </w:rPr>
              <w:t>nfoleht patsiendile koos edu ja riskide tõenäosustega.</w:t>
            </w:r>
          </w:p>
          <w:p w:rsidR="00F12F26" w:rsidRPr="00406A43" w:rsidRDefault="00F12F26" w:rsidP="00406A43">
            <w:pPr>
              <w:pStyle w:val="ListParagraph"/>
              <w:numPr>
                <w:ilvl w:val="0"/>
                <w:numId w:val="9"/>
              </w:numPr>
              <w:rPr>
                <w:rFonts w:ascii="Times New Roman" w:hAnsi="Times New Roman" w:cs="Times New Roman"/>
                <w:b/>
                <w:sz w:val="24"/>
                <w:szCs w:val="24"/>
              </w:rPr>
            </w:pPr>
            <w:r w:rsidRPr="00406A43">
              <w:rPr>
                <w:rFonts w:ascii="Times New Roman" w:hAnsi="Times New Roman" w:cs="Times New Roman"/>
                <w:b/>
                <w:sz w:val="24"/>
                <w:szCs w:val="24"/>
              </w:rPr>
              <w:t>KA voodiagramm, PA voodiagramm</w:t>
            </w:r>
          </w:p>
          <w:p w:rsidR="00F12F26" w:rsidRPr="00F12F26" w:rsidRDefault="00F12F26" w:rsidP="00F12F26">
            <w:pPr>
              <w:rPr>
                <w:rFonts w:ascii="Times New Roman" w:hAnsi="Times New Roman" w:cs="Times New Roman"/>
                <w:sz w:val="24"/>
                <w:szCs w:val="24"/>
              </w:rPr>
            </w:pPr>
            <w:r w:rsidRPr="00F12F26">
              <w:rPr>
                <w:rFonts w:ascii="Times New Roman" w:hAnsi="Times New Roman" w:cs="Times New Roman"/>
                <w:sz w:val="24"/>
                <w:szCs w:val="24"/>
              </w:rPr>
              <w:t xml:space="preserve">Arutati KVA käsitlust kiirabis, töörühm tegi ettepanekuid voodiagrammi täpsustamiseks. Arutati EMO-sse transportimise vajadust, kiirabi n-ö </w:t>
            </w:r>
            <w:r w:rsidRPr="00F12F26">
              <w:rPr>
                <w:rFonts w:ascii="Times New Roman" w:hAnsi="Times New Roman" w:cs="Times New Roman"/>
                <w:sz w:val="24"/>
                <w:szCs w:val="24"/>
              </w:rPr>
              <w:lastRenderedPageBreak/>
              <w:t>kodust farmakoteraapiat,</w:t>
            </w:r>
            <w:r w:rsidR="00406A43">
              <w:rPr>
                <w:rFonts w:ascii="Times New Roman" w:hAnsi="Times New Roman" w:cs="Times New Roman"/>
                <w:sz w:val="24"/>
                <w:szCs w:val="24"/>
              </w:rPr>
              <w:t xml:space="preserve"> antikaogulatsiooni alustamist. TR erakorralise meditsiini arstidest liikmed saadavad täiendatud versiooni.</w:t>
            </w:r>
          </w:p>
          <w:p w:rsidR="00F12F26" w:rsidRPr="00F12F26" w:rsidRDefault="00F12F26" w:rsidP="00F12F26">
            <w:pPr>
              <w:rPr>
                <w:rFonts w:ascii="Times New Roman" w:hAnsi="Times New Roman" w:cs="Times New Roman"/>
                <w:sz w:val="24"/>
                <w:szCs w:val="24"/>
              </w:rPr>
            </w:pPr>
            <w:r w:rsidRPr="00F12F26">
              <w:rPr>
                <w:rFonts w:ascii="Times New Roman" w:hAnsi="Times New Roman" w:cs="Times New Roman"/>
                <w:sz w:val="24"/>
                <w:szCs w:val="24"/>
              </w:rPr>
              <w:t>Arutati KVA käsitlust PA keskuses, töörühm tegi ettepanekuid voodiagrammi täpsustamiseks.</w:t>
            </w:r>
            <w:r w:rsidR="00406A43">
              <w:rPr>
                <w:rFonts w:ascii="Times New Roman" w:hAnsi="Times New Roman" w:cs="Times New Roman"/>
                <w:sz w:val="24"/>
                <w:szCs w:val="24"/>
              </w:rPr>
              <w:t xml:space="preserve"> </w:t>
            </w:r>
            <w:r w:rsidRPr="00F12F26">
              <w:rPr>
                <w:rFonts w:ascii="Times New Roman" w:hAnsi="Times New Roman" w:cs="Times New Roman"/>
                <w:sz w:val="24"/>
                <w:szCs w:val="24"/>
              </w:rPr>
              <w:t>Autorid muudavad skeeme vastavalt töörühma kommentaaridele.</w:t>
            </w:r>
          </w:p>
          <w:p w:rsidR="00E579A4" w:rsidRPr="00406A43" w:rsidRDefault="00406A43" w:rsidP="00406A43">
            <w:pPr>
              <w:pStyle w:val="ListParagraph"/>
              <w:numPr>
                <w:ilvl w:val="0"/>
                <w:numId w:val="11"/>
              </w:numPr>
              <w:rPr>
                <w:rFonts w:ascii="Times New Roman" w:hAnsi="Times New Roman" w:cs="Times New Roman"/>
                <w:b/>
                <w:sz w:val="24"/>
                <w:szCs w:val="24"/>
              </w:rPr>
            </w:pPr>
            <w:r w:rsidRPr="00406A43">
              <w:rPr>
                <w:rFonts w:ascii="Times New Roman" w:hAnsi="Times New Roman" w:cs="Times New Roman"/>
                <w:b/>
                <w:sz w:val="24"/>
                <w:szCs w:val="24"/>
              </w:rPr>
              <w:t>Patsendijuhend</w:t>
            </w:r>
          </w:p>
          <w:p w:rsidR="00406A43" w:rsidRPr="00D71236" w:rsidRDefault="00406A43" w:rsidP="00406A43">
            <w:pPr>
              <w:rPr>
                <w:rFonts w:ascii="Times New Roman" w:hAnsi="Times New Roman" w:cs="Times New Roman"/>
                <w:sz w:val="24"/>
                <w:szCs w:val="24"/>
              </w:rPr>
            </w:pPr>
            <w:r>
              <w:rPr>
                <w:rFonts w:ascii="Times New Roman" w:hAnsi="Times New Roman" w:cs="Times New Roman"/>
                <w:sz w:val="24"/>
                <w:szCs w:val="24"/>
              </w:rPr>
              <w:t>Vabatahtlikke napib. Oleks hea, kui kirjutajate hulgas oleks RH õde kummastki regionaalhaiglast.</w:t>
            </w:r>
          </w:p>
        </w:tc>
      </w:tr>
      <w:tr w:rsidR="00080474" w:rsidRPr="00D71236" w:rsidTr="00E579A4">
        <w:tc>
          <w:tcPr>
            <w:tcW w:w="1951" w:type="dxa"/>
          </w:tcPr>
          <w:p w:rsidR="00080474" w:rsidRPr="00D71236" w:rsidRDefault="00080474" w:rsidP="00D71236">
            <w:pPr>
              <w:spacing w:before="120" w:after="120" w:line="240" w:lineRule="auto"/>
              <w:rPr>
                <w:rFonts w:ascii="Times New Roman" w:hAnsi="Times New Roman" w:cs="Times New Roman"/>
                <w:b/>
                <w:sz w:val="24"/>
                <w:szCs w:val="24"/>
              </w:rPr>
            </w:pPr>
            <w:r w:rsidRPr="00D71236">
              <w:rPr>
                <w:rFonts w:ascii="Times New Roman" w:hAnsi="Times New Roman" w:cs="Times New Roman"/>
                <w:b/>
                <w:sz w:val="24"/>
                <w:szCs w:val="24"/>
              </w:rPr>
              <w:lastRenderedPageBreak/>
              <w:t>Kokkuvõte</w:t>
            </w:r>
          </w:p>
        </w:tc>
        <w:tc>
          <w:tcPr>
            <w:tcW w:w="7261" w:type="dxa"/>
          </w:tcPr>
          <w:p w:rsidR="00080474" w:rsidRDefault="00406A43" w:rsidP="00406A43">
            <w:pPr>
              <w:pStyle w:val="ListParagraph"/>
              <w:numPr>
                <w:ilvl w:val="0"/>
                <w:numId w:val="12"/>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Sõnastati antikoagulantravi valiku soovitus</w:t>
            </w:r>
          </w:p>
          <w:p w:rsidR="00406A43" w:rsidRDefault="00406A43" w:rsidP="00406A43">
            <w:pPr>
              <w:pStyle w:val="ListParagraph"/>
              <w:numPr>
                <w:ilvl w:val="0"/>
                <w:numId w:val="12"/>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Arutati RH spetsialisti konsultatsiooni vajavate patsientide üle. RH töörühm saadab kirjaliku ettepaneku.</w:t>
            </w:r>
          </w:p>
          <w:p w:rsidR="00406A43" w:rsidRDefault="00406A43" w:rsidP="00406A43">
            <w:pPr>
              <w:pStyle w:val="ListParagraph"/>
              <w:numPr>
                <w:ilvl w:val="0"/>
                <w:numId w:val="12"/>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Edendati KA ja PA käsitluse voodiagramme, autorid täiendavad ja saadavad laiali.</w:t>
            </w:r>
          </w:p>
          <w:p w:rsidR="00AE1D55" w:rsidRPr="00406A43" w:rsidRDefault="00AE1D55" w:rsidP="00406A43">
            <w:pPr>
              <w:pStyle w:val="ListParagraph"/>
              <w:numPr>
                <w:ilvl w:val="0"/>
                <w:numId w:val="12"/>
              </w:numPr>
              <w:spacing w:before="120" w:after="120" w:line="240" w:lineRule="auto"/>
              <w:rPr>
                <w:rFonts w:ascii="Times New Roman" w:hAnsi="Times New Roman" w:cs="Times New Roman"/>
                <w:sz w:val="24"/>
                <w:szCs w:val="24"/>
              </w:rPr>
            </w:pPr>
            <w:r>
              <w:rPr>
                <w:rFonts w:ascii="Times New Roman" w:hAnsi="Times New Roman" w:cs="Times New Roman"/>
                <w:sz w:val="24"/>
                <w:szCs w:val="24"/>
              </w:rPr>
              <w:t xml:space="preserve">Jrg koosolek </w:t>
            </w:r>
            <w:r>
              <w:rPr>
                <w:rFonts w:ascii="Times New Roman" w:hAnsi="Times New Roman" w:cs="Times New Roman"/>
              </w:rPr>
              <w:t>29.03.2018.</w:t>
            </w:r>
          </w:p>
        </w:tc>
      </w:tr>
    </w:tbl>
    <w:p w:rsidR="00DB4FF7" w:rsidRPr="00D71236" w:rsidRDefault="00DB4FF7" w:rsidP="00D71236">
      <w:pPr>
        <w:spacing w:before="120" w:after="120" w:line="240" w:lineRule="auto"/>
        <w:rPr>
          <w:rFonts w:ascii="Times New Roman" w:hAnsi="Times New Roman" w:cs="Times New Roman"/>
          <w:sz w:val="24"/>
          <w:szCs w:val="24"/>
        </w:rPr>
      </w:pPr>
    </w:p>
    <w:p w:rsidR="00415CF3" w:rsidRPr="00D71236" w:rsidRDefault="00415CF3">
      <w:pPr>
        <w:rPr>
          <w:rFonts w:ascii="Times New Roman" w:hAnsi="Times New Roman" w:cs="Times New Roman"/>
        </w:rPr>
      </w:pPr>
    </w:p>
    <w:p w:rsidR="00415CF3" w:rsidRPr="00D71236" w:rsidRDefault="00415CF3">
      <w:pPr>
        <w:rPr>
          <w:rFonts w:ascii="Times New Roman" w:hAnsi="Times New Roman" w:cs="Times New Roman"/>
        </w:rPr>
      </w:pPr>
    </w:p>
    <w:p w:rsidR="00415CF3" w:rsidRPr="00D71236" w:rsidRDefault="00415CF3">
      <w:pPr>
        <w:rPr>
          <w:rFonts w:ascii="Times New Roman" w:hAnsi="Times New Roman" w:cs="Times New Roman"/>
        </w:rPr>
      </w:pPr>
    </w:p>
    <w:p w:rsidR="00415CF3" w:rsidRPr="00D71236" w:rsidRDefault="00415CF3">
      <w:pPr>
        <w:rPr>
          <w:rFonts w:ascii="Times New Roman" w:hAnsi="Times New Roman" w:cs="Times New Roman"/>
        </w:rPr>
      </w:pPr>
    </w:p>
    <w:p w:rsidR="00415CF3" w:rsidRPr="00D71236" w:rsidRDefault="00415CF3">
      <w:pPr>
        <w:rPr>
          <w:rFonts w:ascii="Times New Roman" w:hAnsi="Times New Roman" w:cs="Times New Roman"/>
        </w:rPr>
      </w:pPr>
    </w:p>
    <w:p w:rsidR="00415CF3" w:rsidRPr="00D71236" w:rsidRDefault="00415CF3">
      <w:pPr>
        <w:rPr>
          <w:rFonts w:ascii="Times New Roman" w:hAnsi="Times New Roman" w:cs="Times New Roman"/>
        </w:rPr>
      </w:pPr>
    </w:p>
    <w:p w:rsidR="00415CF3" w:rsidRPr="00D71236" w:rsidRDefault="00415CF3">
      <w:pPr>
        <w:rPr>
          <w:rFonts w:ascii="Times New Roman" w:hAnsi="Times New Roman" w:cs="Times New Roman"/>
        </w:rPr>
      </w:pPr>
    </w:p>
    <w:sectPr w:rsidR="00415CF3" w:rsidRPr="00D712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1143" w:rsidRDefault="001C1143" w:rsidP="00415CF3">
      <w:pPr>
        <w:spacing w:after="0" w:line="240" w:lineRule="auto"/>
      </w:pPr>
      <w:r>
        <w:separator/>
      </w:r>
    </w:p>
  </w:endnote>
  <w:endnote w:type="continuationSeparator" w:id="0">
    <w:p w:rsidR="001C1143" w:rsidRDefault="001C1143" w:rsidP="0041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1143" w:rsidRDefault="001C1143" w:rsidP="00415CF3">
      <w:pPr>
        <w:spacing w:after="0" w:line="240" w:lineRule="auto"/>
      </w:pPr>
      <w:r>
        <w:separator/>
      </w:r>
    </w:p>
  </w:footnote>
  <w:footnote w:type="continuationSeparator" w:id="0">
    <w:p w:rsidR="001C1143" w:rsidRDefault="001C1143" w:rsidP="00415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D3935"/>
    <w:multiLevelType w:val="hybridMultilevel"/>
    <w:tmpl w:val="63B822E6"/>
    <w:lvl w:ilvl="0" w:tplc="EFE4A3E8">
      <w:start w:val="15"/>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9F4766E"/>
    <w:multiLevelType w:val="hybridMultilevel"/>
    <w:tmpl w:val="64382D2E"/>
    <w:lvl w:ilvl="0" w:tplc="0425000F">
      <w:start w:val="1"/>
      <w:numFmt w:val="decimal"/>
      <w:lvlText w:val="%1."/>
      <w:lvlJc w:val="left"/>
      <w:pPr>
        <w:tabs>
          <w:tab w:val="num" w:pos="360"/>
        </w:tabs>
        <w:ind w:left="360" w:hanging="360"/>
      </w:pPr>
      <w:rPr>
        <w:rFonts w:hint="default"/>
      </w:rPr>
    </w:lvl>
    <w:lvl w:ilvl="1" w:tplc="01520EC6">
      <w:start w:val="1"/>
      <w:numFmt w:val="bullet"/>
      <w:lvlText w:val="•"/>
      <w:lvlJc w:val="left"/>
      <w:pPr>
        <w:tabs>
          <w:tab w:val="num" w:pos="1080"/>
        </w:tabs>
        <w:ind w:left="1080" w:hanging="360"/>
      </w:pPr>
      <w:rPr>
        <w:rFonts w:ascii="Arial" w:hAnsi="Arial" w:hint="default"/>
      </w:rPr>
    </w:lvl>
    <w:lvl w:ilvl="2" w:tplc="3694398A" w:tentative="1">
      <w:start w:val="1"/>
      <w:numFmt w:val="bullet"/>
      <w:lvlText w:val="•"/>
      <w:lvlJc w:val="left"/>
      <w:pPr>
        <w:tabs>
          <w:tab w:val="num" w:pos="1800"/>
        </w:tabs>
        <w:ind w:left="1800" w:hanging="360"/>
      </w:pPr>
      <w:rPr>
        <w:rFonts w:ascii="Arial" w:hAnsi="Arial" w:hint="default"/>
      </w:rPr>
    </w:lvl>
    <w:lvl w:ilvl="3" w:tplc="CFD8149C" w:tentative="1">
      <w:start w:val="1"/>
      <w:numFmt w:val="bullet"/>
      <w:lvlText w:val="•"/>
      <w:lvlJc w:val="left"/>
      <w:pPr>
        <w:tabs>
          <w:tab w:val="num" w:pos="2520"/>
        </w:tabs>
        <w:ind w:left="2520" w:hanging="360"/>
      </w:pPr>
      <w:rPr>
        <w:rFonts w:ascii="Arial" w:hAnsi="Arial" w:hint="default"/>
      </w:rPr>
    </w:lvl>
    <w:lvl w:ilvl="4" w:tplc="09929C08" w:tentative="1">
      <w:start w:val="1"/>
      <w:numFmt w:val="bullet"/>
      <w:lvlText w:val="•"/>
      <w:lvlJc w:val="left"/>
      <w:pPr>
        <w:tabs>
          <w:tab w:val="num" w:pos="3240"/>
        </w:tabs>
        <w:ind w:left="3240" w:hanging="360"/>
      </w:pPr>
      <w:rPr>
        <w:rFonts w:ascii="Arial" w:hAnsi="Arial" w:hint="default"/>
      </w:rPr>
    </w:lvl>
    <w:lvl w:ilvl="5" w:tplc="8EE0A4F2" w:tentative="1">
      <w:start w:val="1"/>
      <w:numFmt w:val="bullet"/>
      <w:lvlText w:val="•"/>
      <w:lvlJc w:val="left"/>
      <w:pPr>
        <w:tabs>
          <w:tab w:val="num" w:pos="3960"/>
        </w:tabs>
        <w:ind w:left="3960" w:hanging="360"/>
      </w:pPr>
      <w:rPr>
        <w:rFonts w:ascii="Arial" w:hAnsi="Arial" w:hint="default"/>
      </w:rPr>
    </w:lvl>
    <w:lvl w:ilvl="6" w:tplc="60CC0F6E" w:tentative="1">
      <w:start w:val="1"/>
      <w:numFmt w:val="bullet"/>
      <w:lvlText w:val="•"/>
      <w:lvlJc w:val="left"/>
      <w:pPr>
        <w:tabs>
          <w:tab w:val="num" w:pos="4680"/>
        </w:tabs>
        <w:ind w:left="4680" w:hanging="360"/>
      </w:pPr>
      <w:rPr>
        <w:rFonts w:ascii="Arial" w:hAnsi="Arial" w:hint="default"/>
      </w:rPr>
    </w:lvl>
    <w:lvl w:ilvl="7" w:tplc="39BC67C4" w:tentative="1">
      <w:start w:val="1"/>
      <w:numFmt w:val="bullet"/>
      <w:lvlText w:val="•"/>
      <w:lvlJc w:val="left"/>
      <w:pPr>
        <w:tabs>
          <w:tab w:val="num" w:pos="5400"/>
        </w:tabs>
        <w:ind w:left="5400" w:hanging="360"/>
      </w:pPr>
      <w:rPr>
        <w:rFonts w:ascii="Arial" w:hAnsi="Arial" w:hint="default"/>
      </w:rPr>
    </w:lvl>
    <w:lvl w:ilvl="8" w:tplc="5C14D9B6"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287001F4"/>
    <w:multiLevelType w:val="hybridMultilevel"/>
    <w:tmpl w:val="9B860704"/>
    <w:lvl w:ilvl="0" w:tplc="099614B4">
      <w:start w:val="1"/>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2805C1D"/>
    <w:multiLevelType w:val="hybridMultilevel"/>
    <w:tmpl w:val="E5C438C8"/>
    <w:lvl w:ilvl="0" w:tplc="49CC7A64">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9F80042"/>
    <w:multiLevelType w:val="hybridMultilevel"/>
    <w:tmpl w:val="373434B2"/>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 w15:restartNumberingAfterBreak="0">
    <w:nsid w:val="532755DF"/>
    <w:multiLevelType w:val="hybridMultilevel"/>
    <w:tmpl w:val="925EA976"/>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6" w15:restartNumberingAfterBreak="0">
    <w:nsid w:val="5A2806AC"/>
    <w:multiLevelType w:val="hybridMultilevel"/>
    <w:tmpl w:val="9970DFC6"/>
    <w:lvl w:ilvl="0" w:tplc="3F5655FC">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start w:val="1"/>
      <w:numFmt w:val="bullet"/>
      <w:lvlText w:val=""/>
      <w:lvlJc w:val="left"/>
      <w:pPr>
        <w:ind w:left="1800" w:hanging="360"/>
      </w:pPr>
      <w:rPr>
        <w:rFonts w:ascii="Wingdings" w:hAnsi="Wingdings" w:hint="default"/>
      </w:rPr>
    </w:lvl>
    <w:lvl w:ilvl="3" w:tplc="04250001">
      <w:start w:val="1"/>
      <w:numFmt w:val="bullet"/>
      <w:lvlText w:val=""/>
      <w:lvlJc w:val="left"/>
      <w:pPr>
        <w:ind w:left="2520" w:hanging="360"/>
      </w:pPr>
      <w:rPr>
        <w:rFonts w:ascii="Symbol" w:hAnsi="Symbol" w:hint="default"/>
      </w:rPr>
    </w:lvl>
    <w:lvl w:ilvl="4" w:tplc="04250003">
      <w:start w:val="1"/>
      <w:numFmt w:val="bullet"/>
      <w:lvlText w:val="o"/>
      <w:lvlJc w:val="left"/>
      <w:pPr>
        <w:ind w:left="3240" w:hanging="360"/>
      </w:pPr>
      <w:rPr>
        <w:rFonts w:ascii="Courier New" w:hAnsi="Courier New" w:cs="Courier New" w:hint="default"/>
      </w:rPr>
    </w:lvl>
    <w:lvl w:ilvl="5" w:tplc="04250005">
      <w:start w:val="1"/>
      <w:numFmt w:val="bullet"/>
      <w:lvlText w:val=""/>
      <w:lvlJc w:val="left"/>
      <w:pPr>
        <w:ind w:left="3960" w:hanging="360"/>
      </w:pPr>
      <w:rPr>
        <w:rFonts w:ascii="Wingdings" w:hAnsi="Wingdings" w:hint="default"/>
      </w:rPr>
    </w:lvl>
    <w:lvl w:ilvl="6" w:tplc="04250001">
      <w:start w:val="1"/>
      <w:numFmt w:val="bullet"/>
      <w:lvlText w:val=""/>
      <w:lvlJc w:val="left"/>
      <w:pPr>
        <w:ind w:left="4680" w:hanging="360"/>
      </w:pPr>
      <w:rPr>
        <w:rFonts w:ascii="Symbol" w:hAnsi="Symbol" w:hint="default"/>
      </w:rPr>
    </w:lvl>
    <w:lvl w:ilvl="7" w:tplc="04250003">
      <w:start w:val="1"/>
      <w:numFmt w:val="bullet"/>
      <w:lvlText w:val="o"/>
      <w:lvlJc w:val="left"/>
      <w:pPr>
        <w:ind w:left="5400" w:hanging="360"/>
      </w:pPr>
      <w:rPr>
        <w:rFonts w:ascii="Courier New" w:hAnsi="Courier New" w:cs="Courier New" w:hint="default"/>
      </w:rPr>
    </w:lvl>
    <w:lvl w:ilvl="8" w:tplc="04250005">
      <w:start w:val="1"/>
      <w:numFmt w:val="bullet"/>
      <w:lvlText w:val=""/>
      <w:lvlJc w:val="left"/>
      <w:pPr>
        <w:ind w:left="6120" w:hanging="360"/>
      </w:pPr>
      <w:rPr>
        <w:rFonts w:ascii="Wingdings" w:hAnsi="Wingdings" w:hint="default"/>
      </w:rPr>
    </w:lvl>
  </w:abstractNum>
  <w:abstractNum w:abstractNumId="7" w15:restartNumberingAfterBreak="0">
    <w:nsid w:val="633C49E8"/>
    <w:multiLevelType w:val="hybridMultilevel"/>
    <w:tmpl w:val="0A189820"/>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8" w15:restartNumberingAfterBreak="0">
    <w:nsid w:val="673352EB"/>
    <w:multiLevelType w:val="hybridMultilevel"/>
    <w:tmpl w:val="870C8086"/>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9" w15:restartNumberingAfterBreak="0">
    <w:nsid w:val="67DF175F"/>
    <w:multiLevelType w:val="hybridMultilevel"/>
    <w:tmpl w:val="8B84F30C"/>
    <w:lvl w:ilvl="0" w:tplc="3F5655FC">
      <w:start w:val="1"/>
      <w:numFmt w:val="bullet"/>
      <w:lvlText w:val=""/>
      <w:lvlJc w:val="left"/>
      <w:pPr>
        <w:ind w:left="360" w:hanging="360"/>
      </w:pPr>
      <w:rPr>
        <w:rFonts w:ascii="Symbol" w:hAnsi="Symbol"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68670547"/>
    <w:multiLevelType w:val="hybridMultilevel"/>
    <w:tmpl w:val="66C285F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68891AC3"/>
    <w:multiLevelType w:val="hybridMultilevel"/>
    <w:tmpl w:val="D9A05BAE"/>
    <w:lvl w:ilvl="0" w:tplc="3F5655FC">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abstractNumId w:val="6"/>
  </w:num>
  <w:num w:numId="2">
    <w:abstractNumId w:val="9"/>
  </w:num>
  <w:num w:numId="3">
    <w:abstractNumId w:val="1"/>
  </w:num>
  <w:num w:numId="4">
    <w:abstractNumId w:val="2"/>
  </w:num>
  <w:num w:numId="5">
    <w:abstractNumId w:val="4"/>
  </w:num>
  <w:num w:numId="6">
    <w:abstractNumId w:val="0"/>
  </w:num>
  <w:num w:numId="7">
    <w:abstractNumId w:val="3"/>
  </w:num>
  <w:num w:numId="8">
    <w:abstractNumId w:val="10"/>
  </w:num>
  <w:num w:numId="9">
    <w:abstractNumId w:val="11"/>
  </w:num>
  <w:num w:numId="10">
    <w:abstractNumId w:val="7"/>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74"/>
    <w:rsid w:val="00080474"/>
    <w:rsid w:val="001C1143"/>
    <w:rsid w:val="00406A43"/>
    <w:rsid w:val="00415CF3"/>
    <w:rsid w:val="004D5417"/>
    <w:rsid w:val="005516F1"/>
    <w:rsid w:val="005C6B4F"/>
    <w:rsid w:val="005F53B4"/>
    <w:rsid w:val="006A5EE7"/>
    <w:rsid w:val="0085331F"/>
    <w:rsid w:val="00974605"/>
    <w:rsid w:val="00A1238F"/>
    <w:rsid w:val="00AE1D55"/>
    <w:rsid w:val="00B95A59"/>
    <w:rsid w:val="00D71236"/>
    <w:rsid w:val="00DB4FF7"/>
    <w:rsid w:val="00E579A4"/>
    <w:rsid w:val="00F12F26"/>
    <w:rsid w:val="00F976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D495B4-2341-4719-8CA3-44758C66F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47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474"/>
    <w:pPr>
      <w:ind w:left="720"/>
      <w:contextualSpacing/>
    </w:pPr>
  </w:style>
  <w:style w:type="table" w:styleId="TableGrid">
    <w:name w:val="Table Grid"/>
    <w:basedOn w:val="TableNormal"/>
    <w:uiPriority w:val="59"/>
    <w:rsid w:val="00080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5C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5CF3"/>
  </w:style>
  <w:style w:type="paragraph" w:styleId="Footer">
    <w:name w:val="footer"/>
    <w:basedOn w:val="Normal"/>
    <w:link w:val="FooterChar"/>
    <w:uiPriority w:val="99"/>
    <w:unhideWhenUsed/>
    <w:rsid w:val="00415C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5CF3"/>
  </w:style>
  <w:style w:type="character" w:styleId="PageNumber">
    <w:name w:val="page number"/>
    <w:rsid w:val="00415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3992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 Truhanov</dc:creator>
  <cp:keywords/>
  <dc:description/>
  <cp:lastModifiedBy>Pille Lõmps</cp:lastModifiedBy>
  <cp:revision>2</cp:revision>
  <dcterms:created xsi:type="dcterms:W3CDTF">2018-08-31T07:20:00Z</dcterms:created>
  <dcterms:modified xsi:type="dcterms:W3CDTF">2018-08-31T07:20:00Z</dcterms:modified>
</cp:coreProperties>
</file>